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11EAB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2D754D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茂名市人民医院污水站在线监测设备更换项目需求书</w:t>
      </w:r>
    </w:p>
    <w:p w14:paraId="02D9692B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BE4DCB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供应商资质要求</w:t>
      </w:r>
    </w:p>
    <w:p w14:paraId="11D6EEA4">
      <w:pPr>
        <w:keepNext w:val="0"/>
        <w:keepLines w:val="0"/>
        <w:widowControl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1.持有合法有效的营业执照。</w:t>
      </w:r>
    </w:p>
    <w:p w14:paraId="5D7C85F7">
      <w:pPr>
        <w:keepNext w:val="0"/>
        <w:keepLines w:val="0"/>
        <w:widowControl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2.具有良好的商业信誉和健全的财务会计制度。</w:t>
      </w:r>
    </w:p>
    <w:p w14:paraId="07B127C0">
      <w:pPr>
        <w:keepNext w:val="0"/>
        <w:keepLines w:val="0"/>
        <w:widowControl/>
        <w:ind w:firstLine="640" w:firstLineChars="200"/>
        <w:jc w:val="left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3.近三年内，在经营活动中无重大违法记录。</w:t>
      </w:r>
    </w:p>
    <w:p w14:paraId="7F24E52B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服务要求</w:t>
      </w:r>
    </w:p>
    <w:p w14:paraId="0C158E06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1.本次采购包括设备安装、系统调试、联网调试。</w:t>
      </w:r>
    </w:p>
    <w:p w14:paraId="7AF0F03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2.现场安装人员必须持有中华人民共和国特种作业操作证，作业类别为低压电工作业（由应急管理局颁发）。</w:t>
      </w:r>
    </w:p>
    <w:p w14:paraId="3DD16E2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3.安装过程不能影响医院正常运作。</w:t>
      </w:r>
    </w:p>
    <w:p w14:paraId="5ED19CBF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4.施工完毕后，需要做好现场清理，旧设备搬运至指定地点。</w:t>
      </w:r>
    </w:p>
    <w:p w14:paraId="2E2C1E66">
      <w:pPr>
        <w:numPr>
          <w:ilvl w:val="0"/>
          <w:numId w:val="1"/>
        </w:num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产品技术参数</w:t>
      </w:r>
    </w:p>
    <w:p w14:paraId="1904CF0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数采仪</w:t>
      </w:r>
    </w:p>
    <w:p w14:paraId="1A8BD390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1.出厂原生支持HJ212-2025数据传输协议，满足茂名市生态环境监控平台联网要求；</w:t>
      </w:r>
    </w:p>
    <w:p w14:paraId="3B5585F0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2.内置SM4国密加密硬件模块，支持16字节（128位）密钥、ECB工作模式、NoPadding填充，对传输数据段加密；具备密钥注册及最长90日有效期自动更新机制，密钥随机产生，不以任何明文形式传输、存储、显示；</w:t>
      </w:r>
    </w:p>
    <w:p w14:paraId="4CBFF128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3.支持数采仪入网MN编码联网激活，可上报设备唯一标识（i23005）、CPUID（i23006）、MAC物理地址（i23007/i23008）等硬件指纹信息，由上位机赋码，用于唯一标识数据传输设备；</w:t>
      </w:r>
    </w:p>
    <w:p w14:paraId="126424FE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4.支持QN毫秒时间戳、Flag标志位、PNUM/PNO分包机制，报文数据段超过1024字符自动分包，支持RF补传标志及断网本地缓存、断点补传，网络恢复后优先补传历史数据；</w:t>
      </w:r>
    </w:p>
    <w:p w14:paraId="2A4A1AAF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5.支持完整标准命令集，具备大容量本地存储空间；支持上报工作状态、登录状态、通信状态（i22001～i22006）及运行日志、登录日志（i21001/i21002）。</w:t>
      </w:r>
    </w:p>
    <w:p w14:paraId="7A30DE4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COD在线分析仪</w:t>
      </w:r>
    </w:p>
    <w:p w14:paraId="0C16D28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1.原生支持HJ 212-2025协议，RS-485 Modbus-RTU数字输出；</w:t>
      </w:r>
    </w:p>
    <w:p w14:paraId="145EB3CC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2.上传CODcr浓度值及量程上下限、零点/量程校准开始时间、修正斜率与截距、校准曲线斜率与截距、测量信号值等全量运行参数（i13001～i13016）；</w:t>
      </w:r>
    </w:p>
    <w:p w14:paraId="1D0FE5D8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3.自动生成完整数据标记（Flag字段，含N正常、D故障、C校准、M维护、T超量程、Td关键故障等），标记由仪器自动生成、禁止人工修改；</w:t>
      </w:r>
    </w:p>
    <w:p w14:paraId="5FA619CC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4.上报工作状态、报警状态（i12001/i12002）及运行日志（日志信息以“//”包裹、UTF-8编码上传）；</w:t>
      </w:r>
    </w:p>
    <w:p w14:paraId="7DDBBFC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5.设备具备固化且不可修改的SN唯一标识（C24编码，含厂商识别代码、产品类别代码、校验位、产品序列号）。</w:t>
      </w:r>
    </w:p>
    <w:p w14:paraId="226703BA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总磷在线分析仪</w:t>
      </w:r>
    </w:p>
    <w:p w14:paraId="3A27FF54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1.原生支持HJ 212-2025协议，RS-485 Modbus-RTU数字输出；</w:t>
      </w:r>
    </w:p>
    <w:p w14:paraId="48FB0CB2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2.上传总磷浓度值及量程上下限、零点/量程校准开始时间、修正斜率与截距、校准曲线斜率与截距、测量信号值等全量运行参数；</w:t>
      </w:r>
    </w:p>
    <w:p w14:paraId="3F34F509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3.自动生成完整数据标记（Flag字段），标记由仪器自动生成、禁止人工修改；</w:t>
      </w:r>
    </w:p>
    <w:p w14:paraId="346735A6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4.上报工作状态、报警状态及运行日志（日志信息以“//”包裹、UTF-8编码上传）；</w:t>
      </w:r>
    </w:p>
    <w:p w14:paraId="70A73E6C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5.设备具备固化且不可修改的SN唯一标识（C24编码）。</w:t>
      </w:r>
    </w:p>
    <w:p w14:paraId="1DD3D584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自动采样器</w:t>
      </w:r>
    </w:p>
    <w:p w14:paraId="4FA3DCCC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1.原生支持HJ 212-2025协议，RS-485 Modbus-RTU数字输出；</w:t>
      </w:r>
    </w:p>
    <w:p w14:paraId="50E212DB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上传留样瓶号（VaseNo）、留样模式（远程留样、超标留样、采样留样、供样留样）、留样结果、留样量、冷藏温度、样品编号、采样模式（瞬时采样、时间等比例、流量等比例、流量触发、远程控制）、采样时间等参数（i43001～i43018）；</w:t>
      </w:r>
    </w:p>
    <w:p w14:paraId="6A372682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3.上报采样器门禁状态、门禁日志及运行日志（日志信息以“//”包裹、UTF-8编码上传）；</w:t>
      </w:r>
    </w:p>
    <w:p w14:paraId="7FA24749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4.设备具备固化且不可修改的自动采样器唯一标识（i43019，C24编码）。</w:t>
      </w:r>
    </w:p>
    <w:p w14:paraId="35D31F5D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pH计</w:t>
      </w:r>
    </w:p>
    <w:p w14:paraId="1AA05C6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1.原生支持HJ 212-2025协议，RS-485 Modbus-RTU数字输出；</w:t>
      </w:r>
    </w:p>
    <w:p w14:paraId="251AD6C9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2.上传pH值及量程、校准时间、修正斜率与截距等运行参数；</w:t>
      </w:r>
    </w:p>
    <w:p w14:paraId="267B4678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3.自动生成数据标记（Flag字段），上报工作状态、报警状态；</w:t>
      </w:r>
    </w:p>
    <w:p w14:paraId="41033721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4.设备具备固化且不可修改的SN唯一标识（C24编码）。</w:t>
      </w:r>
    </w:p>
    <w:p w14:paraId="364545F7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九波超声波明渠流量计</w:t>
      </w:r>
    </w:p>
    <w:p w14:paraId="458E9201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1.原生支持HJ 212-2025协议，RS-485 Modbus-RTU数字输出；</w:t>
      </w:r>
    </w:p>
    <w:p w14:paraId="0BA6F3E7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2.上传瞬时流量、累计流量；</w:t>
      </w:r>
    </w:p>
    <w:p w14:paraId="5E3EA457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3.上报明渠流量计公式编号、堰槽尺寸参数（三角形缺口夹角、堰口宽度、喉道宽度、探头距离）、流量修正系数等设备配置信息（i13029～i13036）；</w:t>
      </w:r>
    </w:p>
    <w:p w14:paraId="7167C135">
      <w:pPr>
        <w:keepNext w:val="0"/>
        <w:keepLines w:val="0"/>
        <w:pageBreakBefore w:val="0"/>
        <w:widowControl w:val="0"/>
        <w:numPr>
          <w:ilvl w:val="0"/>
          <w:numId w:val="0"/>
        </w:numPr>
        <w:overflowPunct/>
        <w:autoSpaceDE/>
        <w:autoSpaceDN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4.设备具备唯一SN标识。</w:t>
      </w:r>
    </w:p>
    <w:p w14:paraId="31D476D2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其他</w:t>
      </w:r>
    </w:p>
    <w:p w14:paraId="530A94E5">
      <w:pPr>
        <w:ind w:firstLine="643" w:firstLineChars="200"/>
      </w:pPr>
      <w:r>
        <w:rPr>
          <w:rFonts w:ascii="黑体" w:hAnsi="黑体" w:eastAsia="黑体" w:cs="黑体"/>
          <w:b/>
          <w:sz w:val="32"/>
          <w:szCs w:val="32"/>
        </w:rPr>
        <w:t>（一）验收要求</w:t>
      </w:r>
    </w:p>
    <w:p w14:paraId="405A9504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1.验收依据：以本需求书、供应商投标文件及双方确认的技术参数为验收依据，设备须满足HJ 212-2025数据传输协议及茂名市生态环境监控平台联网要求。</w:t>
      </w:r>
    </w:p>
    <w:p w14:paraId="4CC3E3C2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2.到货验收：设备到货后，核对设备品牌、型号、数量、SN唯一标识及出厂合格证、使用说明书、保修卡等随机资料，确认设备外观完好、附件齐全。</w:t>
      </w:r>
    </w:p>
    <w:p w14:paraId="53722C6A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3.安装调试验收：设备安装、系统调试、联网调试完成后，须与茂名市生态环境监控平台成功联网，数据正常上传，各项功能运行稳定。</w:t>
      </w:r>
    </w:p>
    <w:p w14:paraId="684CB51F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4.试运行：安装调试合格后连续试运行不少于72小时，期间数据采集、上传正常，无故障报警。</w:t>
      </w:r>
    </w:p>
    <w:p w14:paraId="72446213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5.验收程序：供应商完成安装调试并经自检合格后向采购人提出验收申请，采购人组织相关技术人员按本需求书逐项验收，验收合格后签署验收报告。</w:t>
      </w:r>
    </w:p>
    <w:p w14:paraId="39DA3116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6.不合格处理：验收不合格的，供应商应在约定期限内整改或更换直至验收合格，由此产生的费用由供应商承担。</w:t>
      </w:r>
    </w:p>
    <w:p w14:paraId="1FE9A388">
      <w:pPr>
        <w:ind w:firstLine="643" w:firstLineChars="200"/>
      </w:pPr>
      <w:r>
        <w:rPr>
          <w:rFonts w:ascii="黑体" w:hAnsi="黑体" w:eastAsia="黑体" w:cs="黑体"/>
          <w:b/>
          <w:sz w:val="32"/>
          <w:szCs w:val="32"/>
        </w:rPr>
        <w:t>（二）现场安装安全作业要求</w:t>
      </w:r>
    </w:p>
    <w:p w14:paraId="62009602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1.人员资质：现场安装人员须持有有效期内中华人民共和国特种作业操作证，作业类别为低压电工作业（由应急管理局颁发），作业时随身携带证件备查。</w:t>
      </w:r>
    </w:p>
    <w:p w14:paraId="1E98D70E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2.安全交底：供应商进场前须进行安全技术交底，严格遵守医院安全管理制度和现场管理规定。</w:t>
      </w:r>
    </w:p>
    <w:p w14:paraId="5A6FCCF7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3.作业规范：作业过程严格执行国家及行业安全技术规范，正确佩戴和使用安全防护用品，涉电作业执行停电、验电、挂牌等安全措施。</w:t>
      </w:r>
    </w:p>
    <w:p w14:paraId="595F5B4A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4.不影响医院运作：合理安排作业时间和区域，设置安全围挡及警示标识，安装过程不得影响医院正常医疗运作和人员通行。</w:t>
      </w:r>
    </w:p>
    <w:p w14:paraId="22325F69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5.现场管理：材料工具定点摆放、有序管理，及时清理作业废料；施工完毕后做好现场清理，旧设备搬运至采购人指定地点。</w:t>
      </w:r>
    </w:p>
    <w:p w14:paraId="22E96917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6.安全责任：供应商对安装作业期间的安全生产负主体责任，因作业引发安全事故的，由供应商承担相应责任。</w:t>
      </w:r>
    </w:p>
    <w:p w14:paraId="5F61AD4A">
      <w:pPr>
        <w:ind w:firstLine="643" w:firstLineChars="200"/>
      </w:pPr>
      <w:r>
        <w:rPr>
          <w:rFonts w:ascii="黑体" w:hAnsi="黑体" w:eastAsia="黑体" w:cs="黑体"/>
          <w:b/>
          <w:sz w:val="32"/>
          <w:szCs w:val="32"/>
        </w:rPr>
        <w:t>（三）款项支付方式</w:t>
      </w:r>
    </w:p>
    <w:p w14:paraId="507DC9F5">
      <w:pPr>
        <w:ind w:firstLine="640" w:firstLineChars="200"/>
      </w:pPr>
      <w:r>
        <w:rPr>
          <w:rFonts w:hint="eastAsia" w:ascii="仿宋" w:hAnsi="仿宋" w:eastAsia="仿宋" w:cs="仿宋"/>
          <w:b w:val="0"/>
          <w:sz w:val="32"/>
          <w:szCs w:val="32"/>
          <w:lang w:val="en-US" w:eastAsia="zh-CN"/>
        </w:rPr>
        <w:t>验收完成后设备正常运行一个月，供应商提交支付申请后60天内一次性支付所有款项</w:t>
      </w:r>
      <w:bookmarkStart w:id="0" w:name="_GoBack"/>
      <w:bookmarkEnd w:id="0"/>
      <w:r>
        <w:rPr>
          <w:rFonts w:ascii="仿宋" w:hAnsi="仿宋" w:eastAsia="仿宋" w:cs="仿宋"/>
          <w:b w:val="0"/>
          <w:sz w:val="32"/>
          <w:szCs w:val="32"/>
        </w:rPr>
        <w:t>。</w:t>
      </w:r>
    </w:p>
    <w:p w14:paraId="294634DE"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/>
          <w:sz w:val="32"/>
          <w:szCs w:val="32"/>
        </w:rPr>
        <w:t>交付成果要求</w:t>
      </w:r>
    </w:p>
    <w:p w14:paraId="53DAE57D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1.供应商应按合同约定完成全部设备的安装、调试及联网调试，确保设备正常稳定运行并与茂名市生态环境监控平台成功联网。</w:t>
      </w:r>
    </w:p>
    <w:p w14:paraId="5C9045D8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2.交付设备随机资料，包括出厂合格证、使用说明书、保修卡、安装调试记录等。</w:t>
      </w:r>
    </w:p>
    <w:p w14:paraId="786CB39D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3.验收合格后，供应商向采购人提交验收报告，并配合完成环保监测数据报送等相关事宜。</w:t>
      </w:r>
    </w:p>
    <w:p w14:paraId="7D84EE94">
      <w:pPr>
        <w:ind w:firstLine="640" w:firstLineChars="200"/>
      </w:pPr>
      <w:r>
        <w:rPr>
          <w:rFonts w:ascii="仿宋" w:hAnsi="仿宋" w:eastAsia="仿宋" w:cs="仿宋"/>
          <w:b w:val="0"/>
          <w:sz w:val="32"/>
          <w:szCs w:val="32"/>
        </w:rPr>
        <w:t>4.施工完成后做好现场清理，旧设备搬运至采购人指定地点。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5948A3-1172-4412-A850-12FA158D1F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D29CEA5-0E3D-49BC-9ABC-E8485E0D27A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BB07EDA-492D-4C8E-8006-A113D45B9D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2664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56FB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4B37B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/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d5c1a48d-4acd-461e-9961-bd4103efff6d</errorID>
      <errorWord>定于</errorWord>
      <group>L1_Word</group>
      <groupName>字词问题</groupName>
      <ability>L2_Typo</ability>
      <abilityName>字词错误</abilityName>
      <candidateList>
        <item>于</item>
      </candidateList>
      <explain/>
      <paraID>2D73BBD1</paraID>
      <start>47</start>
      <end>48</end>
      <status>modified</status>
      <modifiedWord>于</modifiedWord>
      <trackRevisions>false</trackRevisions>
    </reviewItem>
    <reviewItem>
      <errorID>b4e85ca2-fd8b-4a06-9a22-22e706ecaffe</errorID>
      <errorWord>COD在线分析仪</errorWord>
      <group>L1_Other</group>
      <groupName>其他问题</groupName>
      <ability>L2_Consistency</ability>
      <abilityName>一致性检查</abilityName>
      <candidateList>
        <item>CODcr</item>
      </candidateList>
      <explain>术语一致性，水质污染物检测项目中，前文设备名称表述为COD，后文功能要求中表述为CODcr，表述不一致，根据上下文统一应为COD在线分析仪</explain>
      <paraID>72408392</paraID>
      <start>0</start>
      <end>5</end>
      <status>modified</status>
      <modifiedWord>CODcr</modifiedWord>
      <trackRevisions>false</trackRevisions>
    </reviewItem>
    <reviewItem>
      <errorID>d75215f6-633f-4560-a1d3-97ed0fa72541</errorID>
      <errorWord>STtK</errorWord>
      <group>L1_English</group>
      <groupName>英文问题</groupName>
      <ability>L2_Case</ability>
      <abilityName>大小写问题</abilityName>
      <candidateList>
        <item>STTK</item>
      </candidateList>
      <explain>疑似单词大小写错误，建议将STtK修改为STTK</explain>
      <paraID>60D7EAAD</paraID>
      <start>3</start>
      <end>7</end>
      <status>modified</status>
      <modifiedWord>STTK</modifiedWord>
      <trackRevisions>false</trackRevisions>
    </reviewItem>
    <reviewItem>
      <errorID>91fd3395-538e-4634-bfd5-37e1530e74ff</errorID>
      <errorWord>毫秒级</errorWord>
      <group>L1_Word</group>
      <groupName>字词问题</groupName>
      <ability>L2_Typo</ability>
      <abilityName>字词错误</abilityName>
      <candidateList>
        <item>毫秒</item>
      </candidateList>
      <explain/>
      <paraID>1B9D0A67</paraID>
      <start>73</start>
      <end>75</end>
      <status>modified</status>
      <modifiedWord>毫秒</modifiedWord>
      <trackRevisions>false</trackRevisions>
    </reviewItem>
    <reviewItem>
      <errorID>12eb0033-7ebd-4931-9336-2c4474597f2a</errorID>
      <errorWord>：</errorWord>
      <group>L1_Punc</group>
      <groupName>标点问题</groupName>
      <ability>L2_Punc_CN</ability>
      <abilityName>标点符号问题</abilityName>
      <candidateList>
        <item>，</item>
      </candidateList>
      <explain/>
      <paraID>58E01D5B</paraID>
      <start>113</start>
      <end>114</end>
      <status>modified</status>
      <modifiedWord>，</modifiedWord>
      <trackRevisions>false</trackRevisions>
    </reviewItem>
    <reviewItem>
      <errorID>b7d1ac0a-5085-4573-8245-6e3cf5a6788f</errorID>
      <errorWord>唯一SN码</errorWord>
      <group>L1_Other</group>
      <groupName>其他问题</groupName>
      <ability>L2_Consistency</ability>
      <abilityName>一致性检查</abilityName>
      <candidateList>
        <item>唯一SN标识</item>
      </candidateList>
      <explain>术语一致性，关于设备唯一身份编码的表述，原文统一使用“唯一SN标识”，此处表述不一致，应统一</explain>
      <paraID>4B9BABEC</paraID>
      <start>47</start>
      <end>53</end>
      <status>modified</status>
      <modifiedWord>唯一SN标识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7189069-af2d-4fda-98e4-e98dec8df9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2382</Words>
  <Characters>2748</Characters>
  <Lines>0</Lines>
  <Paragraphs>0</Paragraphs>
  <TotalTime>17</TotalTime>
  <ScaleCrop>false</ScaleCrop>
  <LinksUpToDate>false</LinksUpToDate>
  <CharactersWithSpaces>2759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2026-09-28T06:35:00Z</dcterms:created>
  <dc:creator>uinin</dc:creator>
  <cp:lastModifiedBy>旁默者</cp:lastModifiedBy>
  <cp:lastPrinted>2026-09-28T08:49:00Z</cp:lastPrinted>
  <dcterms:modified xsi:type="dcterms:W3CDTF">2026-11-03T00:33:47Z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eyJoZGlkIjoiYTZiZGNlZWZlMTAxYWIxODg2MDk0NmVkMmJlMjZmZDQiLCJ1c2VySWQiOiIzMTI4NjA4MTgifQ==</vt:lpwstr>
  </property>
  <property fmtid="{D5CDD505-2E9C-101B-9397-08002B2CF9AE}" pid="4" name="ICV">
    <vt:lpwstr>CD352D6CF49A4A689842EC950D277352_12</vt:lpwstr>
  </property>
</Properties>
</file>