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450B7">
      <w:pPr>
        <w:tabs>
          <w:tab w:val="left" w:pos="7740"/>
        </w:tabs>
        <w:adjustRightInd w:val="0"/>
        <w:snapToGrid w:val="0"/>
        <w:spacing w:line="30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茂名市人民医院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老年综合评估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zh-CN"/>
        </w:rPr>
        <w:t>系统</w:t>
      </w:r>
    </w:p>
    <w:p w14:paraId="24CB2D45">
      <w:pPr>
        <w:tabs>
          <w:tab w:val="left" w:pos="7740"/>
        </w:tabs>
        <w:adjustRightInd w:val="0"/>
        <w:snapToGrid w:val="0"/>
        <w:spacing w:line="30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zh-CN"/>
        </w:rPr>
        <w:t>项目用户需求书</w:t>
      </w:r>
    </w:p>
    <w:p w14:paraId="21948842">
      <w:pPr>
        <w:spacing w:line="360" w:lineRule="auto"/>
        <w:outlineLvl w:val="1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一、用户需求书</w:t>
      </w:r>
    </w:p>
    <w:p w14:paraId="5A3C1DCC">
      <w:pPr>
        <w:spacing w:line="360" w:lineRule="auto"/>
        <w:outlineLvl w:val="2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（一）项目背景</w:t>
      </w:r>
    </w:p>
    <w:p w14:paraId="7EBBC62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我国人口老龄化进程持续加快，失能、失智老年群体规模持续增长，健康老龄化成为健康中国战略重要组成部分。国家卫健委发布《老年医学科建设与管理指南（2025 版）》明确要求医疗机构老年医学科设置综合评估室，推行老年综合评估常规模式、共病处理模式以及多学科 MDT 团队工作模式，以老年患者为中心，最大限度维持、恢复老年人躯体功能状态。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同时 WS/T 888‑2026《医疗机构老年综合评估技术操作标准》正式落地，对老年综合评估的流程、量表、数据存储、报告输出、质控管理提出标准化硬性要求，医疗机构需要一套符合国标规范的信息化 CGA 系统支撑临床业务开展。</w:t>
      </w:r>
    </w:p>
    <w:p w14:paraId="704B7766">
      <w:pPr>
        <w:pStyle w:val="8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2.需求分析</w:t>
      </w:r>
    </w:p>
    <w:p w14:paraId="62156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2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传统纸质评估模式存在量表繁多、计算繁琐、人为误差大、评估耗时长、档案不易留存、无法纵向对比复评结果、难以支撑医联体数据流转与科研统计等痛点。传统单病种医学评估只关注疾病诊断，无法覆盖躯体功能、心理情绪、社会支持、居家环境、多重用药、老年综合征等多维要素，已经不能满足现代老年医学临床需求。</w:t>
      </w:r>
    </w:p>
    <w:p w14:paraId="7C3B708D">
      <w:pPr>
        <w:spacing w:line="360" w:lineRule="auto"/>
        <w:outlineLvl w:val="2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（二）建设目标</w:t>
      </w:r>
    </w:p>
    <w:p w14:paraId="25096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老年综合评估（CGA）是现代老年医学核心技术，通过多学科手段对老年人躯体、功能、心理、社会环境开展全面评估，制定个体化防治、照护方案，维护老年人内在能力，提升老年人群生活质量。数字化信息化是实现 CGA 标准化落地的关键抓手，能够实现快速筛查、风险分级、智能报告、院内-医联体-社区双向转诊、随访闭环管理，打通从筛查、评估、干预、随访到科研分析的全业务链路。</w:t>
      </w:r>
    </w:p>
    <w:p w14:paraId="4EE8109D">
      <w:pPr>
        <w:spacing w:line="360" w:lineRule="auto"/>
        <w:outlineLvl w:val="2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技术要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求</w:t>
      </w:r>
    </w:p>
    <w:p w14:paraId="5955BFAB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系统整体建设需遵循稳定性、安全性、易维护性、易操作性、可扩展性及开放性的通用建设原则，全面符合国家及行业现行相关技术标准、功能规范、数据规范、建设与管理规范要求，满足常态化业务运行与长期迭代使用需求。</w:t>
      </w:r>
    </w:p>
    <w:p w14:paraId="64FE09E7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2、系统采用跨平台、高扩展性、现代化的主流开发语言进行研发，具备完备的类型校验机制，可有效保障系统运行健壮性与稳定性，同时具备敏捷迭代特性，可快速适配业务调整、功能优化等各类需求。</w:t>
      </w:r>
    </w:p>
    <w:p w14:paraId="4157B579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、系统采用行业通用MVC架构设计模式，实现表现层、控制层与业务层的解耦分离，结构清晰、逻辑分层明确，便于后期功能拓展、问题排查与系统维护。</w:t>
      </w:r>
    </w:p>
    <w:p w14:paraId="34E8C0D2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、系统具备灵活的多维度筛选检索能力，支持根据岗位业务操作习惯、工作场景个性化配置检索条件，同时支持页面可视化展示样式、布局的自定义配置，适配不同使用人员的操作习惯。</w:t>
      </w:r>
    </w:p>
    <w:p w14:paraId="06F0CEE1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、系统支持本地化部署，老年综合评估系统可与院方 HIS 系统实现对接。支持由 HIS端发起评估申请，评估完成后自动将评估原始数据及评估报告回传至HIS系统，评估数据可纳入医院统一数据评估管理体系。</w:t>
      </w:r>
    </w:p>
    <w:p w14:paraId="421998F0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、系统具备全方位老年综合评估能力，覆盖一般医学评估、躯体功能评估、神经心理评估、社会支持评估等多类核心评估维度，内置标准化评估量表总量不少于186套，可满足各类老年评估业务场景使用需求。</w:t>
      </w:r>
    </w:p>
    <w:p w14:paraId="7DC1E323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、系统配备多版本标准化评估报告模板，支持不同场景报告输出需求。报告模板结构完整，可涵盖封面、阅读指引、受检者基础信息、评估问题汇总、评估结果分析、综合解读等完整内容，报告格式规范、内容清晰。</w:t>
      </w:r>
    </w:p>
    <w:p w14:paraId="3FD9EFAF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、系统支持灵活的量表自主组合功能，操作人员可根据实际业务场景、临床评估需求，自由选择、组合各类评估量表，完成测评后系统可自动匹配生成对应完整评估报告，适配个性化评估工作需求。</w:t>
      </w:r>
    </w:p>
    <w:p w14:paraId="3BAF4558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、系统支持评估套餐自定义创设与管理，操作人员可将高频、常用的评估量表组合保存为固定评估套餐，支持套餐的新增、编辑、修改与复用，有效简化测评操作流程，大幅提升批量评估、常规评估的工作效率。</w:t>
      </w:r>
    </w:p>
    <w:p w14:paraId="69BCDF8C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、系统具备完善的分级用户与权限管理体系，支持超级管理员创建多级别、多岗位操作账号，可根据岗位职责、工作范围差异化分配操作权限、数据查看权限与功能使用权限，实现精细化权限管控。</w:t>
      </w:r>
    </w:p>
    <w:p w14:paraId="1403555A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、系统支持模糊检索与精准检索相结合的多条件组合查询功能，支持按管理分级维度、时间区间（当日、本周、本月、本年）、人员基础信息等各类条件快速检索筛查评估档案，检索响应高效、结果精准。</w:t>
      </w:r>
    </w:p>
    <w:p w14:paraId="4C111086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、系统内置语音导读模块，支持测评题目语音播报，具备音量自由调节、重复播报、暂停/取消播报等功能，可适配不同受检者的接收能力，提升测评便捷度。</w:t>
      </w:r>
    </w:p>
    <w:p w14:paraId="5FF1649A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、系统支持记忆类测评项目的延时提醒功能，待预设延迟时间结束后，系统自动弹窗提醒，引导开展后续测评项目，严格契合标准化测评时序要求。</w:t>
      </w:r>
    </w:p>
    <w:p w14:paraId="779E0604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/>
          <w:sz w:val="32"/>
          <w:szCs w:val="32"/>
        </w:rPr>
        <w:t>、系统具备安全的数据导出能力，支持对测评原始数据、统计数据、分析图表等内容进行脱敏处理后批量导出，可满足临床业务复盘、医学科研统计、数据分析等使用需求。</w:t>
      </w:r>
    </w:p>
    <w:p w14:paraId="3EED0551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/>
          <w:sz w:val="32"/>
          <w:szCs w:val="32"/>
        </w:rPr>
        <w:t>、系统支持电子签名自定义配置，可实现评估报告自动签章功能，无需人工手动签名，简化报告出具流程，提升报告签发效率与规范性。</w:t>
      </w:r>
    </w:p>
    <w:p w14:paraId="70F09212"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738EE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103009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103009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C368E3"/>
    <w:multiLevelType w:val="multilevel"/>
    <w:tmpl w:val="DBC368E3"/>
    <w:lvl w:ilvl="0" w:tentative="0">
      <w:start w:val="1"/>
      <w:numFmt w:val="chineseCounting"/>
      <w:lvlText w:val="%1."/>
      <w:lvlJc w:val="left"/>
      <w:pPr>
        <w:ind w:left="432" w:hanging="432"/>
      </w:pPr>
      <w:rPr>
        <w:rFonts w:hint="eastAsia" w:ascii="宋体" w:hAnsi="宋体" w:eastAsia="宋体" w:cs="宋体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 w:ascii="宋体" w:hAnsi="宋体" w:eastAsia="宋体" w:cs="宋体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 w:ascii="宋体" w:hAnsi="宋体" w:eastAsia="宋体" w:cs="宋体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 w:ascii="宋体" w:hAnsi="宋体" w:eastAsia="宋体" w:cs="宋体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 w:ascii="宋体" w:hAnsi="宋体" w:eastAsia="宋体" w:cs="宋体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 w:ascii="宋体" w:hAnsi="宋体" w:eastAsia="宋体" w:cs="宋体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RlZDY3MGY1MWE5NTAwNzk2NjAzNWRiNDE4MDVhNDkifQ=="/>
  </w:docVars>
  <w:rsids>
    <w:rsidRoot w:val="30E200AC"/>
    <w:rsid w:val="005D03B0"/>
    <w:rsid w:val="00BC078B"/>
    <w:rsid w:val="00C53C72"/>
    <w:rsid w:val="00DC1520"/>
    <w:rsid w:val="00E829DB"/>
    <w:rsid w:val="2A4525E7"/>
    <w:rsid w:val="30E200AC"/>
    <w:rsid w:val="31EC7791"/>
    <w:rsid w:val="4E6D4762"/>
    <w:rsid w:val="59C02DB5"/>
    <w:rsid w:val="7EAB1842"/>
    <w:rsid w:val="7F7D5C28"/>
    <w:rsid w:val="EFFF5CFF"/>
    <w:rsid w:val="F835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outlineLvl w:val="0"/>
    </w:pPr>
    <w:rPr>
      <w:b/>
      <w:bCs/>
      <w:kern w:val="44"/>
      <w:szCs w:val="44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9"/>
    <w:pPr>
      <w:keepNext/>
      <w:keepLines/>
      <w:numPr>
        <w:ilvl w:val="3"/>
        <w:numId w:val="1"/>
      </w:numPr>
      <w:outlineLvl w:val="3"/>
    </w:pPr>
    <w:rPr>
      <w:rFonts w:hint="eastAsia" w:ascii="宋体" w:hAnsi="宋体"/>
      <w:b/>
      <w:bCs/>
      <w:sz w:val="32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Indent"/>
    <w:basedOn w:val="1"/>
    <w:next w:val="7"/>
    <w:unhideWhenUsed/>
    <w:qFormat/>
    <w:uiPriority w:val="99"/>
    <w:pPr>
      <w:ind w:firstLine="420"/>
    </w:pPr>
  </w:style>
  <w:style w:type="paragraph" w:customStyle="1" w:styleId="7">
    <w:name w:val="正文样式"/>
    <w:basedOn w:val="1"/>
    <w:qFormat/>
    <w:uiPriority w:val="0"/>
    <w:pPr>
      <w:ind w:firstLine="480"/>
    </w:pPr>
    <w:rPr>
      <w:sz w:val="24"/>
      <w:szCs w:val="20"/>
    </w:rPr>
  </w:style>
  <w:style w:type="paragraph" w:styleId="8">
    <w:name w:val="Body Text"/>
    <w:basedOn w:val="1"/>
    <w:next w:val="1"/>
    <w:unhideWhenUsed/>
    <w:qFormat/>
    <w:uiPriority w:val="99"/>
    <w:pPr>
      <w:widowControl/>
      <w:adjustRightInd w:val="0"/>
      <w:snapToGrid w:val="0"/>
      <w:spacing w:after="120"/>
      <w:jc w:val="left"/>
    </w:pPr>
    <w:rPr>
      <w:rFonts w:ascii="Tahoma" w:hAnsi="Tahoma" w:eastAsia="微软雅黑"/>
      <w:kern w:val="0"/>
      <w:sz w:val="22"/>
      <w:szCs w:val="22"/>
    </w:rPr>
  </w:style>
  <w:style w:type="paragraph" w:styleId="9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18"/>
    </w:rPr>
  </w:style>
  <w:style w:type="paragraph" w:styleId="10">
    <w:name w:val="toc 2"/>
    <w:basedOn w:val="1"/>
    <w:next w:val="1"/>
    <w:unhideWhenUsed/>
    <w:qFormat/>
    <w:uiPriority w:val="39"/>
    <w:pPr>
      <w:ind w:left="240"/>
      <w:jc w:val="left"/>
    </w:pPr>
    <w:rPr>
      <w:rFonts w:ascii="Calibri" w:hAnsi="Calibri" w:cs="Calibri"/>
      <w:smallCaps/>
      <w:sz w:val="20"/>
      <w:szCs w:val="20"/>
    </w:rPr>
  </w:style>
  <w:style w:type="paragraph" w:customStyle="1" w:styleId="13">
    <w:name w:val="Default"/>
    <w:next w:val="5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4">
    <w:name w:val="列表段落1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15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</w:rPr>
  </w:style>
  <w:style w:type="paragraph" w:customStyle="1" w:styleId="16">
    <w:name w:val="表格 - 正文"/>
    <w:basedOn w:val="1"/>
    <w:qFormat/>
    <w:uiPriority w:val="0"/>
    <w:pPr>
      <w:snapToGrid w:val="0"/>
      <w:spacing w:before="120" w:after="12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1221</Words>
  <Characters>1243</Characters>
  <Lines>21</Lines>
  <Paragraphs>6</Paragraphs>
  <TotalTime>4</TotalTime>
  <ScaleCrop>false</ScaleCrop>
  <LinksUpToDate>false</LinksUpToDate>
  <CharactersWithSpaces>1253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2026-08-24T14:03:00Z</dcterms:created>
  <dc:creator>陈森-Conson</dc:creator>
  <cp:lastModifiedBy>心悦</cp:lastModifiedBy>
  <dcterms:modified xsi:type="dcterms:W3CDTF">2026-09-20T08:37:39Z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ED9044CC7F224F30B7B64DE295660540_13</vt:lpwstr>
  </property>
  <property fmtid="{D5CDD505-2E9C-101B-9397-08002B2CF9AE}" pid="4" name="KSOTemplateDocerSaveRecord">
    <vt:lpwstr>eyJoZGlkIjoiNDJkNzJmZmFlNTFmZjE2OTg2MGY1ODk3YjA3OGMzYWYiLCJ1c2VySWQiOiIzMTUzNTU0ODEifQ==</vt:lpwstr>
  </property>
</Properties>
</file>