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51082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b w:val="0"/>
          <w:bCs w:val="0"/>
          <w:kern w:val="0"/>
          <w:sz w:val="44"/>
          <w:szCs w:val="44"/>
          <w:lang w:val="en-US" w:eastAsia="zh-CN" w:bidi="ar"/>
        </w:rPr>
      </w:pPr>
      <w:bookmarkStart w:id="0" w:name="heading_0"/>
    </w:p>
    <w:p w14:paraId="57FEE5C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7D54638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茂名市人民医院存储场所防盗安全门改造更换项目需求方案</w:t>
      </w:r>
      <w:bookmarkStart w:id="16" w:name="_GoBack"/>
      <w:bookmarkEnd w:id="16"/>
    </w:p>
    <w:p w14:paraId="7223E2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left="0"/>
        <w:jc w:val="left"/>
        <w:textAlignment w:val="auto"/>
        <w:outlineLvl w:val="1"/>
        <w:rPr>
          <w:rFonts w:hint="eastAsia" w:ascii="仿宋" w:hAnsi="仿宋" w:eastAsia="仿宋" w:cs="仿宋"/>
          <w:b/>
          <w:sz w:val="32"/>
          <w:szCs w:val="32"/>
        </w:rPr>
      </w:pPr>
    </w:p>
    <w:p w14:paraId="756979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left="0"/>
        <w:jc w:val="left"/>
        <w:textAlignment w:val="auto"/>
        <w:outlineLvl w:val="1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一、项目概况</w:t>
      </w:r>
      <w:bookmarkEnd w:id="0"/>
    </w:p>
    <w:p w14:paraId="190FBE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left="0"/>
        <w:jc w:val="left"/>
        <w:textAlignment w:val="auto"/>
        <w:outlineLvl w:val="1"/>
        <w:rPr>
          <w:rFonts w:hint="eastAsia" w:ascii="仿宋" w:hAnsi="仿宋" w:eastAsia="仿宋" w:cs="仿宋"/>
          <w:b/>
          <w:bCs w:val="0"/>
          <w:sz w:val="32"/>
          <w:szCs w:val="32"/>
        </w:rPr>
      </w:pPr>
      <w:bookmarkStart w:id="1" w:name="heading_1"/>
      <w:r>
        <w:rPr>
          <w:rFonts w:hint="eastAsia" w:ascii="仿宋" w:hAnsi="仿宋" w:eastAsia="仿宋" w:cs="仿宋"/>
          <w:b/>
          <w:bCs w:val="0"/>
          <w:sz w:val="32"/>
          <w:szCs w:val="32"/>
        </w:rPr>
        <w:t>1.1 项目背景</w:t>
      </w:r>
      <w:bookmarkEnd w:id="1"/>
    </w:p>
    <w:p w14:paraId="086CDB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根据2026年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日发布GB/T31458—2026《医院安全防范要求》规范要求，致病微生物、血液、“毒、麻、精、放” 等管制药（物）品、医疗核放射物质、易燃易爆物品、易制爆危险化学品、贵重金属等存储场所的出入口应设置符合GB17565—2022规定的3级(含)以上防盗安全门。我院药房、危化品仓库、中心药房共计5处场所现有防护门不满足现行国家规范要求，存在安全防范隐患。为落实医院安防管理要求，保障管制药品、危化品等重要物资存储安全，防范被盗、非法侵入等安全风险，拟实施管制物品存储场所防盗安全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改造更换</w:t>
      </w:r>
      <w:r>
        <w:rPr>
          <w:rFonts w:hint="eastAsia" w:ascii="仿宋" w:hAnsi="仿宋" w:eastAsia="仿宋" w:cs="仿宋"/>
          <w:sz w:val="32"/>
          <w:szCs w:val="32"/>
        </w:rPr>
        <w:t>项目。</w:t>
      </w:r>
    </w:p>
    <w:p w14:paraId="488812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left="0"/>
        <w:jc w:val="left"/>
        <w:textAlignment w:val="auto"/>
        <w:outlineLvl w:val="1"/>
        <w:rPr>
          <w:rFonts w:hint="eastAsia" w:ascii="仿宋" w:hAnsi="仿宋" w:eastAsia="仿宋" w:cs="仿宋"/>
          <w:b/>
          <w:bCs w:val="0"/>
          <w:sz w:val="32"/>
          <w:szCs w:val="32"/>
        </w:rPr>
      </w:pPr>
      <w:bookmarkStart w:id="2" w:name="heading_2"/>
      <w:r>
        <w:rPr>
          <w:rFonts w:hint="eastAsia" w:ascii="仿宋" w:hAnsi="仿宋" w:eastAsia="仿宋" w:cs="仿宋"/>
          <w:b/>
          <w:bCs w:val="0"/>
          <w:sz w:val="32"/>
          <w:szCs w:val="32"/>
        </w:rPr>
        <w:t>1.2 项目目标</w:t>
      </w:r>
      <w:bookmarkEnd w:id="2"/>
    </w:p>
    <w:p w14:paraId="10C0AD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通过本项目完成5套3级及以上防盗安全门采购、旧门拆除清运、运输搬运、现场安装、人脸识别门禁设备安装调试，门禁系统接入医院消防控制室，建成符合 GB/T 31458—2026、GB17565—2022 标准要求的安防防护体系，满足医院重点场所 7×24 小时安全防护管控要求，消除重点物资存储区域安防隐患。</w:t>
      </w:r>
    </w:p>
    <w:p w14:paraId="4B6B30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left="0"/>
        <w:jc w:val="left"/>
        <w:textAlignment w:val="auto"/>
        <w:outlineLvl w:val="1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3" w:name="heading_3"/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二、项目实施范围</w:t>
      </w:r>
      <w:bookmarkEnd w:id="3"/>
    </w:p>
    <w:p w14:paraId="681D17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left="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本次项目实施范围包含以下全流程工作内容：</w:t>
      </w:r>
    </w:p>
    <w:p w14:paraId="3CDCA2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1.旧门拆除清运：对5处点位原有旧防盗门进行拆除，拆除旧门搬运下楼、垃圾清运处置，做好周边医疗设施、墙面地面成品保护；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2.设备采购与运输：负责全部防盗安全门、配套人脸识别门禁设备采购、运输、卸货；因医院电梯空间较小，全部设备需人工搬运至安装点位；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3.现场安装施工：防盗安全门现场就位、固定安装、门框处理，配套人脸识别门禁设备安装、布线接线；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4.系统调试：完成单樘门及门禁单机调试，完成人脸识别门禁链接消防控制室对接调试，实现门禁系统正常管控、信号上传；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5.验收配合：配合院方完成现场实物核对、功能测试、项目验收；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6.运维服务：提供质保期内维修、故障处理，对院方安保、后勤管理人员开展操作使用培训服务；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7.资料移交：提供防盗安全门检测报告、产品合格证、门禁设备资料、调试记录等全套竣工资料。</w:t>
      </w:r>
    </w:p>
    <w:p w14:paraId="3AC802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left="0"/>
        <w:jc w:val="left"/>
        <w:textAlignment w:val="auto"/>
        <w:outlineLvl w:val="1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4" w:name="heading_4"/>
      <w:r>
        <w:rPr>
          <w:rFonts w:hint="eastAsia" w:ascii="黑体" w:hAnsi="黑体" w:eastAsia="黑体" w:cs="黑体"/>
          <w:b w:val="0"/>
          <w:bCs/>
          <w:sz w:val="32"/>
          <w:szCs w:val="32"/>
        </w:rPr>
        <w:t>三、设备安装明细及基础技术要求</w:t>
      </w:r>
      <w:bookmarkEnd w:id="4"/>
    </w:p>
    <w:p w14:paraId="359D43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left="0"/>
        <w:jc w:val="left"/>
        <w:textAlignment w:val="auto"/>
        <w:outlineLvl w:val="1"/>
        <w:rPr>
          <w:rFonts w:hint="eastAsia" w:ascii="仿宋" w:hAnsi="仿宋" w:eastAsia="仿宋" w:cs="仿宋"/>
          <w:b/>
          <w:bCs w:val="0"/>
          <w:sz w:val="32"/>
          <w:szCs w:val="32"/>
        </w:rPr>
      </w:pPr>
      <w:bookmarkStart w:id="5" w:name="heading_5"/>
      <w:r>
        <w:rPr>
          <w:rFonts w:hint="eastAsia" w:ascii="仿宋" w:hAnsi="仿宋" w:eastAsia="仿宋" w:cs="仿宋"/>
          <w:b/>
          <w:bCs w:val="0"/>
          <w:sz w:val="32"/>
          <w:szCs w:val="32"/>
        </w:rPr>
        <w:t>3.1 设备安装明细</w:t>
      </w:r>
      <w:bookmarkEnd w:id="5"/>
    </w:p>
    <w:p w14:paraId="0B0BBE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本次项目需完成5套304不锈钢 3 级（含）以上防盗安全门及配套人脸识别门禁系统供货安装调试，设备参数明细如下：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15"/>
        <w:gridCol w:w="915"/>
        <w:gridCol w:w="915"/>
        <w:gridCol w:w="915"/>
        <w:gridCol w:w="915"/>
        <w:gridCol w:w="915"/>
        <w:gridCol w:w="915"/>
        <w:gridCol w:w="915"/>
        <w:gridCol w:w="915"/>
      </w:tblGrid>
      <w:tr w14:paraId="44494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2190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序号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A7FD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材质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993D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包框尺寸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宽</w:t>
            </w:r>
            <w:r>
              <w:rPr>
                <w:rFonts w:hint="eastAsia" w:ascii="仿宋" w:hAnsi="仿宋" w:eastAsia="仿宋" w:cs="仿宋"/>
                <w:i/>
                <w:sz w:val="24"/>
                <w:szCs w:val="24"/>
              </w:rPr>
              <w:t>高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框厚 (mm)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3412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门向 / 锁向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D559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数量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8FCF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单位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D632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吊脚 / 地框要求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1C1B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附属结构要求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2088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配套设备</w:t>
            </w:r>
          </w:p>
        </w:tc>
      </w:tr>
      <w:tr w14:paraId="79DA3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826A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B21A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304 不锈钢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C1E2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950×2100×200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F971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右锁外开，外包边，单独内包边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319D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A013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樘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DEAD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配平地框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CDC9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全封闭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910D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人脸识别门禁</w:t>
            </w:r>
          </w:p>
        </w:tc>
      </w:tr>
      <w:tr w14:paraId="60DE7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4CB0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2ED3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304 不锈钢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9A7A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1470×2110×200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9A0D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双门内开，右门先开，外包边，单独内包边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CCE3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E23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樘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66B5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配平地框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D6AD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全封闭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EDCC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人脸识别门禁</w:t>
            </w:r>
          </w:p>
        </w:tc>
      </w:tr>
      <w:tr w14:paraId="28B73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ED08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DDF3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304 不锈钢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BAFF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1550×2150×200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B4C6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双门内开，右门先开，外包边，单独内包边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BE14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B84D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樘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3822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配平地框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09E4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全封闭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3F77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人脸识别门禁</w:t>
            </w:r>
          </w:p>
        </w:tc>
      </w:tr>
      <w:tr w14:paraId="0B22A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0DCE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0C93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304 不锈钢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FDC5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1000×2000×200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739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左锁外开，外包边，单独内包边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D296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8FC0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樘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1673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配平地框</w:t>
            </w:r>
          </w:p>
          <w:p w14:paraId="5DFFB5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07E8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全封闭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20A8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人脸识别门禁</w:t>
            </w:r>
          </w:p>
        </w:tc>
      </w:tr>
      <w:tr w14:paraId="26842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8AC3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068A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304 不锈钢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1D88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960×2150×100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E317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左锁外开，外包边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282E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8D6B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樘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30FE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配平地框 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4B48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全封闭</w:t>
            </w:r>
          </w:p>
        </w:tc>
        <w:tc>
          <w:tcPr>
            <w:tcW w:w="9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E6B5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人脸识别门禁</w:t>
            </w:r>
          </w:p>
        </w:tc>
      </w:tr>
    </w:tbl>
    <w:p w14:paraId="19269A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备注：安装点位分布：药房 2 处、危化品仓库 1 处、中心药房 2 处。全部包含旧门拆除及清运下楼费、人工搬运费（医院电梯较小，需人工搬运）、运输卸货费、安装费、门禁链接消防控制室调试费。</w:t>
      </w:r>
    </w:p>
    <w:p w14:paraId="532FDB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left="0"/>
        <w:jc w:val="left"/>
        <w:textAlignment w:val="auto"/>
        <w:outlineLvl w:val="1"/>
        <w:rPr>
          <w:rFonts w:hint="eastAsia" w:ascii="仿宋" w:hAnsi="仿宋" w:eastAsia="仿宋" w:cs="仿宋"/>
          <w:b/>
          <w:bCs w:val="0"/>
          <w:sz w:val="32"/>
          <w:szCs w:val="32"/>
        </w:rPr>
      </w:pPr>
      <w:bookmarkStart w:id="6" w:name="heading_6"/>
      <w:r>
        <w:rPr>
          <w:rFonts w:hint="eastAsia" w:ascii="仿宋" w:hAnsi="仿宋" w:eastAsia="仿宋" w:cs="仿宋"/>
          <w:b/>
          <w:bCs w:val="0"/>
          <w:sz w:val="32"/>
          <w:szCs w:val="32"/>
        </w:rPr>
        <w:t>3.2 通用技术要求</w:t>
      </w:r>
      <w:bookmarkEnd w:id="6"/>
    </w:p>
    <w:p w14:paraId="6B39B8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1.防盗安全门必须满足 GB17565—2022 标准，防盗安全等级达</w:t>
      </w:r>
      <w:r>
        <w:rPr>
          <w:rFonts w:hint="eastAsia" w:ascii="仿宋" w:hAnsi="仿宋" w:eastAsia="仿宋" w:cs="仿宋"/>
          <w:sz w:val="32"/>
          <w:szCs w:val="32"/>
        </w:rPr>
        <w:t>到3 级（含）以上，同时满足 GB/</w:t>
      </w:r>
      <w:r>
        <w:rPr>
          <w:rFonts w:hint="eastAsia" w:ascii="仿宋" w:hAnsi="仿宋" w:eastAsia="仿宋" w:cs="仿宋"/>
          <w:sz w:val="32"/>
          <w:szCs w:val="32"/>
        </w:rPr>
        <w:t>T 31458—2026《医院安全防范要求》相关条款要求；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2.所有产品需具备有效的型式检验报告、出厂合格证，进场后经院方核验合格后方可进场安装；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3.门体材质为 304 不锈钢，严格按照上表尺寸、开启方向、地框形式、全封闭无猫眼视窗的要求制作生产；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4.人脸识别门禁设备需稳定接入医院消防控制室，实现门禁状态信号上传，通讯稳定，无信号丢失；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5.整套门体、锁具、门禁系统整体具备防暴力破坏、防技术开启能力，适配医院重点管制物品存储场所安防管控需求。</w:t>
      </w:r>
    </w:p>
    <w:p w14:paraId="71E88B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left="0"/>
        <w:jc w:val="left"/>
        <w:textAlignment w:val="auto"/>
        <w:outlineLvl w:val="1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7" w:name="heading_7"/>
      <w:r>
        <w:rPr>
          <w:rFonts w:hint="eastAsia" w:ascii="黑体" w:hAnsi="黑体" w:eastAsia="黑体" w:cs="黑体"/>
          <w:b w:val="0"/>
          <w:bCs/>
          <w:sz w:val="32"/>
          <w:szCs w:val="32"/>
        </w:rPr>
        <w:t>四、防盗安全门及门禁系统专项要求</w:t>
      </w:r>
      <w:bookmarkEnd w:id="7"/>
    </w:p>
    <w:p w14:paraId="39A82C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left="0"/>
        <w:jc w:val="left"/>
        <w:textAlignment w:val="auto"/>
        <w:outlineLvl w:val="1"/>
        <w:rPr>
          <w:rFonts w:hint="eastAsia" w:ascii="仿宋" w:hAnsi="仿宋" w:eastAsia="仿宋" w:cs="仿宋"/>
          <w:b/>
          <w:bCs w:val="0"/>
          <w:sz w:val="32"/>
          <w:szCs w:val="32"/>
        </w:rPr>
      </w:pPr>
      <w:bookmarkStart w:id="8" w:name="heading_8"/>
      <w:r>
        <w:rPr>
          <w:rFonts w:hint="eastAsia" w:ascii="仿宋" w:hAnsi="仿宋" w:eastAsia="仿宋" w:cs="仿宋"/>
          <w:b/>
          <w:bCs w:val="0"/>
          <w:sz w:val="32"/>
          <w:szCs w:val="32"/>
        </w:rPr>
        <w:t>4.1 产品选型要求</w:t>
      </w:r>
      <w:bookmarkEnd w:id="8"/>
    </w:p>
    <w:p w14:paraId="197B74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1.防盗安全门生产厂家为国内正规安防门生产企业，具备 GB17565‑2022 对应的防盗安全门 3 级及以上型式检验报告；</w:t>
      </w:r>
    </w:p>
    <w:p w14:paraId="3A8687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left="0"/>
        <w:jc w:val="left"/>
        <w:textAlignment w:val="auto"/>
        <w:outlineLvl w:val="1"/>
        <w:rPr>
          <w:rFonts w:hint="eastAsia" w:ascii="仿宋" w:hAnsi="仿宋" w:eastAsia="仿宋" w:cs="仿宋"/>
          <w:b/>
          <w:bCs w:val="0"/>
          <w:sz w:val="32"/>
          <w:szCs w:val="32"/>
        </w:rPr>
      </w:pPr>
      <w:bookmarkStart w:id="9" w:name="heading_9"/>
      <w:r>
        <w:rPr>
          <w:rFonts w:hint="eastAsia" w:ascii="仿宋" w:hAnsi="仿宋" w:eastAsia="仿宋" w:cs="仿宋"/>
          <w:b/>
          <w:bCs w:val="0"/>
          <w:sz w:val="32"/>
          <w:szCs w:val="32"/>
        </w:rPr>
        <w:t>4.2 技术参数</w:t>
      </w:r>
      <w:bookmarkEnd w:id="9"/>
    </w:p>
    <w:p w14:paraId="1E63DF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left="0"/>
        <w:jc w:val="left"/>
        <w:textAlignment w:val="auto"/>
        <w:outlineLvl w:val="1"/>
        <w:rPr>
          <w:rFonts w:hint="eastAsia" w:ascii="仿宋" w:hAnsi="仿宋" w:eastAsia="仿宋" w:cs="仿宋"/>
          <w:b/>
          <w:bCs w:val="0"/>
          <w:sz w:val="32"/>
          <w:szCs w:val="32"/>
        </w:rPr>
      </w:pPr>
    </w:p>
    <w:tbl>
      <w:tblPr>
        <w:tblStyle w:val="4"/>
        <w:tblW w:w="86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0"/>
        <w:gridCol w:w="5654"/>
      </w:tblGrid>
      <w:tr w14:paraId="40880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5843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指标项</w:t>
            </w:r>
          </w:p>
        </w:tc>
        <w:tc>
          <w:tcPr>
            <w:tcW w:w="565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6A33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技术要求</w:t>
            </w:r>
          </w:p>
        </w:tc>
      </w:tr>
      <w:tr w14:paraId="43752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D2A7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防盗安全门标准</w:t>
            </w:r>
          </w:p>
        </w:tc>
        <w:tc>
          <w:tcPr>
            <w:tcW w:w="56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730F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符合 GB17565‑2022，防盗安全等级≥3 级，满足 GB/T 31458‑2026 医院安防规范</w:t>
            </w:r>
          </w:p>
        </w:tc>
      </w:tr>
      <w:tr w14:paraId="49E1F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847A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门体材质</w:t>
            </w:r>
          </w:p>
        </w:tc>
        <w:tc>
          <w:tcPr>
            <w:tcW w:w="56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331A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门体门框均采用 304 不锈钢材质，严格执行采购清单包框尺寸参数</w:t>
            </w:r>
          </w:p>
        </w:tc>
      </w:tr>
      <w:tr w14:paraId="20503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85CF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门体结构</w:t>
            </w:r>
          </w:p>
        </w:tc>
        <w:tc>
          <w:tcPr>
            <w:tcW w:w="56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2C4E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全封闭结构，不得设置猫眼、观察视窗；严格执行外包边、单独内包边工艺；全部采用平地框，不采用子口地框，不设置吊脚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。</w:t>
            </w:r>
          </w:p>
        </w:tc>
      </w:tr>
      <w:tr w14:paraId="30246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F91A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锁具性能</w:t>
            </w:r>
          </w:p>
        </w:tc>
        <w:tc>
          <w:tcPr>
            <w:tcW w:w="56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72AA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配套锁具满足 GB17565‑2022 三级防盗门锁具要求，防技术开启、防暴力破坏指标达标</w:t>
            </w:r>
          </w:p>
        </w:tc>
      </w:tr>
      <w:tr w14:paraId="36A2E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0C40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门禁识别</w:t>
            </w:r>
          </w:p>
        </w:tc>
        <w:tc>
          <w:tcPr>
            <w:tcW w:w="56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BDF4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配套人脸识别门禁，识别快速准确，支持权限分级管理；故障可保留机械应急开启方式</w:t>
            </w:r>
          </w:p>
        </w:tc>
      </w:tr>
      <w:tr w14:paraId="7B573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E9F2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系统对接</w:t>
            </w:r>
          </w:p>
        </w:tc>
        <w:tc>
          <w:tcPr>
            <w:tcW w:w="56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9874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门禁信号可稳定接入医院消防控制室，门开关状态、异常闯入、开门超时等信号可上传，通讯链路稳定可靠</w:t>
            </w:r>
          </w:p>
        </w:tc>
      </w:tr>
      <w:tr w14:paraId="1910A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A8A1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抗环境能力</w:t>
            </w:r>
          </w:p>
        </w:tc>
        <w:tc>
          <w:tcPr>
            <w:tcW w:w="56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F121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门体耐腐蚀，适应医院室内环境；门禁设备具备防尘防潮，适应库房环境；</w:t>
            </w:r>
          </w:p>
          <w:p w14:paraId="4CB67E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68328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585F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扩展能力</w:t>
            </w:r>
          </w:p>
        </w:tc>
        <w:tc>
          <w:tcPr>
            <w:tcW w:w="56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54D1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after="6" w:line="560" w:lineRule="exact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门禁支持权限管理、开门记录存储，可对接医院现有安防管理体系</w:t>
            </w:r>
          </w:p>
        </w:tc>
      </w:tr>
    </w:tbl>
    <w:p w14:paraId="588EBE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left="0"/>
        <w:jc w:val="left"/>
        <w:textAlignment w:val="auto"/>
        <w:outlineLvl w:val="1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10" w:name="heading_10"/>
      <w:r>
        <w:rPr>
          <w:rFonts w:hint="eastAsia" w:ascii="黑体" w:hAnsi="黑体" w:eastAsia="黑体" w:cs="黑体"/>
          <w:b w:val="0"/>
          <w:bCs/>
          <w:sz w:val="32"/>
          <w:szCs w:val="32"/>
        </w:rPr>
        <w:t>五、施工实施要求</w:t>
      </w:r>
      <w:bookmarkEnd w:id="10"/>
    </w:p>
    <w:p w14:paraId="296A1B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1.现场保护要求：拆除旧门、安装新门全过程，对周边墙面、地面、医疗设施、管线做好成品保护；施工造成墙体破损，施工单位需要及时修补恢复原貌。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2.安全文明施工：施工期间严格遵守医院院区管理规定，做好危化品、管制药品区域施工安全防护，施工垃圾日产日清，保持现场整洁。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3.施工规范要求：门体安装垂直平整，门框与墙体缝隙填充密实密封；门禁布线规整，线路标识清晰；不得破坏原有建筑结构；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4.进度管控：合理安排施工时间，避开医院诊疗高峰，尽量降低对药房、库房正常工作的干扰；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5.现场管理：施工人员统一着装佩戴工牌，遵守医院门禁、安防管理规定，服从院方现场管理人员调度；进入毒麻、危化品存储区域严格执行医院准入审批制度。</w:t>
      </w:r>
    </w:p>
    <w:p w14:paraId="36D0A8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left="0"/>
        <w:jc w:val="left"/>
        <w:textAlignment w:val="auto"/>
        <w:outlineLvl w:val="1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11" w:name="heading_11"/>
      <w:r>
        <w:rPr>
          <w:rFonts w:hint="eastAsia" w:ascii="黑体" w:hAnsi="黑体" w:eastAsia="黑体" w:cs="黑体"/>
          <w:b w:val="0"/>
          <w:bCs/>
          <w:sz w:val="32"/>
          <w:szCs w:val="32"/>
        </w:rPr>
        <w:t>六、系统调试与验收要求</w:t>
      </w:r>
      <w:bookmarkEnd w:id="11"/>
    </w:p>
    <w:p w14:paraId="739718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1.单机调试：每樘防盗安全门安装完成后，完成门体开合、锁具启闭单机调试；人脸识别门禁通电测试，人脸识别、刷卡、应急钥匙功能全部验证。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2.系统对接调试：完成门禁系统与消防控制室对接调试，验证门状态、报警信号上传功能，确认信号上传准确无误。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3.现场验收：院方对照清单核对门体尺寸、材质、开启方向、防盗等级、门禁功能，逐项测试验收。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4.资料移交：验收通过后移交完整竣工资料，包含产品合格证、型式检验报告、门禁设备资料、安装调试记录等。</w:t>
      </w:r>
    </w:p>
    <w:p w14:paraId="4CC0FE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left="0"/>
        <w:jc w:val="left"/>
        <w:textAlignment w:val="auto"/>
        <w:outlineLvl w:val="1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12" w:name="heading_12"/>
      <w:r>
        <w:rPr>
          <w:rFonts w:hint="eastAsia" w:ascii="黑体" w:hAnsi="黑体" w:eastAsia="黑体" w:cs="黑体"/>
          <w:b w:val="0"/>
          <w:bCs/>
          <w:sz w:val="32"/>
          <w:szCs w:val="32"/>
        </w:rPr>
        <w:t>七、质保与售后服务要求</w:t>
      </w:r>
      <w:bookmarkEnd w:id="12"/>
    </w:p>
    <w:p w14:paraId="6E34B6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1.质保期限：防盗安全门、锁具、人脸识别门禁全套设备整体提供不少</w:t>
      </w:r>
      <w:r>
        <w:rPr>
          <w:rFonts w:hint="eastAsia" w:ascii="仿宋" w:hAnsi="仿宋" w:eastAsia="仿宋" w:cs="仿宋"/>
          <w:sz w:val="32"/>
          <w:szCs w:val="32"/>
        </w:rPr>
        <w:t>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年质保服务，质保期内免费维修、更换损坏零部件，免费系统调试、软件升级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2.响应机制：接到故障通知后1小时内响应，4小时内到场处理，24小时内解决故障问题。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3</w:t>
      </w:r>
      <w:r>
        <w:rPr>
          <w:rFonts w:hint="eastAsia" w:ascii="仿宋" w:hAnsi="仿宋" w:eastAsia="仿宋" w:cs="仿宋"/>
          <w:sz w:val="32"/>
          <w:szCs w:val="32"/>
        </w:rPr>
        <w:t>.人员培训：提供不少于2次免费操作培训，面向医院安保、药房、后勤管理人员开展门禁权限设置、日常操作、简单故障排查培训，确保相关人员掌握使用运维技能。</w:t>
      </w:r>
    </w:p>
    <w:p w14:paraId="510BD8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left="0"/>
        <w:jc w:val="left"/>
        <w:textAlignment w:val="auto"/>
        <w:outlineLvl w:val="1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13" w:name="heading_13"/>
      <w:r>
        <w:rPr>
          <w:rFonts w:hint="eastAsia" w:ascii="黑体" w:hAnsi="黑体" w:eastAsia="黑体" w:cs="黑体"/>
          <w:b w:val="0"/>
          <w:bCs/>
          <w:sz w:val="32"/>
          <w:szCs w:val="32"/>
        </w:rPr>
        <w:t>八、供应商资质要求</w:t>
      </w:r>
      <w:bookmarkEnd w:id="13"/>
    </w:p>
    <w:p w14:paraId="110ABF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1.具备独立法人资格，持有有效的营业执照，经营范围包含安防门销售安装、安防系统工程相关业务。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2.具备安防工程相关施工能力；如涉及门禁系统施工，具备对应安防技术服务相关能力；具备安全生产相关管理制度。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3.近3年内无重大违法违规记录（以 “信用中国” 查询结果为准），无重大工程质量、安全事故，需提供相关承诺。</w:t>
      </w:r>
    </w:p>
    <w:p w14:paraId="5CE15A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left="0"/>
        <w:jc w:val="left"/>
        <w:textAlignment w:val="auto"/>
        <w:outlineLvl w:val="1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14" w:name="heading_14"/>
      <w:r>
        <w:rPr>
          <w:rFonts w:hint="eastAsia" w:ascii="黑体" w:hAnsi="黑体" w:eastAsia="黑体" w:cs="黑体"/>
          <w:b w:val="0"/>
          <w:bCs/>
          <w:sz w:val="32"/>
          <w:szCs w:val="32"/>
        </w:rPr>
        <w:t>九、工期要求</w:t>
      </w:r>
      <w:bookmarkEnd w:id="14"/>
    </w:p>
    <w:p w14:paraId="2317C1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本项目总工期不超过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sz w:val="32"/>
          <w:szCs w:val="32"/>
        </w:rPr>
        <w:t>个工作日（</w:t>
      </w:r>
      <w:r>
        <w:rPr>
          <w:rFonts w:hint="eastAsia" w:ascii="仿宋" w:hAnsi="仿宋" w:eastAsia="仿宋" w:cs="仿宋"/>
          <w:sz w:val="32"/>
          <w:szCs w:val="32"/>
        </w:rPr>
        <w:t>自合同签订之日起计算，不含院方验收等待时间）；因医院药房、危化品库房需要管控，具体进场施工时间服从院方统筹安排。</w:t>
      </w:r>
    </w:p>
    <w:p w14:paraId="7318E6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left="0"/>
        <w:jc w:val="left"/>
        <w:textAlignment w:val="auto"/>
        <w:outlineLvl w:val="1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15" w:name="heading_15"/>
      <w:r>
        <w:rPr>
          <w:rFonts w:hint="eastAsia" w:ascii="黑体" w:hAnsi="黑体" w:eastAsia="黑体" w:cs="黑体"/>
          <w:b w:val="0"/>
          <w:bCs/>
          <w:sz w:val="32"/>
          <w:szCs w:val="32"/>
        </w:rPr>
        <w:t>十、其他要求</w:t>
      </w:r>
      <w:bookmarkEnd w:id="15"/>
    </w:p>
    <w:p w14:paraId="31EE34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6" w:line="560" w:lineRule="exact"/>
        <w:ind w:left="0" w:firstLine="640" w:firstLineChars="200"/>
        <w:jc w:val="left"/>
        <w:textAlignment w:val="auto"/>
      </w:pPr>
      <w:r>
        <w:rPr>
          <w:rFonts w:hint="eastAsia" w:ascii="仿宋" w:hAnsi="仿宋" w:eastAsia="仿宋" w:cs="仿宋"/>
          <w:sz w:val="32"/>
          <w:szCs w:val="32"/>
        </w:rPr>
        <w:t>1.供应商须实地踏勘现场，根据现场实际出具针对性施工方案及安全防护措施，经院方审核通过后方可进场施工。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2.施工如需短时断电，需提前3个工作日向院方提交申请，获得批准后方可实施；管制药品、危化品存储区域施工严格落实安保值守措施。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3.供应商严格遵守医院安全生产、保密、库房管理相关制度，承担施工全过程安全主体责任；施工过程做好重点区域物资安保防护，防止物资丢失。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DCF6469-C5AF-4857-BB42-5A4F1C1E84D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E68DDAA0-000E-42A8-A838-56B317DE3A8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C7BC51E-C65C-4248-8F76-94E3FB26FF47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376174C4-1AEB-413A-A7C6-88048632828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8DA9F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51CB9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04212517"/>
    <w:rsid w:val="0728596A"/>
    <w:rsid w:val="12F11306"/>
    <w:rsid w:val="23F2473C"/>
    <w:rsid w:val="25654715"/>
    <w:rsid w:val="283A50A6"/>
    <w:rsid w:val="37B95FE7"/>
    <w:rsid w:val="3E0930F8"/>
    <w:rsid w:val="3EC6723B"/>
    <w:rsid w:val="3F786C92"/>
    <w:rsid w:val="400C5122"/>
    <w:rsid w:val="41594397"/>
    <w:rsid w:val="430A3B9B"/>
    <w:rsid w:val="47760F35"/>
    <w:rsid w:val="47D5338E"/>
    <w:rsid w:val="4D072EF9"/>
    <w:rsid w:val="4DA30E74"/>
    <w:rsid w:val="4FBF3F5F"/>
    <w:rsid w:val="545A24A8"/>
    <w:rsid w:val="57A53A3A"/>
    <w:rsid w:val="5C6E6361"/>
    <w:rsid w:val="617C580C"/>
    <w:rsid w:val="6A8B6AC0"/>
    <w:rsid w:val="79322EE8"/>
    <w:rsid w:val="7A266B63"/>
    <w:rsid w:val="7C3755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sz w:val="21"/>
      <w:szCs w:val="22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spacing w:before="25" w:after="25" w:line="440" w:lineRule="exact"/>
      <w:ind w:firstLine="880" w:firstLineChars="200"/>
      <w:jc w:val="left"/>
    </w:pPr>
    <w:rPr>
      <w:rFonts w:ascii="Times New Roman" w:hAnsi="Times New Roman"/>
      <w:bCs/>
      <w:spacing w:val="10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3293</Words>
  <Characters>3562</Characters>
  <TotalTime>1</TotalTime>
  <ScaleCrop>false</ScaleCrop>
  <LinksUpToDate>false</LinksUpToDate>
  <CharactersWithSpaces>3706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2026-09-19T14:47:00Z</dcterms:created>
  <dc:creator>Apache POI</dc:creator>
  <cp:lastModifiedBy>怀着梦想飞翔</cp:lastModifiedBy>
  <dcterms:modified xsi:type="dcterms:W3CDTF">2026-09-19T15:12:50Z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{"Label":"1","ContentProducer":"001191110102MACQD9K64010000","ProduceID":"7687257974166948812","ReservedCode1":"","ContentPropagator":"","PropagateID":"","ReservedCode2":""}</vt:lpwstr>
  </property>
  <property fmtid="{D5CDD505-2E9C-101B-9397-08002B2CF9AE}" pid="3" name="KSOTemplateDocerSaveRecord">
    <vt:lpwstr>eyJoZGlkIjoiZjdkZmI2OWFlODk0ZDQ1NTA0NGMwMDNkNzg3MzIzZDIiLCJ1c2VySWQiOiIyNjMzNTY2MDgifQ==</vt:lpwstr>
  </property>
  <property fmtid="{D5CDD505-2E9C-101B-9397-08002B2CF9AE}" pid="4" name="KSOProductBuildVer">
    <vt:lpwstr>2052-12.1.0.28505</vt:lpwstr>
  </property>
  <property fmtid="{D5CDD505-2E9C-101B-9397-08002B2CF9AE}" pid="5" name="ICV">
    <vt:lpwstr>A18A6E82D2E14D11BCBDE3DBCD53AAA9_12</vt:lpwstr>
  </property>
</Properties>
</file>