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450B7">
      <w:pPr>
        <w:tabs>
          <w:tab w:val="left" w:pos="7740"/>
        </w:tabs>
        <w:adjustRightInd w:val="0"/>
        <w:snapToGrid w:val="0"/>
        <w:spacing w:line="300" w:lineRule="auto"/>
        <w:jc w:val="center"/>
        <w:outlineLvl w:val="0"/>
        <w:rPr>
          <w:rFonts w:hint="eastAsia" w:ascii="方正小标宋简体" w:hAnsi="方正小标宋简体" w:eastAsia="方正小标宋简体" w:cs="方正小标宋简体"/>
          <w:b/>
          <w:sz w:val="44"/>
          <w:szCs w:val="44"/>
          <w:lang w:val="zh-CN"/>
        </w:rPr>
      </w:pPr>
      <w:r>
        <w:rPr>
          <w:rFonts w:hint="eastAsia" w:ascii="方正小标宋简体" w:hAnsi="方正小标宋简体" w:eastAsia="方正小标宋简体" w:cs="方正小标宋简体"/>
          <w:b/>
          <w:sz w:val="44"/>
          <w:szCs w:val="44"/>
        </w:rPr>
        <w:t>茂名市人民医院VTE信息质控管理</w:t>
      </w:r>
      <w:r>
        <w:rPr>
          <w:rFonts w:hint="eastAsia" w:ascii="方正小标宋简体" w:hAnsi="方正小标宋简体" w:eastAsia="方正小标宋简体" w:cs="方正小标宋简体"/>
          <w:b/>
          <w:sz w:val="44"/>
          <w:szCs w:val="44"/>
          <w:lang w:val="zh-CN"/>
        </w:rPr>
        <w:t>系统</w:t>
      </w:r>
    </w:p>
    <w:p w14:paraId="24CB2D45">
      <w:pPr>
        <w:tabs>
          <w:tab w:val="left" w:pos="7740"/>
        </w:tabs>
        <w:adjustRightInd w:val="0"/>
        <w:snapToGrid w:val="0"/>
        <w:spacing w:line="300" w:lineRule="auto"/>
        <w:jc w:val="center"/>
        <w:outlineLvl w:val="0"/>
        <w:rPr>
          <w:rFonts w:hint="eastAsia" w:ascii="方正小标宋简体" w:hAnsi="方正小标宋简体" w:eastAsia="方正小标宋简体" w:cs="方正小标宋简体"/>
          <w:b/>
          <w:sz w:val="44"/>
          <w:szCs w:val="44"/>
          <w:lang w:val="zh-CN"/>
        </w:rPr>
      </w:pPr>
      <w:bookmarkStart w:id="2" w:name="_GoBack"/>
      <w:bookmarkEnd w:id="2"/>
      <w:r>
        <w:rPr>
          <w:rFonts w:hint="eastAsia" w:ascii="方正小标宋简体" w:hAnsi="方正小标宋简体" w:eastAsia="方正小标宋简体" w:cs="方正小标宋简体"/>
          <w:b/>
          <w:sz w:val="44"/>
          <w:szCs w:val="44"/>
          <w:lang w:val="zh-CN"/>
        </w:rPr>
        <w:t>项目用户需求书</w:t>
      </w:r>
    </w:p>
    <w:p w14:paraId="21948842">
      <w:pPr>
        <w:spacing w:line="360" w:lineRule="auto"/>
        <w:outlineLvl w:val="1"/>
        <w:rPr>
          <w:rFonts w:hint="eastAsia" w:ascii="仿宋" w:hAnsi="仿宋" w:eastAsia="仿宋" w:cs="仿宋"/>
          <w:b/>
          <w:bCs/>
          <w:sz w:val="32"/>
          <w:szCs w:val="32"/>
        </w:rPr>
      </w:pPr>
      <w:r>
        <w:rPr>
          <w:rFonts w:hint="eastAsia" w:ascii="仿宋" w:hAnsi="仿宋" w:eastAsia="仿宋" w:cs="仿宋"/>
          <w:b/>
          <w:bCs/>
          <w:sz w:val="32"/>
          <w:szCs w:val="32"/>
        </w:rPr>
        <w:t>一、用户需求书</w:t>
      </w:r>
    </w:p>
    <w:p w14:paraId="5A3C1DCC">
      <w:pPr>
        <w:spacing w:line="360" w:lineRule="auto"/>
        <w:outlineLvl w:val="2"/>
        <w:rPr>
          <w:rFonts w:hint="eastAsia" w:ascii="仿宋" w:hAnsi="仿宋" w:eastAsia="仿宋" w:cs="仿宋"/>
          <w:b/>
          <w:bCs/>
          <w:sz w:val="32"/>
          <w:szCs w:val="32"/>
        </w:rPr>
      </w:pPr>
      <w:r>
        <w:rPr>
          <w:rFonts w:hint="eastAsia" w:ascii="仿宋" w:hAnsi="仿宋" w:eastAsia="仿宋" w:cs="仿宋"/>
          <w:b/>
          <w:bCs/>
          <w:sz w:val="32"/>
          <w:szCs w:val="32"/>
        </w:rPr>
        <w:t>（一）项目背景</w:t>
      </w:r>
    </w:p>
    <w:p w14:paraId="4F50026F">
      <w:pPr>
        <w:spacing w:line="360" w:lineRule="auto"/>
        <w:outlineLvl w:val="2"/>
        <w:rPr>
          <w:rFonts w:hint="eastAsia" w:ascii="仿宋" w:hAnsi="仿宋" w:eastAsia="仿宋" w:cs="仿宋"/>
          <w:b/>
          <w:bCs/>
          <w:sz w:val="32"/>
          <w:szCs w:val="32"/>
        </w:rPr>
      </w:pPr>
      <w:r>
        <w:rPr>
          <w:rFonts w:hint="eastAsia" w:ascii="仿宋" w:hAnsi="仿宋" w:eastAsia="仿宋" w:cs="仿宋"/>
          <w:b/>
          <w:bCs/>
          <w:sz w:val="32"/>
          <w:szCs w:val="32"/>
        </w:rPr>
        <w:t>1.政策指导及考核要求</w:t>
      </w:r>
    </w:p>
    <w:p w14:paraId="4B7A48AC">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三级医院评审标准（2025年版）》侧重客观数据评价，多处涉及VTE相关指标。第二部分第二章中医院质量安全指标维度考核“年度国家医疗质量安全目标改进情况”，而“提高静脉血栓栓塞症规范预防率”是十大安全目标之一；医疗安全指标维度考核“手术患者手术后肺栓塞发生例数和发生率”、“手术患者手术后深静脉血栓发生例数和发生率”；第二部分第四章单病种（术中）质量控制指标，考核“围手术期预防深静脉血栓栓塞”、“中高危风险患者预防静脉血栓栓塞症”，此外，较22版评审标准增加了“急性肺血栓栓塞症”，因此VTE防治质量与三级评审密切相关。</w:t>
      </w:r>
    </w:p>
    <w:p w14:paraId="2D42BAFD">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全国肺栓塞和深静脉血栓形成防治能力建设项目《三级医院静脉血栓防治中心建设标准及评分细则（2025版）》、《县域及二级医院--静脉血栓防治中心建设标准及评分细则（2025版）》将实现住院患者VTE风险评估与预防电子化作为一票否决项，且对于核心指标制定了最低评分标准：近3月高危科室患者VTE风险评估率≥70%、近3 月高危科室患者出血风险评估率≥70%、近3月为中高危风险的VTE 患者提供相应的预防措施实施率≥50%，以上三个指标分别达到≥90%、≥90%、≥70%可获得对应评分标准的最高分。</w:t>
      </w:r>
    </w:p>
    <w:p w14:paraId="740C40D7">
      <w:pPr>
        <w:spacing w:line="360" w:lineRule="auto"/>
        <w:outlineLvl w:val="2"/>
        <w:rPr>
          <w:rFonts w:hint="eastAsia" w:ascii="仿宋" w:hAnsi="仿宋" w:eastAsia="仿宋" w:cs="仿宋"/>
          <w:b/>
          <w:bCs/>
          <w:sz w:val="32"/>
          <w:szCs w:val="32"/>
        </w:rPr>
      </w:pPr>
      <w:r>
        <w:rPr>
          <w:rFonts w:hint="eastAsia" w:ascii="仿宋" w:hAnsi="仿宋" w:eastAsia="仿宋" w:cs="仿宋"/>
          <w:b/>
          <w:bCs/>
          <w:sz w:val="32"/>
          <w:szCs w:val="32"/>
        </w:rPr>
        <w:t>2.需求分析</w:t>
      </w:r>
    </w:p>
    <w:p w14:paraId="15207C82">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（1）评估表单繁杂且节点密集，临床工作负荷超载</w:t>
      </w:r>
    </w:p>
    <w:p w14:paraId="1A553935">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当前VTE评估涉及多种复杂量表（如内科Padua、外科Caprini、Wells-PE/DVT、出血风险及机械禁忌症评估等）。同时，指南要求对13岁及以上患者在入院、转科、手术、病情变化及出院等多个关键节点进行动态评估。繁重的表单填写与高频的评估节点叠加，导致医护人员陷入大量重复性文书工作中，不仅耗时费力，还极易引发疲劳性漏评。</w:t>
      </w:r>
    </w:p>
    <w:p w14:paraId="52805FA6">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（2）缺乏标准化管控手段，规范防治率难以提升</w:t>
      </w:r>
    </w:p>
    <w:p w14:paraId="21E24264">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面对繁重的临床救治压力，医生往往难以兼顾精细化的血栓管理。由于缺乏标准化的流程约束与有效的信息化干预手段，院内中高危患者的VTE预防措施常出现落实不及时、执行不规范的现象，整体防治效率低下，同质化管理难以落地。</w:t>
      </w:r>
    </w:p>
    <w:p w14:paraId="0019BD11">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（3）数据支撑体系缺失，精细化管理缺乏决策依据</w:t>
      </w:r>
    </w:p>
    <w:p w14:paraId="7676D445">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目前的VTE管理高度依赖医务人员的主观能动性，缺乏系统性的被动监管机制。管理层面临严重的“数据盲区”，无法实时获取准确的过程指标与终末质量数据。这导致医院在制定考核制度、设定评价指标及开展针对性培训时无从下手，既无法满足向上汇报与国家考核的数据需求，也无法向下赋能临床科室的精细化质控。</w:t>
      </w:r>
    </w:p>
    <w:p w14:paraId="47BA4385">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（4）事中辅助与监管缺位，存在不可逆的安全隐患</w:t>
      </w:r>
    </w:p>
    <w:p w14:paraId="4FBD0E5F">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现有的管理模式多侧重于事后人工抽查与统计分析，缺乏嵌入诊疗全流程的事中智能辅助与预警拦截工具。这种“滞后性”管理存在致命弊端：当通过事后数据发现不规范行为时，患者可能已经发生严重的血栓事件甚至死亡，造成的生命健康损害及医院声誉损失已无法挽回，医疗安全隐患极大。</w:t>
      </w:r>
    </w:p>
    <w:p w14:paraId="22DD302D">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（5）医护业务系统割裂，多学科协同作业受阻</w:t>
      </w:r>
    </w:p>
    <w:p w14:paraId="1A8DE3C6">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受限于传统信息系统的壁垒，医生工作站与护理记录系统之间未能实现数据的实时互通。VTE防治所需的医嘱、体征、检验结果等关键信息无法在医护间无缝流转，导致医护协同困难，严重制约了“医护一体化”防诊治管模式的开展。</w:t>
      </w:r>
    </w:p>
    <w:p w14:paraId="5067E9F6">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（6）现有体系滞后，难以满足国家评审与认证硬性要求</w:t>
      </w:r>
    </w:p>
    <w:p w14:paraId="3D8763B3">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随着国家卫健委将VTE防治纳入核心医疗质量安全改进目标，各项考核标准日益严苛。目前依靠纯人工管理的现状以及落后的指标达成率，已远远无法适应三级医院等级评审、公立医院绩效考核（国考）以及国家级VTE防治中心建设的刚性要求，医院亟需通过信息化建设实现体系的全面升级。</w:t>
      </w:r>
    </w:p>
    <w:p w14:paraId="0E08A1FF">
      <w:pPr>
        <w:spacing w:line="360" w:lineRule="auto"/>
        <w:ind w:left="840"/>
        <w:rPr>
          <w:rFonts w:hint="eastAsia" w:ascii="仿宋" w:hAnsi="仿宋" w:eastAsia="仿宋" w:cs="仿宋"/>
          <w:sz w:val="32"/>
          <w:szCs w:val="32"/>
        </w:rPr>
      </w:pPr>
    </w:p>
    <w:p w14:paraId="7C3B708D">
      <w:pPr>
        <w:spacing w:line="360" w:lineRule="auto"/>
        <w:outlineLvl w:val="2"/>
        <w:rPr>
          <w:rFonts w:hint="eastAsia" w:ascii="仿宋" w:hAnsi="仿宋" w:eastAsia="仿宋" w:cs="仿宋"/>
          <w:b/>
          <w:bCs/>
          <w:sz w:val="32"/>
          <w:szCs w:val="32"/>
        </w:rPr>
      </w:pPr>
      <w:r>
        <w:rPr>
          <w:rFonts w:hint="eastAsia" w:ascii="仿宋" w:hAnsi="仿宋" w:eastAsia="仿宋" w:cs="仿宋"/>
          <w:b/>
          <w:bCs/>
          <w:sz w:val="32"/>
          <w:szCs w:val="32"/>
        </w:rPr>
        <w:t>（二）建设目标</w:t>
      </w:r>
    </w:p>
    <w:p w14:paraId="0F59C4E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1.建立VTE规范防治诊疗体系</w:t>
      </w:r>
    </w:p>
    <w:p w14:paraId="01E409D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针对VTE不同风险等级患者，明确医护各节点的规范动作与防治手段，实现VTE防治的同质化管理。</w:t>
      </w:r>
    </w:p>
    <w:p w14:paraId="245B60B8">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2.统一量化评分规则，保障评估结果客观可信</w:t>
      </w:r>
    </w:p>
    <w:p w14:paraId="609A28DE">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摒弃传统手工评分的主观性与经验依赖，由信息部门协同质控科及临床专家，针对各项指标制定明确的机器评判规则。结合医院标准业务字典进行自动化计算与判断，彻底消除人为评分差异，提升VTE风险评估的科学性与公信力。</w:t>
      </w:r>
    </w:p>
    <w:p w14:paraId="151EBC1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3.打破院内信息壁垒，实现多维数据互联互通</w:t>
      </w:r>
    </w:p>
    <w:p w14:paraId="5721B5D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全面拉通医、护、管三方业务数据，消除因系统割裂导致的数据孤岛与传输延迟。确保全院VTE数据的实时采集、统一归集与共享互通，为跨学科协作与精细化管理提供坚实的数据底。</w:t>
      </w:r>
    </w:p>
    <w:p w14:paraId="4349AE88">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4.建立“事中卡控+事后监管”全流程质控闭环</w:t>
      </w:r>
    </w:p>
    <w:p w14:paraId="7CB95E6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事中环节，利用人工智能辅助决策对不合规行为进行实时拦截与主动提醒，引导医生规范诊疗；在事后环节，依托多维度大数据分析平台，实时呈现高危分布、预防落实率、事件发生率等过程与终末指标，赋能院领导及管理层精准掌握全局态势，做到风险早发现、早干预，全面筑牢患者安全防线。</w:t>
      </w:r>
    </w:p>
    <w:p w14:paraId="6E68D004">
      <w:pPr>
        <w:pStyle w:val="2"/>
        <w:rPr>
          <w:rFonts w:hint="eastAsia" w:ascii="仿宋" w:hAnsi="仿宋" w:eastAsia="仿宋" w:cs="仿宋"/>
          <w:sz w:val="32"/>
          <w:szCs w:val="32"/>
        </w:rPr>
      </w:pPr>
    </w:p>
    <w:p w14:paraId="4EE8109D">
      <w:pPr>
        <w:spacing w:line="360" w:lineRule="auto"/>
        <w:outlineLvl w:val="2"/>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）建设需求</w:t>
      </w:r>
    </w:p>
    <w:p w14:paraId="37D23FC9">
      <w:pPr>
        <w:pStyle w:val="11"/>
        <w:widowControl/>
        <w:numPr>
          <w:ilvl w:val="0"/>
          <w:numId w:val="2"/>
        </w:numPr>
        <w:spacing w:line="360" w:lineRule="auto"/>
        <w:ind w:firstLineChars="0"/>
        <w:outlineLvl w:val="3"/>
        <w:rPr>
          <w:rFonts w:hint="eastAsia" w:ascii="仿宋" w:hAnsi="仿宋" w:eastAsia="仿宋" w:cs="仿宋"/>
          <w:b/>
          <w:bCs/>
          <w:sz w:val="32"/>
          <w:szCs w:val="32"/>
        </w:rPr>
      </w:pPr>
      <w:r>
        <w:rPr>
          <w:rFonts w:hint="eastAsia" w:ascii="仿宋" w:hAnsi="仿宋" w:eastAsia="仿宋" w:cs="仿宋"/>
          <w:b/>
          <w:bCs/>
          <w:sz w:val="32"/>
          <w:szCs w:val="32"/>
        </w:rPr>
        <w:t>总体设计要求</w:t>
      </w:r>
    </w:p>
    <w:p w14:paraId="17E5D950">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基于人工智能的VTE信息质控管理系统在业务上需要满足我院医护人员日常事务处理的需要，辅助医、护、管理等各类人员完成事务处理工作，减轻工作负担，提高工作效率及工作质量；要能为其提供智能化服务，辅助医疗决策，减少医疗差错，提高医疗质量；在表现形式上要操作简便、界面友好。能够为医院领导提供数据检索、查询、统计、分析等功能，形成数据报表，辅助管理决策。能为患者及相关医护人员提供数据查询，如VTE评估结果查询等服务；在数据互通互联上，要能满足与相关部门实现数据互通互联的要求，如医生和护士之间的VTE评估结果可以共享。</w:t>
      </w:r>
    </w:p>
    <w:p w14:paraId="67CE9CFD">
      <w:pPr>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通过自动采集患者数据，利用自然语言处理、机器学习等人工智能技术，能对患者离散数据进行整合、后结构化、术语映射等，自动抽提入院患者VTE风险因素,自动完成患者风险评估，并推送评估结果及危险因素病历原文位置，有效地提高了院内VTE风险的评估率。同时，针对不同风险的患者推荐合适的预防措施，并在医生下达医嘱时能自动审核相关医嘱的合理性，对于存在一些处置不足、措施不当、高风险等医嘱，能自动进行医嘱预警，提高防治质量。</w:t>
      </w:r>
    </w:p>
    <w:p w14:paraId="7C698853">
      <w:pPr>
        <w:pStyle w:val="11"/>
        <w:widowControl/>
        <w:numPr>
          <w:ilvl w:val="0"/>
          <w:numId w:val="2"/>
        </w:numPr>
        <w:spacing w:line="360" w:lineRule="auto"/>
        <w:ind w:firstLineChars="0"/>
        <w:outlineLvl w:val="3"/>
        <w:rPr>
          <w:rFonts w:hint="eastAsia" w:ascii="仿宋" w:hAnsi="仿宋" w:eastAsia="仿宋" w:cs="仿宋"/>
          <w:b/>
          <w:bCs/>
          <w:sz w:val="32"/>
          <w:szCs w:val="32"/>
        </w:rPr>
      </w:pPr>
      <w:bookmarkStart w:id="0" w:name="_Hlk123130493"/>
      <w:bookmarkStart w:id="1" w:name="_Toc226172712"/>
      <w:r>
        <w:rPr>
          <w:rFonts w:hint="eastAsia" w:ascii="仿宋" w:hAnsi="仿宋" w:eastAsia="仿宋" w:cs="仿宋"/>
          <w:b/>
          <w:bCs/>
          <w:sz w:val="32"/>
          <w:szCs w:val="32"/>
        </w:rPr>
        <w:t>功能需求</w:t>
      </w:r>
    </w:p>
    <w:bookmarkEnd w:id="0"/>
    <w:p w14:paraId="779FC000">
      <w:pPr>
        <w:rPr>
          <w:rFonts w:hint="eastAsia" w:ascii="仿宋" w:hAnsi="仿宋" w:eastAsia="仿宋" w:cs="仿宋"/>
          <w:sz w:val="32"/>
          <w:szCs w:val="32"/>
        </w:rPr>
      </w:pPr>
      <w:r>
        <w:rPr>
          <w:rFonts w:hint="eastAsia" w:ascii="仿宋" w:hAnsi="仿宋" w:eastAsia="仿宋" w:cs="仿宋"/>
          <w:sz w:val="32"/>
          <w:szCs w:val="32"/>
        </w:rPr>
        <w:t>（1）自动评估：基于AI技术，通过自然语言处理技术智能识别、分析病历内容，自动完成患者的VTE风险、出血风险评估，并主动、及时提醒医生；</w:t>
      </w:r>
    </w:p>
    <w:p w14:paraId="4695B6C3">
      <w:pPr>
        <w:rPr>
          <w:rFonts w:hint="eastAsia" w:ascii="仿宋" w:hAnsi="仿宋" w:eastAsia="仿宋" w:cs="仿宋"/>
          <w:sz w:val="32"/>
          <w:szCs w:val="32"/>
        </w:rPr>
      </w:pPr>
      <w:r>
        <w:rPr>
          <w:rFonts w:hint="eastAsia" w:ascii="仿宋" w:hAnsi="仿宋" w:eastAsia="仿宋" w:cs="仿宋"/>
          <w:sz w:val="32"/>
          <w:szCs w:val="32"/>
        </w:rPr>
        <w:t>（2）动态评估：系统实时评估结果和人工评估与结果不一致时，自动提醒医生查看，并给出系统评分依据；</w:t>
      </w:r>
    </w:p>
    <w:p w14:paraId="78912CEE">
      <w:pPr>
        <w:rPr>
          <w:rFonts w:hint="eastAsia" w:ascii="仿宋" w:hAnsi="仿宋" w:eastAsia="仿宋" w:cs="仿宋"/>
          <w:sz w:val="32"/>
          <w:szCs w:val="32"/>
        </w:rPr>
      </w:pPr>
      <w:r>
        <w:rPr>
          <w:rFonts w:hint="eastAsia" w:ascii="仿宋" w:hAnsi="仿宋" w:eastAsia="仿宋" w:cs="仿宋"/>
          <w:sz w:val="32"/>
          <w:szCs w:val="32"/>
        </w:rPr>
        <w:t>（3）智能筛查：系统根据患者VTE风险情况自动推荐医生对患者进行Wells评分、Ddi检查、静脉超声等诊疗行为，对患者的DVT/PTE智能筛查，规范化筛查行为。</w:t>
      </w:r>
    </w:p>
    <w:p w14:paraId="74759B59">
      <w:pPr>
        <w:rPr>
          <w:rFonts w:hint="eastAsia" w:ascii="仿宋" w:hAnsi="仿宋" w:eastAsia="仿宋" w:cs="仿宋"/>
          <w:sz w:val="32"/>
          <w:szCs w:val="32"/>
        </w:rPr>
      </w:pPr>
      <w:r>
        <w:rPr>
          <w:rFonts w:hint="eastAsia" w:ascii="仿宋" w:hAnsi="仿宋" w:eastAsia="仿宋" w:cs="仿宋"/>
          <w:sz w:val="32"/>
          <w:szCs w:val="32"/>
        </w:rPr>
        <w:t>（4）智能推荐：基于AI技术，根据患者在院情况自动判断，对该采取而未采取预防措施的患者进行主动、智能提醒，并智能推荐恰当的预防措施。</w:t>
      </w:r>
    </w:p>
    <w:p w14:paraId="5ED58CF5">
      <w:pPr>
        <w:rPr>
          <w:rFonts w:hint="eastAsia" w:ascii="仿宋" w:hAnsi="仿宋" w:eastAsia="仿宋" w:cs="仿宋"/>
          <w:sz w:val="32"/>
          <w:szCs w:val="32"/>
        </w:rPr>
      </w:pPr>
      <w:r>
        <w:rPr>
          <w:rFonts w:hint="eastAsia" w:ascii="仿宋" w:hAnsi="仿宋" w:eastAsia="仿宋" w:cs="仿宋"/>
          <w:sz w:val="32"/>
          <w:szCs w:val="32"/>
        </w:rPr>
        <w:t>（5）智能预警：AI智能分析患者的信息及医生的诊疗行为，对不当的诊疗行为进行实时干预、预警，如禁忌、高风险医嘱等。</w:t>
      </w:r>
    </w:p>
    <w:p w14:paraId="418D74EF">
      <w:pPr>
        <w:rPr>
          <w:rFonts w:hint="eastAsia" w:ascii="仿宋" w:hAnsi="仿宋" w:eastAsia="仿宋" w:cs="仿宋"/>
          <w:sz w:val="32"/>
          <w:szCs w:val="32"/>
        </w:rPr>
      </w:pPr>
      <w:r>
        <w:rPr>
          <w:rFonts w:hint="eastAsia" w:ascii="仿宋" w:hAnsi="仿宋" w:eastAsia="仿宋" w:cs="仿宋"/>
          <w:sz w:val="32"/>
          <w:szCs w:val="32"/>
        </w:rPr>
        <w:t>（6）灵活卡控:结合医院监管需求，医院可根据自身业务需求设置VTE质控的提醒方式，强度分为三级卡控提醒；</w:t>
      </w:r>
    </w:p>
    <w:p w14:paraId="6ACBDE2C">
      <w:pPr>
        <w:rPr>
          <w:rFonts w:hint="eastAsia" w:ascii="仿宋" w:hAnsi="仿宋" w:eastAsia="仿宋" w:cs="仿宋"/>
          <w:sz w:val="32"/>
          <w:szCs w:val="32"/>
        </w:rPr>
      </w:pPr>
      <w:r>
        <w:rPr>
          <w:rFonts w:hint="eastAsia" w:ascii="仿宋" w:hAnsi="仿宋" w:eastAsia="仿宋" w:cs="仿宋"/>
          <w:sz w:val="32"/>
          <w:szCs w:val="32"/>
        </w:rPr>
        <w:t>（7）信息共享：打通医生与护士之间的信息壁垒，实现医护信息的共享；</w:t>
      </w:r>
    </w:p>
    <w:p w14:paraId="2A1726A9">
      <w:pPr>
        <w:rPr>
          <w:rFonts w:hint="eastAsia" w:ascii="仿宋" w:hAnsi="仿宋" w:eastAsia="仿宋" w:cs="仿宋"/>
          <w:sz w:val="32"/>
          <w:szCs w:val="32"/>
        </w:rPr>
      </w:pPr>
      <w:r>
        <w:rPr>
          <w:rFonts w:hint="eastAsia" w:ascii="仿宋" w:hAnsi="仿宋" w:eastAsia="仿宋" w:cs="仿宋"/>
          <w:sz w:val="32"/>
          <w:szCs w:val="32"/>
        </w:rPr>
        <w:t>（8）管理平台：利用大数据对全院VTE防治的执行情况进行统计分析，可按照不同维度查看VTE防治的过程指标和终末指标，并实时监测在院患者VTE防治措施执行情况；</w:t>
      </w:r>
    </w:p>
    <w:p w14:paraId="5532F1CB">
      <w:pPr>
        <w:rPr>
          <w:rFonts w:hint="eastAsia" w:ascii="仿宋" w:hAnsi="仿宋" w:eastAsia="仿宋" w:cs="仿宋"/>
          <w:sz w:val="32"/>
          <w:szCs w:val="32"/>
        </w:rPr>
      </w:pPr>
      <w:r>
        <w:rPr>
          <w:rFonts w:hint="eastAsia" w:ascii="仿宋" w:hAnsi="仿宋" w:eastAsia="仿宋" w:cs="仿宋"/>
          <w:sz w:val="32"/>
          <w:szCs w:val="32"/>
        </w:rPr>
        <w:t>（9）驾驶舱：提供驾驶舱界面，可以清晰查看权限内VTE防治的实时动态数据。</w:t>
      </w:r>
    </w:p>
    <w:bookmarkEnd w:id="1"/>
    <w:p w14:paraId="73863814">
      <w:pPr>
        <w:pStyle w:val="2"/>
        <w:rPr>
          <w:rFonts w:hint="eastAsia" w:ascii="仿宋" w:hAnsi="仿宋" w:eastAsia="仿宋" w:cs="仿宋"/>
          <w:sz w:val="32"/>
          <w:szCs w:val="32"/>
        </w:rPr>
      </w:pPr>
    </w:p>
    <w:p w14:paraId="7F223E10">
      <w:pPr>
        <w:rPr>
          <w:rFonts w:hint="eastAsia"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738EE">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03009">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5103009">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368E3"/>
    <w:multiLevelType w:val="multilevel"/>
    <w:tmpl w:val="DBC368E3"/>
    <w:lvl w:ilvl="0" w:tentative="0">
      <w:start w:val="1"/>
      <w:numFmt w:val="chineseCounting"/>
      <w:lvlText w:val="%1."/>
      <w:lvlJc w:val="left"/>
      <w:pPr>
        <w:ind w:left="432" w:hanging="432"/>
      </w:pPr>
      <w:rPr>
        <w:rFonts w:hint="eastAsia" w:ascii="宋体" w:hAnsi="宋体" w:eastAsia="宋体" w:cs="宋体"/>
      </w:rPr>
    </w:lvl>
    <w:lvl w:ilvl="1" w:tentative="0">
      <w:start w:val="1"/>
      <w:numFmt w:val="decimal"/>
      <w:isLgl/>
      <w:lvlText w:val="%1.%2."/>
      <w:lvlJc w:val="left"/>
      <w:pPr>
        <w:ind w:left="575" w:hanging="575"/>
      </w:pPr>
      <w:rPr>
        <w:rFonts w:hint="eastAsia" w:ascii="宋体" w:hAnsi="宋体" w:eastAsia="宋体" w:cs="宋体"/>
      </w:rPr>
    </w:lvl>
    <w:lvl w:ilvl="2" w:tentative="0">
      <w:start w:val="1"/>
      <w:numFmt w:val="decimal"/>
      <w:isLgl/>
      <w:lvlText w:val="%1.%2.%3."/>
      <w:lvlJc w:val="left"/>
      <w:pPr>
        <w:ind w:left="720" w:hanging="720"/>
      </w:pPr>
      <w:rPr>
        <w:rFonts w:hint="eastAsia" w:ascii="宋体" w:hAnsi="宋体" w:eastAsia="宋体" w:cs="宋体"/>
      </w:rPr>
    </w:lvl>
    <w:lvl w:ilvl="3" w:tentative="0">
      <w:start w:val="1"/>
      <w:numFmt w:val="decimal"/>
      <w:pStyle w:val="4"/>
      <w:isLgl/>
      <w:lvlText w:val="%1.%2.%3.%4."/>
      <w:lvlJc w:val="left"/>
      <w:pPr>
        <w:ind w:left="864" w:hanging="864"/>
      </w:pPr>
      <w:rPr>
        <w:rFonts w:hint="eastAsia" w:ascii="宋体" w:hAnsi="宋体" w:eastAsia="宋体" w:cs="宋体"/>
      </w:rPr>
    </w:lvl>
    <w:lvl w:ilvl="4" w:tentative="0">
      <w:start w:val="1"/>
      <w:numFmt w:val="decimal"/>
      <w:isLgl/>
      <w:lvlText w:val="%1.%2.%3.%4.%5."/>
      <w:lvlJc w:val="left"/>
      <w:pPr>
        <w:ind w:left="1008" w:hanging="1008"/>
      </w:pPr>
      <w:rPr>
        <w:rFonts w:hint="eastAsia" w:ascii="宋体" w:hAnsi="宋体" w:eastAsia="宋体" w:cs="宋体"/>
      </w:rPr>
    </w:lvl>
    <w:lvl w:ilvl="5" w:tentative="0">
      <w:start w:val="1"/>
      <w:numFmt w:val="decimal"/>
      <w:isLgl/>
      <w:lvlText w:val="%1.%2.%3.%4.%5.%6."/>
      <w:lvlJc w:val="left"/>
      <w:pPr>
        <w:ind w:left="1151" w:hanging="1151"/>
      </w:pPr>
      <w:rPr>
        <w:rFonts w:hint="eastAsia" w:ascii="宋体" w:hAnsi="宋体" w:eastAsia="宋体" w:cs="宋体"/>
      </w:rPr>
    </w:lvl>
    <w:lvl w:ilvl="6" w:tentative="0">
      <w:start w:val="1"/>
      <w:numFmt w:val="decimal"/>
      <w:isLgl/>
      <w:lvlText w:val="%1.%2.%3.%4.%5.%6.%7."/>
      <w:lvlJc w:val="left"/>
      <w:pPr>
        <w:ind w:left="1296" w:hanging="1296"/>
      </w:pPr>
      <w:rPr>
        <w:rFonts w:hint="eastAsia" w:ascii="宋体" w:hAnsi="宋体" w:eastAsia="宋体" w:cs="宋体"/>
      </w:rPr>
    </w:lvl>
    <w:lvl w:ilvl="7" w:tentative="0">
      <w:start w:val="1"/>
      <w:numFmt w:val="decimal"/>
      <w:isLgl/>
      <w:lvlText w:val="%1.%2.%3.%4.%5.%6.%7.%8."/>
      <w:lvlJc w:val="left"/>
      <w:pPr>
        <w:ind w:left="1440" w:hanging="1440"/>
      </w:pPr>
      <w:rPr>
        <w:rFonts w:hint="eastAsia" w:ascii="宋体" w:hAnsi="宋体" w:eastAsia="宋体" w:cs="宋体"/>
      </w:rPr>
    </w:lvl>
    <w:lvl w:ilvl="8" w:tentative="0">
      <w:start w:val="1"/>
      <w:numFmt w:val="decimal"/>
      <w:lvlText w:val="%1.%2.%3.%4.%5.%6.%7.%8.%9."/>
      <w:lvlJc w:val="left"/>
      <w:pPr>
        <w:ind w:left="1583" w:hanging="1583"/>
      </w:pPr>
      <w:rPr>
        <w:rFonts w:hint="eastAsia"/>
      </w:rPr>
    </w:lvl>
  </w:abstractNum>
  <w:abstractNum w:abstractNumId="1">
    <w:nsid w:val="3F5F5FF2"/>
    <w:multiLevelType w:val="multilevel"/>
    <w:tmpl w:val="3F5F5FF2"/>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lZDY3MGY1MWE5NTAwNzk2NjAzNWRiNDE4MDVhNDkifQ=="/>
  </w:docVars>
  <w:rsids>
    <w:rsidRoot w:val="30E200AC"/>
    <w:rsid w:val="005D03B0"/>
    <w:rsid w:val="00BC078B"/>
    <w:rsid w:val="00C53C72"/>
    <w:rsid w:val="00DC1520"/>
    <w:rsid w:val="00E829DB"/>
    <w:rsid w:val="2A4525E7"/>
    <w:rsid w:val="30E200AC"/>
    <w:rsid w:val="7F7D5C28"/>
    <w:rsid w:val="EFFF5CFF"/>
    <w:rsid w:val="F8350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outlineLvl w:val="0"/>
    </w:pPr>
    <w:rPr>
      <w:b/>
      <w:bCs/>
      <w:kern w:val="44"/>
      <w:szCs w:val="44"/>
    </w:rPr>
  </w:style>
  <w:style w:type="paragraph" w:styleId="4">
    <w:name w:val="heading 4"/>
    <w:basedOn w:val="1"/>
    <w:next w:val="1"/>
    <w:qFormat/>
    <w:uiPriority w:val="9"/>
    <w:pPr>
      <w:keepNext/>
      <w:keepLines/>
      <w:numPr>
        <w:ilvl w:val="3"/>
        <w:numId w:val="1"/>
      </w:numPr>
      <w:outlineLvl w:val="3"/>
    </w:pPr>
    <w:rPr>
      <w:rFonts w:hint="eastAsia" w:ascii="宋体" w:hAnsi="宋体"/>
      <w:b/>
      <w:bCs/>
      <w:sz w:val="32"/>
      <w:szCs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next w:val="1"/>
    <w:unhideWhenUsed/>
    <w:qFormat/>
    <w:uiPriority w:val="99"/>
    <w:pPr>
      <w:widowControl/>
      <w:adjustRightInd w:val="0"/>
      <w:snapToGrid w:val="0"/>
      <w:spacing w:after="120"/>
      <w:jc w:val="left"/>
    </w:pPr>
    <w:rPr>
      <w:rFonts w:ascii="Tahoma" w:hAnsi="Tahoma" w:eastAsia="微软雅黑"/>
      <w:kern w:val="0"/>
      <w:sz w:val="22"/>
      <w:szCs w:val="22"/>
    </w:rPr>
  </w:style>
  <w:style w:type="paragraph" w:styleId="5">
    <w:name w:val="Normal Indent"/>
    <w:basedOn w:val="1"/>
    <w:next w:val="6"/>
    <w:unhideWhenUsed/>
    <w:qFormat/>
    <w:uiPriority w:val="99"/>
    <w:pPr>
      <w:ind w:firstLine="420"/>
    </w:pPr>
  </w:style>
  <w:style w:type="paragraph" w:customStyle="1" w:styleId="6">
    <w:name w:val="正文样式"/>
    <w:basedOn w:val="1"/>
    <w:qFormat/>
    <w:uiPriority w:val="0"/>
    <w:pPr>
      <w:ind w:firstLine="480"/>
    </w:pPr>
    <w:rPr>
      <w:sz w:val="24"/>
      <w:szCs w:val="20"/>
    </w:rPr>
  </w:style>
  <w:style w:type="paragraph" w:styleId="7">
    <w:name w:val="footer"/>
    <w:basedOn w:val="1"/>
    <w:unhideWhenUsed/>
    <w:qFormat/>
    <w:uiPriority w:val="0"/>
    <w:pPr>
      <w:tabs>
        <w:tab w:val="center" w:pos="4153"/>
        <w:tab w:val="right" w:pos="8306"/>
      </w:tabs>
      <w:snapToGrid w:val="0"/>
    </w:pPr>
    <w:rPr>
      <w:rFonts w:ascii="Times New Roman" w:hAnsi="Times New Roman"/>
      <w:sz w:val="18"/>
      <w:szCs w:val="18"/>
    </w:rPr>
  </w:style>
  <w:style w:type="paragraph" w:customStyle="1" w:styleId="10">
    <w:name w:val="Default"/>
    <w:next w:val="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1">
    <w:name w:val="列表段落1"/>
    <w:basedOn w:val="1"/>
    <w:qFormat/>
    <w:uiPriority w:val="0"/>
    <w:pPr>
      <w:ind w:firstLine="420" w:firstLineChars="200"/>
    </w:pPr>
    <w:rPr>
      <w:rFonts w:ascii="Times New Roman" w:hAnsi="Times New Roman"/>
    </w:rPr>
  </w:style>
  <w:style w:type="paragraph" w:customStyle="1" w:styleId="12">
    <w:name w:val="Table Paragraph"/>
    <w:basedOn w:val="1"/>
    <w:qFormat/>
    <w:uiPriority w:val="1"/>
    <w:pPr>
      <w:autoSpaceDE w:val="0"/>
      <w:autoSpaceDN w:val="0"/>
      <w:adjustRightInd w:val="0"/>
      <w:jc w:val="left"/>
    </w:pPr>
    <w:rPr>
      <w:rFonts w:ascii="Times New Roman" w:hAnsi="Times New Roman"/>
      <w:kern w:val="0"/>
      <w:sz w:val="24"/>
    </w:rPr>
  </w:style>
  <w:style w:type="paragraph" w:customStyle="1" w:styleId="13">
    <w:name w:val="表格 - 正文"/>
    <w:basedOn w:val="1"/>
    <w:qFormat/>
    <w:uiPriority w:val="0"/>
    <w:pPr>
      <w:snapToGrid w:val="0"/>
      <w:spacing w:before="120" w:after="120"/>
    </w:pPr>
    <w:rPr>
      <w:rFonts w:cs="宋体"/>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2854</Words>
  <Characters>2980</Characters>
  <Lines>21</Lines>
  <Paragraphs>6</Paragraphs>
  <TotalTime>2</TotalTime>
  <ScaleCrop>false</ScaleCrop>
  <LinksUpToDate>false</LinksUpToDate>
  <CharactersWithSpaces>2982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2026-08-24T14:03:00Z</dcterms:created>
  <dc:creator>陈森-Conson</dc:creator>
  <cp:lastModifiedBy>彤♪彤✨</cp:lastModifiedBy>
  <dcterms:modified xsi:type="dcterms:W3CDTF">2026-08-27T09:10:25Z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ED9044CC7F224F30B7B64DE295660540_13</vt:lpwstr>
  </property>
  <property fmtid="{D5CDD505-2E9C-101B-9397-08002B2CF9AE}" pid="4" name="KSOTemplateDocerSaveRecord">
    <vt:lpwstr>eyJoZGlkIjoiNGE4ZjY0YTk2NmVmYTI4YTNkYmFkMWVhZDIyMDNmN2MiLCJ1c2VySWQiOiI0MzkxNDY0NjUifQ==</vt:lpwstr>
  </property>
</Properties>
</file>