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44E56">
      <w:pPr>
        <w:pStyle w:val="3"/>
        <w:keepNext w:val="0"/>
        <w:keepLines w:val="0"/>
        <w:spacing w:line="440" w:lineRule="atLeast"/>
        <w:jc w:val="both"/>
        <w:rPr>
          <w:rFonts w:ascii="宋体" w:hAnsi="宋体" w:eastAsia="宋体" w:cs="宋体"/>
          <w:b w:val="0"/>
          <w:kern w:val="2"/>
          <w:sz w:val="22"/>
        </w:rPr>
      </w:pPr>
      <w:r>
        <w:rPr>
          <w:rFonts w:hint="eastAsia" w:ascii="宋体" w:hAnsi="宋体" w:eastAsia="宋体" w:cs="宋体"/>
          <w:b w:val="0"/>
          <w:kern w:val="2"/>
          <w:sz w:val="22"/>
        </w:rPr>
        <w:t>附件：</w:t>
      </w:r>
    </w:p>
    <w:p w14:paraId="3279A598">
      <w:pPr>
        <w:pStyle w:val="3"/>
        <w:keepNext w:val="0"/>
        <w:keepLines w:val="0"/>
        <w:spacing w:line="440" w:lineRule="atLeast"/>
        <w:ind w:firstLine="1506" w:firstLineChars="500"/>
        <w:jc w:val="both"/>
        <w:rPr>
          <w:rFonts w:eastAsia="宋体" w:cs="Times New Roman"/>
        </w:rPr>
      </w:pPr>
    </w:p>
    <w:p w14:paraId="36C3B906">
      <w:pPr>
        <w:pStyle w:val="3"/>
        <w:keepNext w:val="0"/>
        <w:keepLines w:val="0"/>
        <w:spacing w:line="440" w:lineRule="atLeast"/>
        <w:rPr>
          <w:rFonts w:eastAsia="宋体" w:cs="Times New Roman"/>
        </w:rPr>
      </w:pPr>
      <w:r>
        <w:rPr>
          <w:rFonts w:hint="eastAsia" w:ascii="宋体" w:hAnsi="宋体" w:eastAsia="宋体" w:cs="宋体"/>
          <w:szCs w:val="21"/>
          <w:lang w:val="en-US" w:eastAsia="zh-CN"/>
        </w:rPr>
        <w:t>茂名市</w:t>
      </w:r>
      <w:r>
        <w:rPr>
          <w:rFonts w:hint="eastAsia" w:ascii="宋体" w:hAnsi="宋体" w:eastAsia="宋体" w:cs="宋体"/>
          <w:szCs w:val="21"/>
        </w:rPr>
        <w:t>人民医院</w:t>
      </w:r>
      <w:r>
        <w:rPr>
          <w:rFonts w:hint="eastAsia" w:ascii="宋体" w:hAnsi="宋体" w:eastAsia="宋体" w:cs="宋体"/>
          <w:szCs w:val="21"/>
          <w:lang w:val="zh-CN"/>
        </w:rPr>
        <w:t>可回收物</w:t>
      </w:r>
      <w:bookmarkStart w:id="0" w:name="_GoBack"/>
      <w:bookmarkEnd w:id="0"/>
      <w:r>
        <w:rPr>
          <w:rFonts w:hint="eastAsia" w:ascii="宋体" w:hAnsi="宋体" w:eastAsia="宋体" w:cs="宋体"/>
          <w:szCs w:val="21"/>
          <w:lang w:val="zh-CN"/>
        </w:rPr>
        <w:t>处置服务</w:t>
      </w:r>
      <w:r>
        <w:rPr>
          <w:rFonts w:hint="eastAsia" w:eastAsia="宋体" w:cs="Times New Roman"/>
        </w:rPr>
        <w:t>项目报价表</w:t>
      </w:r>
    </w:p>
    <w:p w14:paraId="1D770318">
      <w:pPr>
        <w:pStyle w:val="2"/>
        <w:rPr>
          <w:lang w:val="en-US"/>
        </w:rPr>
      </w:pPr>
    </w:p>
    <w:tbl>
      <w:tblPr>
        <w:tblStyle w:val="10"/>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63"/>
        <w:gridCol w:w="1381"/>
        <w:gridCol w:w="1134"/>
        <w:gridCol w:w="1925"/>
        <w:gridCol w:w="1925"/>
      </w:tblGrid>
      <w:tr w14:paraId="1C5D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713" w:type="dxa"/>
            <w:noWrap/>
            <w:vAlign w:val="center"/>
          </w:tcPr>
          <w:p w14:paraId="3F70CCE2">
            <w:pPr>
              <w:adjustRightInd w:val="0"/>
              <w:snapToGrid w:val="0"/>
              <w:spacing w:line="440" w:lineRule="atLeast"/>
              <w:jc w:val="center"/>
              <w:rPr>
                <w:rFonts w:ascii="宋体" w:hAnsi="宋体" w:eastAsia="宋体" w:cs="宋体"/>
                <w:szCs w:val="21"/>
              </w:rPr>
            </w:pPr>
            <w:r>
              <w:rPr>
                <w:rFonts w:hint="eastAsia" w:ascii="宋体" w:hAnsi="宋体" w:eastAsia="宋体" w:cs="宋体"/>
                <w:szCs w:val="21"/>
              </w:rPr>
              <w:t>序号</w:t>
            </w:r>
          </w:p>
        </w:tc>
        <w:tc>
          <w:tcPr>
            <w:tcW w:w="2263" w:type="dxa"/>
            <w:noWrap/>
            <w:vAlign w:val="center"/>
          </w:tcPr>
          <w:p w14:paraId="5D5837E3">
            <w:pPr>
              <w:adjustRightInd w:val="0"/>
              <w:snapToGrid w:val="0"/>
              <w:spacing w:line="440" w:lineRule="atLeast"/>
              <w:jc w:val="center"/>
              <w:rPr>
                <w:rFonts w:ascii="宋体" w:hAnsi="宋体" w:eastAsia="宋体" w:cs="宋体"/>
                <w:szCs w:val="21"/>
              </w:rPr>
            </w:pPr>
            <w:r>
              <w:rPr>
                <w:rFonts w:hint="eastAsia" w:ascii="宋体" w:hAnsi="宋体" w:eastAsia="宋体" w:cs="宋体"/>
                <w:szCs w:val="21"/>
              </w:rPr>
              <w:t>种类</w:t>
            </w:r>
          </w:p>
        </w:tc>
        <w:tc>
          <w:tcPr>
            <w:tcW w:w="1381" w:type="dxa"/>
            <w:noWrap/>
            <w:vAlign w:val="center"/>
          </w:tcPr>
          <w:p w14:paraId="49B4567D">
            <w:pPr>
              <w:adjustRightInd w:val="0"/>
              <w:snapToGrid w:val="0"/>
              <w:spacing w:line="440" w:lineRule="atLeast"/>
              <w:jc w:val="center"/>
              <w:rPr>
                <w:rFonts w:ascii="宋体" w:hAnsi="宋体" w:eastAsia="宋体" w:cs="宋体"/>
                <w:szCs w:val="21"/>
              </w:rPr>
            </w:pPr>
            <w:r>
              <w:rPr>
                <w:rFonts w:hint="eastAsia" w:ascii="宋体" w:hAnsi="宋体" w:eastAsia="宋体" w:cs="宋体"/>
                <w:szCs w:val="21"/>
              </w:rPr>
              <w:t>报价</w:t>
            </w:r>
          </w:p>
        </w:tc>
        <w:tc>
          <w:tcPr>
            <w:tcW w:w="1134" w:type="dxa"/>
            <w:noWrap/>
            <w:vAlign w:val="center"/>
          </w:tcPr>
          <w:p w14:paraId="0270A1DD">
            <w:pPr>
              <w:adjustRightInd w:val="0"/>
              <w:snapToGrid w:val="0"/>
              <w:spacing w:line="440" w:lineRule="atLeast"/>
              <w:jc w:val="center"/>
              <w:rPr>
                <w:rFonts w:ascii="宋体" w:hAnsi="宋体" w:eastAsia="宋体" w:cs="宋体"/>
                <w:szCs w:val="21"/>
              </w:rPr>
            </w:pPr>
            <w:r>
              <w:rPr>
                <w:rFonts w:hint="eastAsia" w:ascii="宋体" w:hAnsi="宋体" w:eastAsia="宋体" w:cs="宋体"/>
                <w:szCs w:val="21"/>
              </w:rPr>
              <w:t>金额（元）</w:t>
            </w:r>
          </w:p>
        </w:tc>
        <w:tc>
          <w:tcPr>
            <w:tcW w:w="1925" w:type="dxa"/>
            <w:noWrap/>
            <w:vAlign w:val="center"/>
          </w:tcPr>
          <w:p w14:paraId="0F444C91">
            <w:pPr>
              <w:adjustRightInd w:val="0"/>
              <w:snapToGrid w:val="0"/>
              <w:spacing w:line="440" w:lineRule="atLeast"/>
              <w:jc w:val="center"/>
              <w:rPr>
                <w:rFonts w:ascii="宋体" w:hAnsi="宋体" w:eastAsia="宋体" w:cs="宋体"/>
                <w:szCs w:val="21"/>
              </w:rPr>
            </w:pPr>
            <w:r>
              <w:rPr>
                <w:rFonts w:hint="eastAsia" w:ascii="宋体" w:hAnsi="宋体" w:eastAsia="宋体" w:cs="宋体"/>
                <w:szCs w:val="21"/>
              </w:rPr>
              <w:t>可回收物清运要求</w:t>
            </w:r>
          </w:p>
        </w:tc>
        <w:tc>
          <w:tcPr>
            <w:tcW w:w="1925" w:type="dxa"/>
            <w:noWrap/>
            <w:vAlign w:val="center"/>
          </w:tcPr>
          <w:p w14:paraId="6EAD7DF3">
            <w:pPr>
              <w:adjustRightInd w:val="0"/>
              <w:snapToGrid w:val="0"/>
              <w:spacing w:line="44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r>
      <w:tr w14:paraId="733B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713" w:type="dxa"/>
            <w:noWrap/>
            <w:vAlign w:val="center"/>
          </w:tcPr>
          <w:p w14:paraId="072C3DB7">
            <w:pPr>
              <w:adjustRightInd w:val="0"/>
              <w:snapToGrid w:val="0"/>
              <w:spacing w:line="440" w:lineRule="atLeast"/>
              <w:jc w:val="center"/>
              <w:rPr>
                <w:rFonts w:hint="eastAsia" w:ascii="宋体" w:hAnsi="宋体" w:eastAsia="宋体" w:cs="宋体"/>
                <w:szCs w:val="21"/>
                <w:lang w:eastAsia="zh-CN"/>
              </w:rPr>
            </w:pPr>
            <w:r>
              <w:rPr>
                <w:rFonts w:hint="eastAsia" w:ascii="宋体" w:hAnsi="宋体" w:eastAsia="宋体" w:cs="宋体"/>
                <w:szCs w:val="21"/>
                <w:lang w:val="en-US" w:eastAsia="zh-CN"/>
              </w:rPr>
              <w:t>1</w:t>
            </w:r>
          </w:p>
        </w:tc>
        <w:tc>
          <w:tcPr>
            <w:tcW w:w="2263" w:type="dxa"/>
            <w:shd w:val="clear" w:color="auto" w:fill="auto"/>
            <w:noWrap/>
            <w:vAlign w:val="center"/>
          </w:tcPr>
          <w:p w14:paraId="0A86B3F6">
            <w:pPr>
              <w:adjustRightInd w:val="0"/>
              <w:snapToGrid w:val="0"/>
              <w:spacing w:line="440" w:lineRule="atLeast"/>
              <w:jc w:val="center"/>
              <w:rPr>
                <w:rFonts w:ascii="宋体" w:hAnsi="宋体" w:eastAsia="宋体" w:cs="宋体"/>
                <w:kern w:val="2"/>
                <w:sz w:val="21"/>
                <w:szCs w:val="21"/>
                <w:lang w:val="en-US" w:eastAsia="zh-CN" w:bidi="ar-SA"/>
              </w:rPr>
            </w:pPr>
            <w:r>
              <w:rPr>
                <w:rFonts w:hint="eastAsia" w:ascii="宋体" w:hAnsi="宋体" w:eastAsia="宋体" w:cs="宋体"/>
                <w:szCs w:val="21"/>
              </w:rPr>
              <w:t>AB胶桶</w:t>
            </w:r>
          </w:p>
        </w:tc>
        <w:tc>
          <w:tcPr>
            <w:tcW w:w="1381" w:type="dxa"/>
            <w:shd w:val="clear" w:color="auto" w:fill="auto"/>
            <w:noWrap/>
            <w:vAlign w:val="center"/>
          </w:tcPr>
          <w:p w14:paraId="77BDB300">
            <w:pPr>
              <w:adjustRightInd w:val="0"/>
              <w:snapToGrid w:val="0"/>
              <w:spacing w:line="440" w:lineRule="atLeast"/>
              <w:jc w:val="center"/>
              <w:rPr>
                <w:rFonts w:ascii="宋体" w:hAnsi="宋体" w:eastAsia="宋体" w:cs="宋体"/>
                <w:kern w:val="2"/>
                <w:sz w:val="20"/>
                <w:szCs w:val="20"/>
                <w:lang w:val="en-US" w:eastAsia="zh-CN" w:bidi="ar-SA"/>
              </w:rPr>
            </w:pPr>
            <w:r>
              <w:rPr>
                <w:rFonts w:hint="eastAsia" w:ascii="宋体" w:hAnsi="宋体" w:eastAsia="宋体" w:cs="宋体"/>
                <w:sz w:val="20"/>
                <w:szCs w:val="20"/>
              </w:rPr>
              <w:t>元/个</w:t>
            </w:r>
          </w:p>
        </w:tc>
        <w:tc>
          <w:tcPr>
            <w:tcW w:w="1134" w:type="dxa"/>
            <w:shd w:val="clear" w:color="auto" w:fill="auto"/>
            <w:noWrap/>
            <w:vAlign w:val="center"/>
          </w:tcPr>
          <w:p w14:paraId="405EF088">
            <w:pPr>
              <w:adjustRightInd w:val="0"/>
              <w:snapToGrid w:val="0"/>
              <w:spacing w:line="440" w:lineRule="atLeast"/>
              <w:jc w:val="center"/>
              <w:rPr>
                <w:rFonts w:ascii="宋体" w:hAnsi="宋体" w:eastAsia="宋体" w:cs="宋体"/>
                <w:kern w:val="2"/>
                <w:sz w:val="21"/>
                <w:szCs w:val="21"/>
                <w:u w:val="single"/>
                <w:lang w:val="en-US" w:eastAsia="zh-CN" w:bidi="ar-SA"/>
              </w:rPr>
            </w:pPr>
          </w:p>
        </w:tc>
        <w:tc>
          <w:tcPr>
            <w:tcW w:w="1925" w:type="dxa"/>
            <w:shd w:val="clear" w:color="auto" w:fill="auto"/>
            <w:noWrap/>
            <w:vAlign w:val="center"/>
          </w:tcPr>
          <w:p w14:paraId="30EE84A4">
            <w:pPr>
              <w:adjustRightInd w:val="0"/>
              <w:snapToGrid w:val="0"/>
              <w:spacing w:line="440" w:lineRule="atLeast"/>
              <w:jc w:val="center"/>
              <w:rPr>
                <w:rFonts w:ascii="宋体" w:hAnsi="宋体" w:eastAsia="宋体" w:cs="宋体"/>
                <w:kern w:val="2"/>
                <w:sz w:val="15"/>
                <w:szCs w:val="15"/>
                <w:lang w:val="en-US" w:eastAsia="zh-CN" w:bidi="ar-SA"/>
              </w:rPr>
            </w:pPr>
            <w:r>
              <w:rPr>
                <w:rFonts w:hint="eastAsia" w:ascii="宋体" w:hAnsi="宋体" w:eastAsia="宋体" w:cs="宋体"/>
                <w:sz w:val="18"/>
                <w:szCs w:val="18"/>
              </w:rPr>
              <w:t>每天清运一次</w:t>
            </w:r>
          </w:p>
        </w:tc>
        <w:tc>
          <w:tcPr>
            <w:tcW w:w="1925" w:type="dxa"/>
            <w:noWrap/>
            <w:vAlign w:val="center"/>
          </w:tcPr>
          <w:p w14:paraId="70396064">
            <w:pPr>
              <w:adjustRightInd w:val="0"/>
              <w:snapToGrid w:val="0"/>
              <w:spacing w:line="440" w:lineRule="atLeast"/>
              <w:jc w:val="center"/>
              <w:rPr>
                <w:rFonts w:hint="eastAsia" w:ascii="宋体" w:hAnsi="宋体" w:eastAsia="宋体" w:cs="宋体"/>
                <w:sz w:val="18"/>
                <w:szCs w:val="18"/>
              </w:rPr>
            </w:pPr>
            <w:r>
              <w:rPr>
                <w:rFonts w:hint="eastAsia" w:ascii="宋体" w:hAnsi="宋体" w:eastAsia="宋体" w:cs="宋体"/>
                <w:sz w:val="18"/>
                <w:szCs w:val="18"/>
                <w:lang w:val="en-US" w:eastAsia="zh-CN"/>
              </w:rPr>
              <w:t>包1</w:t>
            </w:r>
          </w:p>
        </w:tc>
      </w:tr>
      <w:tr w14:paraId="0BE8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713" w:type="dxa"/>
            <w:noWrap/>
            <w:vAlign w:val="center"/>
          </w:tcPr>
          <w:p w14:paraId="66F2F6B4">
            <w:pPr>
              <w:adjustRightInd w:val="0"/>
              <w:snapToGrid w:val="0"/>
              <w:spacing w:line="440" w:lineRule="atLeast"/>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2263" w:type="dxa"/>
            <w:shd w:val="clear" w:color="auto" w:fill="auto"/>
            <w:noWrap/>
            <w:vAlign w:val="center"/>
          </w:tcPr>
          <w:p w14:paraId="62B5A518">
            <w:pPr>
              <w:adjustRightInd w:val="0"/>
              <w:snapToGrid w:val="0"/>
              <w:spacing w:line="440" w:lineRule="atLeast"/>
              <w:jc w:val="center"/>
              <w:rPr>
                <w:rFonts w:ascii="宋体" w:hAnsi="宋体" w:eastAsia="宋体" w:cs="宋体"/>
                <w:kern w:val="2"/>
                <w:sz w:val="21"/>
                <w:szCs w:val="21"/>
                <w:lang w:val="en-US" w:eastAsia="zh-CN" w:bidi="ar-SA"/>
              </w:rPr>
            </w:pPr>
            <w:r>
              <w:rPr>
                <w:rFonts w:hint="eastAsia" w:ascii="宋体" w:hAnsi="宋体" w:eastAsia="宋体" w:cs="宋体"/>
                <w:szCs w:val="21"/>
              </w:rPr>
              <w:t>未污染塑料输液袋</w:t>
            </w:r>
            <w:r>
              <w:rPr>
                <w:rFonts w:hint="eastAsia" w:ascii="宋体" w:hAnsi="宋体" w:eastAsia="宋体" w:cs="宋体"/>
                <w:sz w:val="18"/>
                <w:szCs w:val="18"/>
              </w:rPr>
              <w:t>(瓶)</w:t>
            </w:r>
          </w:p>
        </w:tc>
        <w:tc>
          <w:tcPr>
            <w:tcW w:w="1381" w:type="dxa"/>
            <w:shd w:val="clear" w:color="auto" w:fill="auto"/>
            <w:noWrap/>
            <w:vAlign w:val="center"/>
          </w:tcPr>
          <w:p w14:paraId="418B615D">
            <w:pPr>
              <w:adjustRightInd w:val="0"/>
              <w:snapToGrid w:val="0"/>
              <w:spacing w:line="440" w:lineRule="atLeast"/>
              <w:jc w:val="center"/>
              <w:rPr>
                <w:rFonts w:ascii="宋体" w:hAnsi="宋体" w:eastAsia="宋体" w:cs="宋体"/>
                <w:kern w:val="2"/>
                <w:sz w:val="20"/>
                <w:szCs w:val="20"/>
                <w:lang w:val="en-US" w:eastAsia="zh-CN" w:bidi="ar-SA"/>
              </w:rPr>
            </w:pPr>
            <w:r>
              <w:rPr>
                <w:rFonts w:hint="eastAsia" w:ascii="宋体" w:hAnsi="宋体" w:eastAsia="宋体" w:cs="宋体"/>
                <w:sz w:val="20"/>
                <w:szCs w:val="20"/>
              </w:rPr>
              <w:t>元/斤</w:t>
            </w:r>
          </w:p>
        </w:tc>
        <w:tc>
          <w:tcPr>
            <w:tcW w:w="1134" w:type="dxa"/>
            <w:shd w:val="clear" w:color="auto" w:fill="auto"/>
            <w:noWrap/>
            <w:vAlign w:val="center"/>
          </w:tcPr>
          <w:p w14:paraId="7FA5C646">
            <w:pPr>
              <w:adjustRightInd w:val="0"/>
              <w:snapToGrid w:val="0"/>
              <w:spacing w:line="440" w:lineRule="atLeast"/>
              <w:jc w:val="center"/>
              <w:rPr>
                <w:rFonts w:ascii="宋体" w:hAnsi="宋体" w:eastAsia="宋体" w:cs="宋体"/>
                <w:kern w:val="2"/>
                <w:sz w:val="21"/>
                <w:szCs w:val="21"/>
                <w:u w:val="single"/>
                <w:lang w:val="en-US" w:eastAsia="zh-CN" w:bidi="ar-SA"/>
              </w:rPr>
            </w:pPr>
          </w:p>
        </w:tc>
        <w:tc>
          <w:tcPr>
            <w:tcW w:w="1925" w:type="dxa"/>
            <w:shd w:val="clear" w:color="auto" w:fill="auto"/>
            <w:noWrap/>
            <w:vAlign w:val="center"/>
          </w:tcPr>
          <w:p w14:paraId="42829FE1">
            <w:pPr>
              <w:adjustRightInd w:val="0"/>
              <w:snapToGrid w:val="0"/>
              <w:spacing w:line="440" w:lineRule="atLeast"/>
              <w:jc w:val="center"/>
              <w:rPr>
                <w:rFonts w:ascii="宋体" w:hAnsi="宋体" w:eastAsia="宋体" w:cs="宋体"/>
                <w:kern w:val="2"/>
                <w:sz w:val="20"/>
                <w:szCs w:val="20"/>
                <w:lang w:val="en-US" w:eastAsia="zh-CN" w:bidi="ar-SA"/>
              </w:rPr>
            </w:pPr>
            <w:r>
              <w:rPr>
                <w:rFonts w:hint="eastAsia" w:ascii="宋体" w:hAnsi="宋体" w:eastAsia="宋体" w:cs="宋体"/>
                <w:sz w:val="18"/>
                <w:szCs w:val="18"/>
              </w:rPr>
              <w:t>每两天清运一次</w:t>
            </w:r>
          </w:p>
        </w:tc>
        <w:tc>
          <w:tcPr>
            <w:tcW w:w="1925" w:type="dxa"/>
            <w:noWrap/>
            <w:vAlign w:val="center"/>
          </w:tcPr>
          <w:p w14:paraId="34B3E2A7">
            <w:pPr>
              <w:adjustRightInd w:val="0"/>
              <w:snapToGrid w:val="0"/>
              <w:spacing w:line="440" w:lineRule="atLeast"/>
              <w:jc w:val="center"/>
              <w:rPr>
                <w:rFonts w:hint="eastAsia" w:ascii="宋体" w:hAnsi="宋体" w:eastAsia="宋体" w:cs="宋体"/>
                <w:sz w:val="18"/>
                <w:szCs w:val="18"/>
              </w:rPr>
            </w:pPr>
            <w:r>
              <w:rPr>
                <w:rFonts w:hint="eastAsia" w:ascii="宋体" w:hAnsi="宋体" w:eastAsia="宋体" w:cs="宋体"/>
                <w:sz w:val="18"/>
                <w:szCs w:val="18"/>
                <w:lang w:val="en-US" w:eastAsia="zh-CN"/>
              </w:rPr>
              <w:t>包1</w:t>
            </w:r>
          </w:p>
        </w:tc>
      </w:tr>
      <w:tr w14:paraId="3FDB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713" w:type="dxa"/>
            <w:noWrap/>
            <w:vAlign w:val="center"/>
          </w:tcPr>
          <w:p w14:paraId="6D6E8341">
            <w:pPr>
              <w:adjustRightInd w:val="0"/>
              <w:snapToGrid w:val="0"/>
              <w:spacing w:line="440" w:lineRule="atLeast"/>
              <w:jc w:val="center"/>
              <w:rPr>
                <w:rFonts w:hint="eastAsia" w:ascii="宋体" w:hAnsi="宋体" w:eastAsia="宋体" w:cs="宋体"/>
                <w:szCs w:val="21"/>
                <w:lang w:eastAsia="zh-CN"/>
              </w:rPr>
            </w:pPr>
            <w:r>
              <w:rPr>
                <w:rFonts w:hint="eastAsia" w:ascii="宋体" w:hAnsi="宋体" w:eastAsia="宋体" w:cs="宋体"/>
                <w:szCs w:val="21"/>
                <w:lang w:val="en-US" w:eastAsia="zh-CN"/>
              </w:rPr>
              <w:t>3</w:t>
            </w:r>
          </w:p>
        </w:tc>
        <w:tc>
          <w:tcPr>
            <w:tcW w:w="2263" w:type="dxa"/>
            <w:shd w:val="clear" w:color="auto" w:fill="auto"/>
            <w:noWrap/>
            <w:vAlign w:val="center"/>
          </w:tcPr>
          <w:p w14:paraId="36FF3BB3">
            <w:pPr>
              <w:adjustRightInd w:val="0"/>
              <w:snapToGrid w:val="0"/>
              <w:spacing w:line="440" w:lineRule="atLeast"/>
              <w:jc w:val="center"/>
              <w:rPr>
                <w:rFonts w:ascii="宋体" w:hAnsi="宋体" w:eastAsia="宋体" w:cs="宋体"/>
                <w:kern w:val="2"/>
                <w:sz w:val="21"/>
                <w:szCs w:val="21"/>
                <w:lang w:val="en-US" w:eastAsia="zh-CN" w:bidi="ar-SA"/>
              </w:rPr>
            </w:pPr>
            <w:r>
              <w:rPr>
                <w:rFonts w:hint="eastAsia" w:ascii="宋体" w:hAnsi="宋体" w:eastAsia="宋体" w:cs="宋体"/>
                <w:szCs w:val="21"/>
              </w:rPr>
              <w:t>未污染医用玻璃瓶</w:t>
            </w:r>
          </w:p>
        </w:tc>
        <w:tc>
          <w:tcPr>
            <w:tcW w:w="1381" w:type="dxa"/>
            <w:shd w:val="clear" w:color="auto" w:fill="auto"/>
            <w:noWrap/>
            <w:vAlign w:val="center"/>
          </w:tcPr>
          <w:p w14:paraId="6D8738E4">
            <w:pPr>
              <w:adjustRightInd w:val="0"/>
              <w:snapToGrid w:val="0"/>
              <w:spacing w:line="440" w:lineRule="atLeast"/>
              <w:jc w:val="center"/>
              <w:rPr>
                <w:rFonts w:ascii="宋体" w:hAnsi="宋体" w:eastAsia="宋体" w:cs="宋体"/>
                <w:kern w:val="2"/>
                <w:sz w:val="20"/>
                <w:szCs w:val="20"/>
                <w:lang w:val="en-US" w:eastAsia="zh-CN" w:bidi="ar-SA"/>
              </w:rPr>
            </w:pPr>
            <w:r>
              <w:rPr>
                <w:rFonts w:hint="eastAsia" w:ascii="宋体" w:hAnsi="宋体" w:eastAsia="宋体" w:cs="宋体"/>
                <w:sz w:val="20"/>
                <w:szCs w:val="20"/>
              </w:rPr>
              <w:t>元/斤</w:t>
            </w:r>
          </w:p>
        </w:tc>
        <w:tc>
          <w:tcPr>
            <w:tcW w:w="1134" w:type="dxa"/>
            <w:shd w:val="clear" w:color="auto" w:fill="auto"/>
            <w:noWrap/>
            <w:vAlign w:val="center"/>
          </w:tcPr>
          <w:p w14:paraId="16782EF7">
            <w:pPr>
              <w:adjustRightInd w:val="0"/>
              <w:snapToGrid w:val="0"/>
              <w:spacing w:line="440" w:lineRule="atLeast"/>
              <w:jc w:val="center"/>
              <w:rPr>
                <w:rFonts w:ascii="宋体" w:hAnsi="宋体" w:eastAsia="宋体" w:cs="宋体"/>
                <w:kern w:val="2"/>
                <w:sz w:val="21"/>
                <w:szCs w:val="21"/>
                <w:lang w:val="en-US" w:eastAsia="zh-CN" w:bidi="ar-SA"/>
              </w:rPr>
            </w:pPr>
          </w:p>
        </w:tc>
        <w:tc>
          <w:tcPr>
            <w:tcW w:w="1925" w:type="dxa"/>
            <w:shd w:val="clear" w:color="auto" w:fill="auto"/>
            <w:noWrap/>
            <w:vAlign w:val="center"/>
          </w:tcPr>
          <w:p w14:paraId="35C7EB24">
            <w:pPr>
              <w:adjustRightInd w:val="0"/>
              <w:snapToGrid w:val="0"/>
              <w:spacing w:line="440" w:lineRule="atLeast"/>
              <w:jc w:val="center"/>
              <w:rPr>
                <w:rFonts w:ascii="宋体" w:hAnsi="宋体" w:eastAsia="宋体" w:cs="宋体"/>
                <w:kern w:val="2"/>
                <w:sz w:val="20"/>
                <w:szCs w:val="20"/>
                <w:lang w:val="en-US" w:eastAsia="zh-CN" w:bidi="ar-SA"/>
              </w:rPr>
            </w:pPr>
            <w:r>
              <w:rPr>
                <w:rFonts w:hint="eastAsia" w:ascii="宋体" w:hAnsi="宋体" w:eastAsia="宋体" w:cs="宋体"/>
                <w:sz w:val="18"/>
                <w:szCs w:val="18"/>
              </w:rPr>
              <w:t>每两天清运一次</w:t>
            </w:r>
          </w:p>
        </w:tc>
        <w:tc>
          <w:tcPr>
            <w:tcW w:w="1925" w:type="dxa"/>
            <w:noWrap/>
            <w:vAlign w:val="center"/>
          </w:tcPr>
          <w:p w14:paraId="5649B570">
            <w:pPr>
              <w:adjustRightInd w:val="0"/>
              <w:snapToGrid w:val="0"/>
              <w:spacing w:line="440" w:lineRule="atLeast"/>
              <w:jc w:val="center"/>
              <w:rPr>
                <w:rFonts w:hint="eastAsia" w:ascii="宋体" w:hAnsi="宋体" w:eastAsia="宋体" w:cs="宋体"/>
                <w:sz w:val="18"/>
                <w:szCs w:val="18"/>
              </w:rPr>
            </w:pPr>
            <w:r>
              <w:rPr>
                <w:rFonts w:hint="eastAsia" w:ascii="宋体" w:hAnsi="宋体" w:eastAsia="宋体" w:cs="宋体"/>
                <w:sz w:val="18"/>
                <w:szCs w:val="18"/>
                <w:lang w:val="en-US" w:eastAsia="zh-CN"/>
              </w:rPr>
              <w:t>包1</w:t>
            </w:r>
          </w:p>
        </w:tc>
      </w:tr>
      <w:tr w14:paraId="15EB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713" w:type="dxa"/>
            <w:noWrap/>
            <w:vAlign w:val="center"/>
          </w:tcPr>
          <w:p w14:paraId="02674C4F">
            <w:pPr>
              <w:adjustRightInd w:val="0"/>
              <w:snapToGrid w:val="0"/>
              <w:spacing w:line="440" w:lineRule="atLeast"/>
              <w:jc w:val="cente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2263" w:type="dxa"/>
            <w:shd w:val="clear" w:color="auto" w:fill="auto"/>
            <w:noWrap/>
            <w:vAlign w:val="center"/>
          </w:tcPr>
          <w:p w14:paraId="4F29F32F">
            <w:pPr>
              <w:adjustRightInd w:val="0"/>
              <w:snapToGrid w:val="0"/>
              <w:spacing w:line="440" w:lineRule="atLeast"/>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纸皮/纸箱/书纸等</w:t>
            </w:r>
          </w:p>
        </w:tc>
        <w:tc>
          <w:tcPr>
            <w:tcW w:w="1381" w:type="dxa"/>
            <w:shd w:val="clear" w:color="auto" w:fill="auto"/>
            <w:noWrap/>
            <w:vAlign w:val="center"/>
          </w:tcPr>
          <w:p w14:paraId="509FCAE3">
            <w:pPr>
              <w:adjustRightInd w:val="0"/>
              <w:snapToGrid w:val="0"/>
              <w:spacing w:line="440" w:lineRule="atLeast"/>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rPr>
              <w:t>元/斤</w:t>
            </w:r>
          </w:p>
        </w:tc>
        <w:tc>
          <w:tcPr>
            <w:tcW w:w="1134" w:type="dxa"/>
            <w:shd w:val="clear" w:color="auto" w:fill="auto"/>
            <w:noWrap/>
            <w:vAlign w:val="center"/>
          </w:tcPr>
          <w:p w14:paraId="112052DF">
            <w:pPr>
              <w:adjustRightInd w:val="0"/>
              <w:snapToGrid w:val="0"/>
              <w:spacing w:line="440" w:lineRule="atLeast"/>
              <w:jc w:val="center"/>
              <w:rPr>
                <w:rFonts w:ascii="宋体" w:hAnsi="宋体" w:eastAsia="宋体" w:cs="宋体"/>
                <w:kern w:val="2"/>
                <w:sz w:val="21"/>
                <w:szCs w:val="21"/>
                <w:u w:val="single"/>
                <w:lang w:val="en-US" w:eastAsia="zh-CN" w:bidi="ar-SA"/>
              </w:rPr>
            </w:pPr>
          </w:p>
        </w:tc>
        <w:tc>
          <w:tcPr>
            <w:tcW w:w="1925" w:type="dxa"/>
            <w:shd w:val="clear" w:color="auto" w:fill="auto"/>
            <w:noWrap/>
            <w:vAlign w:val="center"/>
          </w:tcPr>
          <w:p w14:paraId="39CF3010">
            <w:pPr>
              <w:adjustRightInd w:val="0"/>
              <w:snapToGrid w:val="0"/>
              <w:spacing w:line="440" w:lineRule="atLeas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每天清运一次</w:t>
            </w:r>
          </w:p>
        </w:tc>
        <w:tc>
          <w:tcPr>
            <w:tcW w:w="1925" w:type="dxa"/>
            <w:shd w:val="clear" w:color="auto" w:fill="auto"/>
            <w:noWrap/>
            <w:vAlign w:val="center"/>
          </w:tcPr>
          <w:p w14:paraId="2E13A687">
            <w:pPr>
              <w:adjustRightInd w:val="0"/>
              <w:snapToGrid w:val="0"/>
              <w:spacing w:line="440" w:lineRule="atLeas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包2</w:t>
            </w:r>
          </w:p>
        </w:tc>
      </w:tr>
    </w:tbl>
    <w:p w14:paraId="03462865">
      <w:pPr>
        <w:rPr>
          <w:rFonts w:eastAsia="宋体" w:cs="Times New Roman"/>
          <w:szCs w:val="21"/>
        </w:rPr>
      </w:pPr>
      <w:r>
        <w:rPr>
          <w:rFonts w:hint="eastAsia" w:eastAsia="宋体" w:cs="Times New Roman"/>
          <w:szCs w:val="21"/>
        </w:rPr>
        <w:t>注：</w:t>
      </w:r>
    </w:p>
    <w:p w14:paraId="0676C153">
      <w:pPr>
        <w:ind w:firstLine="420"/>
        <w:rPr>
          <w:rFonts w:eastAsia="宋体" w:cs="Times New Roman"/>
          <w:szCs w:val="21"/>
          <w:lang w:val="zh-CN"/>
        </w:rPr>
      </w:pPr>
      <w:r>
        <w:rPr>
          <w:rFonts w:hint="eastAsia" w:eastAsia="宋体" w:cs="Times New Roman"/>
          <w:szCs w:val="21"/>
        </w:rPr>
        <w:t>1.</w:t>
      </w:r>
      <w:r>
        <w:rPr>
          <w:rFonts w:hint="eastAsia" w:ascii="宋体" w:hAnsi="宋体" w:eastAsia="宋体" w:cs="宋体"/>
          <w:szCs w:val="21"/>
        </w:rPr>
        <w:t>报价包含服务涉及的相关购置、工具、运输、保险、装卸、配套材料、雇员费用、社保、工伤、试剂耗材、培训费等应预见或不可预见费用。</w:t>
      </w:r>
    </w:p>
    <w:p w14:paraId="6F4274D8">
      <w:pPr>
        <w:ind w:firstLine="420"/>
        <w:rPr>
          <w:rFonts w:hint="eastAsia" w:eastAsia="宋体" w:cs="Times New Roman"/>
          <w:szCs w:val="21"/>
          <w:lang w:val="zh-CN"/>
        </w:rPr>
      </w:pPr>
      <w:r>
        <w:rPr>
          <w:rFonts w:hint="eastAsia" w:eastAsia="宋体" w:cs="Times New Roman"/>
          <w:szCs w:val="21"/>
        </w:rPr>
        <w:t>2.</w:t>
      </w:r>
      <w:r>
        <w:rPr>
          <w:rFonts w:hint="eastAsia" w:eastAsia="宋体" w:cs="Times New Roman"/>
          <w:szCs w:val="21"/>
          <w:lang w:val="zh-CN"/>
        </w:rPr>
        <w:t>响应服务商的报价必须是固定唯一的，且在合同执行期间不做改变；</w:t>
      </w:r>
      <w:r>
        <w:rPr>
          <w:rFonts w:hint="eastAsia" w:eastAsia="宋体" w:cs="Times New Roman"/>
          <w:szCs w:val="21"/>
        </w:rPr>
        <w:t>.</w:t>
      </w:r>
      <w:r>
        <w:rPr>
          <w:rFonts w:hint="eastAsia" w:eastAsia="宋体" w:cs="Times New Roman"/>
          <w:szCs w:val="21"/>
          <w:lang w:val="zh-CN"/>
        </w:rPr>
        <w:t>响应服务商按照采购人提供的资料自行考虑风险因素等计算响应报价。</w:t>
      </w:r>
    </w:p>
    <w:p w14:paraId="43322729">
      <w:pPr>
        <w:ind w:firstLine="420"/>
        <w:rPr>
          <w:rFonts w:eastAsia="宋体" w:cs="Times New Roman"/>
          <w:szCs w:val="21"/>
          <w:lang w:val="zh-CN"/>
        </w:rPr>
      </w:pPr>
      <w:r>
        <w:rPr>
          <w:rFonts w:hint="eastAsia" w:eastAsia="宋体" w:cs="Times New Roman"/>
          <w:szCs w:val="21"/>
        </w:rPr>
        <w:t>3.</w:t>
      </w:r>
      <w:r>
        <w:rPr>
          <w:rFonts w:hint="eastAsia" w:eastAsia="宋体" w:cs="Times New Roman"/>
          <w:szCs w:val="21"/>
          <w:lang w:val="zh-CN"/>
        </w:rPr>
        <w:t>价格必须用不褪色墨水书写或打印，任何由于错误造成的或必要的改动应由响应服务商签字。</w:t>
      </w:r>
    </w:p>
    <w:p w14:paraId="2A390DE2">
      <w:pPr>
        <w:ind w:firstLine="420"/>
        <w:rPr>
          <w:rFonts w:eastAsia="宋体" w:cs="Times New Roman"/>
          <w:szCs w:val="21"/>
          <w:lang w:val="zh-CN"/>
        </w:rPr>
      </w:pPr>
      <w:r>
        <w:rPr>
          <w:rFonts w:hint="eastAsia" w:eastAsia="宋体" w:cs="Times New Roman"/>
          <w:szCs w:val="21"/>
          <w:lang w:val="en-US" w:eastAsia="zh-CN"/>
        </w:rPr>
        <w:t>4</w:t>
      </w:r>
      <w:r>
        <w:rPr>
          <w:rFonts w:hint="eastAsia" w:eastAsia="宋体" w:cs="Times New Roman"/>
          <w:szCs w:val="21"/>
          <w:lang w:val="zh-CN"/>
        </w:rPr>
        <w:t>.所有价格均系用人民币表示，单位为元，总报价的小数点后保留两位有效数。</w:t>
      </w:r>
    </w:p>
    <w:p w14:paraId="16388180">
      <w:pPr>
        <w:pStyle w:val="2"/>
        <w:ind w:firstLine="420" w:firstLineChars="200"/>
        <w:rPr>
          <w:rFonts w:cs="Times New Roman" w:asciiTheme="minorHAnsi" w:hAnsiTheme="minorHAnsi"/>
          <w:lang w:bidi="ar-SA"/>
        </w:rPr>
      </w:pPr>
    </w:p>
    <w:p w14:paraId="59C2294E">
      <w:pPr>
        <w:ind w:firstLine="420"/>
        <w:rPr>
          <w:rFonts w:eastAsia="宋体" w:cs="Times New Roman"/>
          <w:szCs w:val="21"/>
          <w:lang w:val="zh-CN"/>
        </w:rPr>
      </w:pPr>
      <w:r>
        <w:rPr>
          <w:rFonts w:hint="eastAsia" w:eastAsia="宋体" w:cs="Times New Roman"/>
          <w:szCs w:val="21"/>
          <w:lang w:val="zh-CN"/>
        </w:rPr>
        <w:t>响应服务商名称（加盖公司公章）：</w:t>
      </w:r>
    </w:p>
    <w:p w14:paraId="61ADA103">
      <w:pPr>
        <w:pStyle w:val="2"/>
        <w:rPr>
          <w:lang w:bidi="ar-SA"/>
        </w:rPr>
      </w:pPr>
    </w:p>
    <w:p w14:paraId="4E1753D6">
      <w:pPr>
        <w:pStyle w:val="2"/>
        <w:rPr>
          <w:lang w:bidi="ar-SA"/>
        </w:rPr>
      </w:pPr>
    </w:p>
    <w:p w14:paraId="7F58FF38">
      <w:pPr>
        <w:pStyle w:val="2"/>
        <w:rPr>
          <w:lang w:bidi="ar-SA"/>
        </w:rPr>
      </w:pPr>
    </w:p>
    <w:p w14:paraId="7DD88E53">
      <w:pPr>
        <w:pStyle w:val="2"/>
        <w:rPr>
          <w:lang w:bidi="ar-SA"/>
        </w:rPr>
      </w:pPr>
    </w:p>
    <w:p w14:paraId="7D29EC4E">
      <w:pPr>
        <w:ind w:firstLine="420"/>
        <w:rPr>
          <w:rFonts w:ascii="宋体" w:hAnsi="宋体" w:eastAsia="宋体" w:cs="宋体"/>
          <w:szCs w:val="21"/>
          <w:u w:val="single"/>
        </w:rPr>
      </w:pPr>
      <w:r>
        <w:rPr>
          <w:rFonts w:hint="eastAsia" w:eastAsia="宋体" w:cs="Times New Roman"/>
          <w:szCs w:val="21"/>
        </w:rPr>
        <w:t>法定代表人或</w:t>
      </w:r>
      <w:r>
        <w:rPr>
          <w:rFonts w:hint="eastAsia" w:ascii="宋体" w:hAnsi="宋体" w:eastAsia="宋体" w:cs="宋体"/>
          <w:szCs w:val="21"/>
        </w:rPr>
        <w:t>响应服务商授权代表（签名或盖章）：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NkYTgyOTdiYTJlMzgzZTQ0YmVlZGNmZWVkZGE1MmEifQ=="/>
  </w:docVars>
  <w:rsids>
    <w:rsidRoot w:val="001A75CC"/>
    <w:rsid w:val="00080B07"/>
    <w:rsid w:val="000A2785"/>
    <w:rsid w:val="000D46A5"/>
    <w:rsid w:val="00117F1F"/>
    <w:rsid w:val="00183A22"/>
    <w:rsid w:val="001A75CC"/>
    <w:rsid w:val="002E28AA"/>
    <w:rsid w:val="00303C98"/>
    <w:rsid w:val="0033003C"/>
    <w:rsid w:val="00344329"/>
    <w:rsid w:val="003A3C74"/>
    <w:rsid w:val="003A3F7F"/>
    <w:rsid w:val="00495CC7"/>
    <w:rsid w:val="004A75F5"/>
    <w:rsid w:val="004C3F9E"/>
    <w:rsid w:val="00564A78"/>
    <w:rsid w:val="005C6089"/>
    <w:rsid w:val="00645684"/>
    <w:rsid w:val="006569E6"/>
    <w:rsid w:val="00684777"/>
    <w:rsid w:val="006B148E"/>
    <w:rsid w:val="00765CCC"/>
    <w:rsid w:val="00842183"/>
    <w:rsid w:val="008A5634"/>
    <w:rsid w:val="00902AD1"/>
    <w:rsid w:val="009A4B6E"/>
    <w:rsid w:val="00A211AF"/>
    <w:rsid w:val="00B27BCD"/>
    <w:rsid w:val="00B85682"/>
    <w:rsid w:val="00C67EBF"/>
    <w:rsid w:val="00D156CD"/>
    <w:rsid w:val="00D248AA"/>
    <w:rsid w:val="00DA51C1"/>
    <w:rsid w:val="00DE2FD2"/>
    <w:rsid w:val="00DF7166"/>
    <w:rsid w:val="00E136AD"/>
    <w:rsid w:val="00E7389D"/>
    <w:rsid w:val="00EC4DCD"/>
    <w:rsid w:val="00ED5DB0"/>
    <w:rsid w:val="00F20D13"/>
    <w:rsid w:val="00FC195E"/>
    <w:rsid w:val="00FF6CCC"/>
    <w:rsid w:val="02E47E27"/>
    <w:rsid w:val="0449731D"/>
    <w:rsid w:val="0635214A"/>
    <w:rsid w:val="0E5209BA"/>
    <w:rsid w:val="11B04289"/>
    <w:rsid w:val="144838E0"/>
    <w:rsid w:val="2487335D"/>
    <w:rsid w:val="42A276BC"/>
    <w:rsid w:val="4585216B"/>
    <w:rsid w:val="498D5A7E"/>
    <w:rsid w:val="4E8800AF"/>
    <w:rsid w:val="544A72BD"/>
    <w:rsid w:val="5F491D86"/>
    <w:rsid w:val="68A054F8"/>
    <w:rsid w:val="6B3D03F9"/>
    <w:rsid w:val="79E72E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720" w:lineRule="auto"/>
      <w:jc w:val="center"/>
      <w:outlineLvl w:val="0"/>
    </w:pPr>
    <w:rPr>
      <w:b/>
      <w:kern w:val="44"/>
      <w:sz w:val="30"/>
    </w:rPr>
  </w:style>
  <w:style w:type="paragraph" w:styleId="4">
    <w:name w:val="heading 2"/>
    <w:basedOn w:val="1"/>
    <w:next w:val="1"/>
    <w:qFormat/>
    <w:uiPriority w:val="0"/>
    <w:pPr>
      <w:keepNext/>
      <w:keepLines/>
      <w:spacing w:line="416" w:lineRule="auto"/>
      <w:outlineLvl w:val="1"/>
    </w:pPr>
    <w:rPr>
      <w:rFonts w:ascii="Arial" w:hAnsi="Arial" w:eastAsia="黑体"/>
      <w:b/>
      <w:kern w:val="0"/>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Cs w:val="21"/>
      <w:lang w:val="zh-CN" w:bidi="zh-CN"/>
    </w:rPr>
  </w:style>
  <w:style w:type="paragraph" w:styleId="5">
    <w:name w:val="Plain Text"/>
    <w:basedOn w:val="1"/>
    <w:qFormat/>
    <w:uiPriority w:val="0"/>
    <w:rPr>
      <w:rFonts w:ascii="宋体" w:hAnsi="Courier New"/>
      <w:szCs w:val="2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Body Text 21"/>
    <w:basedOn w:val="1"/>
    <w:qFormat/>
    <w:uiPriority w:val="0"/>
    <w:pPr>
      <w:adjustRightInd w:val="0"/>
      <w:spacing w:line="240" w:lineRule="exact"/>
      <w:textAlignment w:val="baseline"/>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371</Words>
  <Characters>376</Characters>
  <Lines>4</Lines>
  <Paragraphs>1</Paragraphs>
  <TotalTime>5</TotalTime>
  <ScaleCrop>false</ScaleCrop>
  <LinksUpToDate>false</LinksUpToDate>
  <CharactersWithSpaces>376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2025-04-07T09:15:00Z</dcterms:created>
  <dc:creator>levono</dc:creator>
  <cp:lastModifiedBy>逝去的日子</cp:lastModifiedBy>
  <cp:lastPrinted>2022-08-23T00:32:00Z</cp:lastPrinted>
  <dcterms:modified xsi:type="dcterms:W3CDTF">2026-07-14T07:50:43Z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08EC889B217A4B0C95F88B0CCBF297DC</vt:lpwstr>
  </property>
  <property fmtid="{D5CDD505-2E9C-101B-9397-08002B2CF9AE}" pid="4" name="KSOTemplateDocerSaveRecord">
    <vt:lpwstr>eyJoZGlkIjoiNmQwYjE2MTFjNmZlZDRlMzAwYjRhZjgyYTc2ZTMyZWMiLCJ1c2VySWQiOiIyOTkyNzU2NjIifQ==</vt:lpwstr>
  </property>
</Properties>
</file>