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31DDE">
      <w:pPr>
        <w:spacing w:line="360" w:lineRule="auto"/>
        <w:ind w:firstLine="420"/>
        <w:jc w:val="center"/>
        <w:rPr>
          <w:rFonts w:ascii="宋体" w:hAnsi="宋体" w:eastAsia="宋体" w:cs="宋体"/>
          <w:b/>
          <w:bCs/>
          <w:sz w:val="44"/>
          <w:szCs w:val="24"/>
        </w:rPr>
      </w:pPr>
      <w:bookmarkStart w:id="5" w:name="_GoBack"/>
      <w:bookmarkEnd w:id="5"/>
      <w:r>
        <w:rPr>
          <w:rFonts w:hint="eastAsia" w:ascii="宋体" w:hAnsi="宋体" w:eastAsia="宋体" w:cs="宋体"/>
          <w:b/>
          <w:bCs/>
          <w:sz w:val="44"/>
          <w:szCs w:val="24"/>
        </w:rPr>
        <w:t>茂名市人民医院信息系统商用密码应用安全性评估项目市场调研需求</w:t>
      </w:r>
    </w:p>
    <w:p w14:paraId="2AF7AB86">
      <w:pPr>
        <w:pStyle w:val="2"/>
        <w:rPr>
          <w:rFonts w:hint="eastAsia"/>
        </w:rPr>
      </w:pPr>
    </w:p>
    <w:p w14:paraId="55DAB945">
      <w:pPr>
        <w:pStyle w:val="3"/>
        <w:keepNext/>
        <w:keepLines/>
        <w:ind w:left="432" w:hanging="432"/>
        <w:rPr>
          <w:rFonts w:ascii="宋体" w:hAnsi="宋体" w:cs="宋体"/>
          <w:kern w:val="44"/>
          <w:sz w:val="36"/>
          <w:szCs w:val="44"/>
        </w:rPr>
      </w:pPr>
      <w:r>
        <w:rPr>
          <w:rFonts w:hint="eastAsia" w:ascii="宋体" w:hAnsi="宋体" w:cs="宋体"/>
          <w:kern w:val="44"/>
          <w:sz w:val="36"/>
          <w:szCs w:val="44"/>
        </w:rPr>
        <w:t>一、项目概况</w:t>
      </w:r>
    </w:p>
    <w:p w14:paraId="12A47820">
      <w:pPr>
        <w:tabs>
          <w:tab w:val="left" w:pos="2521"/>
        </w:tabs>
        <w:spacing w:line="360" w:lineRule="auto"/>
        <w:ind w:firstLine="480" w:firstLineChars="200"/>
        <w:rPr>
          <w:rFonts w:ascii="宋体" w:hAnsi="宋体" w:eastAsia="宋体" w:cs="宋体"/>
          <w:sz w:val="24"/>
          <w:szCs w:val="24"/>
        </w:rPr>
      </w:pPr>
      <w:r>
        <w:rPr>
          <w:rFonts w:ascii="宋体" w:hAnsi="宋体" w:eastAsia="宋体" w:cs="宋体"/>
          <w:sz w:val="24"/>
          <w:szCs w:val="24"/>
        </w:rPr>
        <w:t>为贯彻落实网络安全责任，保障信息系统安全，按照《商业密码应用安全性评估管理办法》、《广东省省级政务信息化项目商用密码应用工作指引》（粤密码协调组〔2020〕2 号）等文件要求，持续深化商用密码应用。根据本院网络数据安全的工作需求，</w:t>
      </w:r>
      <w:r>
        <w:rPr>
          <w:rFonts w:ascii="宋体" w:hAnsi="宋体" w:eastAsia="宋体" w:cs="宋体"/>
          <w:sz w:val="24"/>
          <w:szCs w:val="24"/>
          <w:highlight w:val="none"/>
        </w:rPr>
        <w:t>对202</w:t>
      </w:r>
      <w:r>
        <w:rPr>
          <w:rFonts w:hint="eastAsia" w:ascii="宋体" w:hAnsi="宋体" w:eastAsia="宋体" w:cs="宋体"/>
          <w:sz w:val="24"/>
          <w:szCs w:val="24"/>
          <w:highlight w:val="none"/>
        </w:rPr>
        <w:t>5</w:t>
      </w:r>
      <w:r>
        <w:rPr>
          <w:rFonts w:ascii="宋体" w:hAnsi="宋体" w:eastAsia="宋体" w:cs="宋体"/>
          <w:sz w:val="24"/>
          <w:szCs w:val="24"/>
          <w:highlight w:val="none"/>
        </w:rPr>
        <w:t>年已备案的3个等保三级系统</w:t>
      </w:r>
      <w:r>
        <w:rPr>
          <w:rFonts w:hint="eastAsia" w:ascii="宋体" w:hAnsi="宋体" w:eastAsia="宋体" w:cs="宋体"/>
          <w:sz w:val="24"/>
          <w:szCs w:val="24"/>
        </w:rPr>
        <w:t>，</w:t>
      </w:r>
      <w:r>
        <w:rPr>
          <w:rFonts w:ascii="宋体" w:hAnsi="宋体" w:eastAsia="宋体" w:cs="宋体"/>
          <w:sz w:val="24"/>
          <w:szCs w:val="24"/>
        </w:rPr>
        <w:t>进行商用密码应用建设方案编制、商用密码应用方案评估及商用密码应用安全性评估。现拟聘请具有商用密码应用安全性评估资质的服务商为我院开展202</w:t>
      </w:r>
      <w:r>
        <w:rPr>
          <w:rFonts w:hint="eastAsia" w:ascii="宋体" w:hAnsi="宋体" w:eastAsia="宋体" w:cs="宋体"/>
          <w:sz w:val="24"/>
          <w:szCs w:val="24"/>
        </w:rPr>
        <w:t>6</w:t>
      </w:r>
      <w:r>
        <w:rPr>
          <w:rFonts w:ascii="宋体" w:hAnsi="宋体" w:eastAsia="宋体" w:cs="宋体"/>
          <w:sz w:val="24"/>
          <w:szCs w:val="24"/>
        </w:rPr>
        <w:t>年度</w:t>
      </w:r>
      <w:r>
        <w:rPr>
          <w:rFonts w:hint="eastAsia" w:ascii="宋体" w:hAnsi="宋体" w:eastAsia="宋体" w:cs="宋体"/>
          <w:sz w:val="24"/>
          <w:szCs w:val="24"/>
        </w:rPr>
        <w:t>“</w:t>
      </w:r>
      <w:r>
        <w:rPr>
          <w:rFonts w:ascii="宋体" w:hAnsi="宋体" w:eastAsia="宋体" w:cs="宋体"/>
          <w:sz w:val="24"/>
          <w:szCs w:val="24"/>
        </w:rPr>
        <w:t>商用密码应用安全性评估</w:t>
      </w:r>
      <w:r>
        <w:rPr>
          <w:rFonts w:hint="eastAsia" w:ascii="宋体" w:hAnsi="宋体" w:eastAsia="宋体" w:cs="宋体"/>
          <w:sz w:val="24"/>
          <w:szCs w:val="24"/>
        </w:rPr>
        <w:t>”</w:t>
      </w:r>
      <w:r>
        <w:rPr>
          <w:rFonts w:ascii="宋体" w:hAnsi="宋体" w:eastAsia="宋体" w:cs="宋体"/>
          <w:sz w:val="24"/>
          <w:szCs w:val="24"/>
        </w:rPr>
        <w:t>工作，及时发现存在的安全隐患，给出商用密码应用方案评估报告、信息系统密码应用安全性评估报告等，</w:t>
      </w:r>
      <w:bookmarkStart w:id="0" w:name="OLE_LINK8"/>
      <w:r>
        <w:rPr>
          <w:rFonts w:ascii="宋体" w:hAnsi="宋体" w:eastAsia="宋体" w:cs="宋体"/>
          <w:sz w:val="24"/>
          <w:szCs w:val="24"/>
        </w:rPr>
        <w:t>加强单位的网络安全防护能力，提高信息安全水平，保障院内业务安全平稳运行。</w:t>
      </w:r>
    </w:p>
    <w:bookmarkEnd w:id="0"/>
    <w:p w14:paraId="41A4E527">
      <w:pPr>
        <w:pStyle w:val="3"/>
        <w:keepNext/>
        <w:keepLines/>
        <w:ind w:left="432" w:hanging="432"/>
        <w:rPr>
          <w:rFonts w:ascii="宋体" w:hAnsi="宋体" w:cs="宋体"/>
          <w:kern w:val="44"/>
          <w:sz w:val="36"/>
          <w:szCs w:val="44"/>
        </w:rPr>
      </w:pPr>
      <w:r>
        <w:rPr>
          <w:rFonts w:hint="eastAsia" w:ascii="宋体" w:hAnsi="宋体" w:cs="宋体"/>
          <w:kern w:val="44"/>
          <w:sz w:val="36"/>
          <w:szCs w:val="44"/>
        </w:rPr>
        <w:t>二、供应商资格要求</w:t>
      </w:r>
    </w:p>
    <w:p w14:paraId="4BE43FFA">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投标（响应）截止时间当天在“信用中国”网站（www.creditchina.gov.cn）及中国政府采购网（http://www.ccgp.gov.cn/）查询结果为准，如相关失信记录已失效，供应商需提供相关证明资料）。</w:t>
      </w:r>
    </w:p>
    <w:p w14:paraId="0E772D12">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2.单位负责人为同一人或者存在直接控股、管理关系的不同供应商，不得同时参加本采购项目（或采购包）投标（响应）。响应承诺函相关承诺要求内容。</w:t>
      </w:r>
    </w:p>
    <w:p w14:paraId="0D08B773">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3.供应商未成为本采购包涉及系统的除前期整体设计、规范编制或者项目管理、监理、检测服务以外的其它采购活动的中标（成交）供应商。（首次响应文件提供承诺函，承诺函可参考响应文件格式）</w:t>
      </w:r>
    </w:p>
    <w:p w14:paraId="22727B30">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4.供应商须具有公安部第三研究所（认证中心）颁发的有效的网络安全等级测评与检测评估机构服务认证证书。</w:t>
      </w:r>
    </w:p>
    <w:p w14:paraId="1CECB40F">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5.供应商具备商用密码检测机构(商用密码应用安全性评估业务)资质：即列入国家密码管理局公告（国家密码管理局公告（第53号））明确的《商用密码检测机构（商用密码应用安全性评估业务）目录》。</w:t>
      </w:r>
    </w:p>
    <w:p w14:paraId="4D50709C">
      <w:pPr>
        <w:pStyle w:val="3"/>
        <w:keepNext/>
        <w:keepLines/>
        <w:ind w:left="432" w:hanging="432"/>
        <w:rPr>
          <w:rFonts w:ascii="宋体" w:hAnsi="宋体" w:cs="宋体"/>
          <w:kern w:val="44"/>
          <w:sz w:val="36"/>
          <w:szCs w:val="44"/>
        </w:rPr>
      </w:pPr>
      <w:r>
        <w:rPr>
          <w:rFonts w:hint="eastAsia" w:ascii="宋体" w:hAnsi="宋体" w:cs="宋体"/>
          <w:kern w:val="44"/>
          <w:sz w:val="36"/>
          <w:szCs w:val="44"/>
        </w:rPr>
        <w:t>三、服务项目内容</w:t>
      </w:r>
    </w:p>
    <w:p w14:paraId="21FCE62B">
      <w:pPr>
        <w:pStyle w:val="4"/>
        <w:keepNext/>
        <w:keepLines/>
        <w:ind w:left="576" w:hanging="576" w:firstLineChars="0"/>
        <w:rPr>
          <w:rFonts w:ascii="宋体" w:hAnsi="宋体" w:cs="宋体"/>
          <w:sz w:val="32"/>
          <w:szCs w:val="32"/>
        </w:rPr>
      </w:pPr>
      <w:r>
        <w:rPr>
          <w:rFonts w:hint="eastAsia" w:ascii="宋体" w:hAnsi="宋体" w:cs="宋体"/>
          <w:sz w:val="32"/>
          <w:szCs w:val="32"/>
        </w:rPr>
        <w:t>（一）总体目标</w:t>
      </w:r>
    </w:p>
    <w:p w14:paraId="34C762F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通过商用密码应用安全性评估，在信息化建设过程中为信息化系统安全建设和管理提供系统性、针对性、可行性的指导和服务，优化密码安全的配置，加强密码安全管理，进一步提高系统的安全防护能力，</w:t>
      </w:r>
      <w:r>
        <w:rPr>
          <w:rFonts w:ascii="宋体" w:hAnsi="宋体" w:eastAsia="宋体" w:cs="宋体"/>
          <w:sz w:val="24"/>
          <w:szCs w:val="24"/>
        </w:rPr>
        <w:t>加强单位的网络安全防护能力，提高信息安全水平，保障院内业务安全平稳运行。</w:t>
      </w:r>
    </w:p>
    <w:p w14:paraId="49546712">
      <w:pPr>
        <w:pStyle w:val="4"/>
        <w:keepNext/>
        <w:keepLines/>
        <w:ind w:left="576" w:hanging="576" w:firstLineChars="0"/>
        <w:rPr>
          <w:rFonts w:ascii="宋体" w:hAnsi="宋体" w:cs="宋体"/>
          <w:sz w:val="32"/>
          <w:szCs w:val="32"/>
        </w:rPr>
      </w:pPr>
      <w:r>
        <w:rPr>
          <w:rFonts w:hint="eastAsia" w:ascii="宋体" w:hAnsi="宋体" w:cs="宋体"/>
          <w:sz w:val="32"/>
          <w:szCs w:val="32"/>
        </w:rPr>
        <w:t>（二）服务范围</w:t>
      </w:r>
    </w:p>
    <w:p w14:paraId="7B9C8D1D">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根据采购人需求，对以下系统进行商用密码应用安全性评估（具体评估系统名称以采购人最终确定为准）。</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340"/>
        <w:gridCol w:w="1868"/>
        <w:gridCol w:w="3377"/>
      </w:tblGrid>
      <w:tr w14:paraId="7150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48" w:type="pct"/>
            <w:shd w:val="clear" w:color="auto" w:fill="BEBEBE" w:themeFill="background1" w:themeFillShade="BF"/>
            <w:vAlign w:val="center"/>
          </w:tcPr>
          <w:p w14:paraId="3FDE8599">
            <w:pPr>
              <w:pStyle w:val="10"/>
              <w:spacing w:before="0" w:line="360" w:lineRule="auto"/>
              <w:ind w:left="0"/>
              <w:jc w:val="center"/>
              <w:rPr>
                <w:rFonts w:cs="宋体"/>
                <w:b/>
                <w:color w:val="auto"/>
                <w:kern w:val="2"/>
                <w:highlight w:val="none"/>
                <w:lang w:eastAsia="zh-CN"/>
              </w:rPr>
            </w:pPr>
            <w:r>
              <w:rPr>
                <w:rFonts w:hint="eastAsia" w:cs="宋体"/>
                <w:b/>
                <w:color w:val="auto"/>
                <w:kern w:val="2"/>
                <w:highlight w:val="none"/>
                <w:lang w:eastAsia="zh-CN"/>
              </w:rPr>
              <w:t>序号</w:t>
            </w:r>
          </w:p>
        </w:tc>
        <w:tc>
          <w:tcPr>
            <w:tcW w:w="1373" w:type="pct"/>
            <w:shd w:val="clear" w:color="auto" w:fill="BEBEBE" w:themeFill="background1" w:themeFillShade="BF"/>
            <w:vAlign w:val="center"/>
          </w:tcPr>
          <w:p w14:paraId="56B8265B">
            <w:pPr>
              <w:pStyle w:val="10"/>
              <w:spacing w:before="0" w:line="360" w:lineRule="auto"/>
              <w:ind w:left="0"/>
              <w:jc w:val="center"/>
              <w:rPr>
                <w:rFonts w:cs="宋体"/>
                <w:b/>
                <w:color w:val="auto"/>
                <w:kern w:val="2"/>
                <w:highlight w:val="none"/>
                <w:lang w:eastAsia="zh-CN"/>
              </w:rPr>
            </w:pPr>
            <w:r>
              <w:rPr>
                <w:rFonts w:hint="eastAsia" w:cs="宋体"/>
                <w:b/>
                <w:color w:val="auto"/>
                <w:kern w:val="2"/>
                <w:highlight w:val="none"/>
                <w:lang w:eastAsia="zh-CN"/>
              </w:rPr>
              <w:t>系统名称</w:t>
            </w:r>
          </w:p>
        </w:tc>
        <w:tc>
          <w:tcPr>
            <w:tcW w:w="1096" w:type="pct"/>
            <w:shd w:val="clear" w:color="auto" w:fill="BEBEBE" w:themeFill="background1" w:themeFillShade="BF"/>
            <w:vAlign w:val="center"/>
          </w:tcPr>
          <w:p w14:paraId="71A460D9">
            <w:pPr>
              <w:pStyle w:val="10"/>
              <w:spacing w:before="0" w:line="360" w:lineRule="auto"/>
              <w:ind w:left="0"/>
              <w:jc w:val="center"/>
              <w:rPr>
                <w:rFonts w:cs="宋体"/>
                <w:b/>
                <w:bCs/>
                <w:color w:val="auto"/>
                <w:kern w:val="2"/>
                <w:highlight w:val="none"/>
                <w:lang w:eastAsia="zh-CN"/>
              </w:rPr>
            </w:pPr>
            <w:r>
              <w:rPr>
                <w:rFonts w:hint="eastAsia" w:cs="宋体"/>
                <w:b/>
                <w:bCs/>
                <w:color w:val="auto"/>
                <w:highlight w:val="none"/>
                <w:lang w:eastAsia="zh-CN"/>
              </w:rPr>
              <w:t>系统安全等级</w:t>
            </w:r>
          </w:p>
        </w:tc>
        <w:tc>
          <w:tcPr>
            <w:tcW w:w="1981" w:type="pct"/>
            <w:shd w:val="clear" w:color="auto" w:fill="BEBEBE" w:themeFill="background1" w:themeFillShade="BF"/>
            <w:vAlign w:val="center"/>
          </w:tcPr>
          <w:p w14:paraId="4A246555">
            <w:pPr>
              <w:pStyle w:val="10"/>
              <w:spacing w:before="0" w:line="360" w:lineRule="auto"/>
              <w:ind w:left="0"/>
              <w:jc w:val="center"/>
              <w:rPr>
                <w:rFonts w:cs="宋体"/>
                <w:b/>
                <w:bCs/>
                <w:color w:val="auto"/>
                <w:highlight w:val="none"/>
                <w:lang w:eastAsia="zh-CN"/>
              </w:rPr>
            </w:pPr>
            <w:r>
              <w:rPr>
                <w:rFonts w:hint="eastAsia" w:cs="宋体"/>
                <w:b/>
                <w:bCs/>
                <w:color w:val="auto"/>
                <w:highlight w:val="none"/>
                <w:lang w:eastAsia="zh-CN"/>
              </w:rPr>
              <w:t>备注</w:t>
            </w:r>
          </w:p>
        </w:tc>
      </w:tr>
      <w:tr w14:paraId="6077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48" w:type="pct"/>
            <w:vAlign w:val="center"/>
          </w:tcPr>
          <w:p w14:paraId="32D30D60">
            <w:pPr>
              <w:pStyle w:val="10"/>
              <w:spacing w:before="0" w:line="360" w:lineRule="auto"/>
              <w:ind w:left="0"/>
              <w:jc w:val="center"/>
              <w:rPr>
                <w:rFonts w:cs="宋体"/>
                <w:color w:val="auto"/>
                <w:kern w:val="2"/>
                <w:highlight w:val="none"/>
                <w:lang w:eastAsia="zh-CN"/>
              </w:rPr>
            </w:pPr>
            <w:r>
              <w:rPr>
                <w:rFonts w:hint="eastAsia" w:cs="宋体"/>
                <w:color w:val="auto"/>
                <w:kern w:val="2"/>
                <w:highlight w:val="none"/>
                <w:lang w:eastAsia="zh-CN"/>
              </w:rPr>
              <w:t>1</w:t>
            </w:r>
          </w:p>
        </w:tc>
        <w:tc>
          <w:tcPr>
            <w:tcW w:w="1373" w:type="pct"/>
            <w:vAlign w:val="center"/>
          </w:tcPr>
          <w:p w14:paraId="65B4E7A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互联网医院系统</w:t>
            </w:r>
          </w:p>
        </w:tc>
        <w:tc>
          <w:tcPr>
            <w:tcW w:w="1096" w:type="pct"/>
            <w:vAlign w:val="center"/>
          </w:tcPr>
          <w:p w14:paraId="6826D777">
            <w:pPr>
              <w:pStyle w:val="10"/>
              <w:spacing w:before="0" w:line="360" w:lineRule="auto"/>
              <w:ind w:left="0"/>
              <w:jc w:val="center"/>
              <w:rPr>
                <w:rFonts w:hint="default" w:cs="宋体"/>
                <w:color w:val="auto"/>
                <w:kern w:val="2"/>
                <w:highlight w:val="none"/>
                <w:lang w:val="en-US" w:eastAsia="zh-CN"/>
              </w:rPr>
            </w:pPr>
            <w:r>
              <w:rPr>
                <w:rFonts w:hint="eastAsia" w:cs="宋体"/>
                <w:color w:val="auto"/>
                <w:kern w:val="2"/>
                <w:highlight w:val="none"/>
                <w:lang w:val="en-US" w:eastAsia="zh-CN"/>
              </w:rPr>
              <w:t>三级</w:t>
            </w:r>
          </w:p>
        </w:tc>
        <w:tc>
          <w:tcPr>
            <w:tcW w:w="1981" w:type="pct"/>
            <w:vAlign w:val="center"/>
          </w:tcPr>
          <w:p w14:paraId="3524D11D">
            <w:pPr>
              <w:pStyle w:val="10"/>
              <w:spacing w:before="0" w:line="360" w:lineRule="auto"/>
              <w:ind w:left="0"/>
              <w:jc w:val="center"/>
              <w:rPr>
                <w:rFonts w:cs="宋体"/>
                <w:color w:val="auto"/>
                <w:kern w:val="2"/>
                <w:highlight w:val="none"/>
                <w:lang w:eastAsia="zh-CN"/>
              </w:rPr>
            </w:pPr>
          </w:p>
        </w:tc>
      </w:tr>
      <w:tr w14:paraId="4591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48" w:type="pct"/>
            <w:vAlign w:val="center"/>
          </w:tcPr>
          <w:p w14:paraId="542F60BA">
            <w:pPr>
              <w:pStyle w:val="10"/>
              <w:spacing w:before="0" w:line="360" w:lineRule="auto"/>
              <w:ind w:left="0"/>
              <w:jc w:val="center"/>
              <w:rPr>
                <w:rFonts w:cs="宋体"/>
                <w:color w:val="auto"/>
                <w:kern w:val="2"/>
                <w:highlight w:val="none"/>
                <w:lang w:eastAsia="zh-CN"/>
              </w:rPr>
            </w:pPr>
            <w:r>
              <w:rPr>
                <w:rFonts w:hint="eastAsia" w:cs="宋体"/>
                <w:color w:val="auto"/>
                <w:kern w:val="2"/>
                <w:highlight w:val="none"/>
                <w:lang w:eastAsia="zh-CN"/>
              </w:rPr>
              <w:t>2</w:t>
            </w:r>
          </w:p>
        </w:tc>
        <w:tc>
          <w:tcPr>
            <w:tcW w:w="1373" w:type="pct"/>
            <w:vAlign w:val="center"/>
          </w:tcPr>
          <w:p w14:paraId="389EB10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影像系统</w:t>
            </w:r>
          </w:p>
        </w:tc>
        <w:tc>
          <w:tcPr>
            <w:tcW w:w="1096" w:type="pct"/>
            <w:vAlign w:val="center"/>
          </w:tcPr>
          <w:p w14:paraId="3AF99A14">
            <w:pPr>
              <w:pStyle w:val="10"/>
              <w:spacing w:before="0" w:line="360" w:lineRule="auto"/>
              <w:ind w:left="0"/>
              <w:jc w:val="center"/>
              <w:rPr>
                <w:rFonts w:hint="default" w:cs="宋体"/>
                <w:color w:val="auto"/>
                <w:kern w:val="2"/>
                <w:highlight w:val="none"/>
                <w:lang w:val="en-US" w:eastAsia="zh-CN"/>
              </w:rPr>
            </w:pPr>
            <w:r>
              <w:rPr>
                <w:rFonts w:hint="eastAsia" w:cs="宋体"/>
                <w:color w:val="auto"/>
                <w:kern w:val="2"/>
                <w:highlight w:val="none"/>
                <w:lang w:val="en-US" w:eastAsia="zh-CN"/>
              </w:rPr>
              <w:t>三级</w:t>
            </w:r>
          </w:p>
        </w:tc>
        <w:tc>
          <w:tcPr>
            <w:tcW w:w="1981" w:type="pct"/>
            <w:vAlign w:val="center"/>
          </w:tcPr>
          <w:p w14:paraId="1498D0E1">
            <w:pPr>
              <w:pStyle w:val="10"/>
              <w:spacing w:before="0" w:line="360" w:lineRule="auto"/>
              <w:ind w:left="0"/>
              <w:jc w:val="center"/>
              <w:rPr>
                <w:rFonts w:cs="宋体"/>
                <w:color w:val="auto"/>
                <w:kern w:val="2"/>
                <w:highlight w:val="none"/>
                <w:lang w:eastAsia="zh-CN"/>
              </w:rPr>
            </w:pPr>
          </w:p>
        </w:tc>
      </w:tr>
      <w:tr w14:paraId="6209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48" w:type="pct"/>
            <w:vAlign w:val="center"/>
          </w:tcPr>
          <w:p w14:paraId="0B11CDA8">
            <w:pPr>
              <w:pStyle w:val="10"/>
              <w:spacing w:before="0" w:line="360" w:lineRule="auto"/>
              <w:ind w:left="0"/>
              <w:jc w:val="center"/>
              <w:rPr>
                <w:rFonts w:cs="宋体"/>
                <w:color w:val="auto"/>
                <w:kern w:val="2"/>
                <w:highlight w:val="none"/>
                <w:lang w:eastAsia="zh-CN"/>
              </w:rPr>
            </w:pPr>
            <w:r>
              <w:rPr>
                <w:rFonts w:hint="eastAsia" w:cs="宋体"/>
                <w:color w:val="auto"/>
                <w:kern w:val="2"/>
                <w:highlight w:val="none"/>
                <w:lang w:eastAsia="zh-CN"/>
              </w:rPr>
              <w:t>3</w:t>
            </w:r>
          </w:p>
        </w:tc>
        <w:tc>
          <w:tcPr>
            <w:tcW w:w="1373" w:type="pct"/>
            <w:vAlign w:val="center"/>
          </w:tcPr>
          <w:p w14:paraId="450B6AB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检验系统</w:t>
            </w:r>
          </w:p>
        </w:tc>
        <w:tc>
          <w:tcPr>
            <w:tcW w:w="1096" w:type="pct"/>
            <w:vAlign w:val="center"/>
          </w:tcPr>
          <w:p w14:paraId="620AC427">
            <w:pPr>
              <w:pStyle w:val="10"/>
              <w:spacing w:before="0" w:line="360" w:lineRule="auto"/>
              <w:ind w:left="0"/>
              <w:jc w:val="center"/>
              <w:rPr>
                <w:rFonts w:cs="宋体"/>
                <w:color w:val="auto"/>
                <w:kern w:val="2"/>
                <w:highlight w:val="none"/>
                <w:lang w:eastAsia="zh-CN"/>
              </w:rPr>
            </w:pPr>
            <w:r>
              <w:rPr>
                <w:rFonts w:hint="eastAsia" w:cs="宋体"/>
                <w:color w:val="auto"/>
                <w:kern w:val="2"/>
                <w:highlight w:val="none"/>
                <w:lang w:val="en-US" w:eastAsia="zh-CN"/>
              </w:rPr>
              <w:t>三级</w:t>
            </w:r>
          </w:p>
        </w:tc>
        <w:tc>
          <w:tcPr>
            <w:tcW w:w="1981" w:type="pct"/>
            <w:vAlign w:val="center"/>
          </w:tcPr>
          <w:p w14:paraId="5213F0CC">
            <w:pPr>
              <w:pStyle w:val="10"/>
              <w:spacing w:before="0" w:line="360" w:lineRule="auto"/>
              <w:ind w:left="0"/>
              <w:jc w:val="center"/>
              <w:rPr>
                <w:rFonts w:cs="宋体"/>
                <w:color w:val="auto"/>
                <w:kern w:val="2"/>
                <w:highlight w:val="none"/>
                <w:lang w:eastAsia="zh-CN"/>
              </w:rPr>
            </w:pPr>
          </w:p>
        </w:tc>
      </w:tr>
    </w:tbl>
    <w:p w14:paraId="255D2EB4">
      <w:pPr>
        <w:adjustRightInd w:val="0"/>
        <w:snapToGrid w:val="0"/>
        <w:spacing w:line="360" w:lineRule="auto"/>
        <w:rPr>
          <w:rFonts w:ascii="宋体" w:hAnsi="宋体" w:eastAsia="宋体" w:cs="宋体"/>
          <w:sz w:val="24"/>
          <w:szCs w:val="24"/>
        </w:rPr>
      </w:pPr>
    </w:p>
    <w:p w14:paraId="02D566D7">
      <w:pPr>
        <w:pStyle w:val="4"/>
        <w:keepNext/>
        <w:keepLines/>
        <w:ind w:left="576" w:hanging="576" w:firstLineChars="0"/>
        <w:rPr>
          <w:rFonts w:ascii="宋体" w:hAnsi="宋体" w:cs="宋体"/>
          <w:sz w:val="32"/>
          <w:szCs w:val="32"/>
        </w:rPr>
      </w:pPr>
      <w:r>
        <w:rPr>
          <w:rFonts w:hint="eastAsia" w:ascii="宋体" w:hAnsi="宋体" w:cs="宋体"/>
          <w:sz w:val="32"/>
          <w:szCs w:val="32"/>
        </w:rPr>
        <w:t>（三）服务期限</w:t>
      </w:r>
    </w:p>
    <w:p w14:paraId="4FD7097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本项目自合同生效之日起开展服务工作，严格按照合同内容和进度要求以及项目实施计划，通过关键节点的监控来控制本项目工作的进度，确保按时保质完成本合同约定的全部服务内容。</w:t>
      </w:r>
    </w:p>
    <w:p w14:paraId="6914DEE5"/>
    <w:p w14:paraId="60B7F179">
      <w:pPr>
        <w:pStyle w:val="4"/>
        <w:keepNext/>
        <w:keepLines/>
        <w:ind w:left="576" w:hanging="576" w:firstLineChars="0"/>
        <w:rPr>
          <w:rFonts w:ascii="宋体" w:hAnsi="宋体" w:cs="宋体"/>
          <w:sz w:val="32"/>
          <w:szCs w:val="32"/>
        </w:rPr>
      </w:pPr>
      <w:r>
        <w:rPr>
          <w:rFonts w:hint="eastAsia" w:ascii="宋体" w:hAnsi="宋体" w:cs="宋体"/>
          <w:sz w:val="32"/>
          <w:szCs w:val="32"/>
        </w:rPr>
        <w:t>（四）标准规范要求</w:t>
      </w:r>
    </w:p>
    <w:p w14:paraId="0BB79995">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本次项目的标准规范要求包括但不限于：</w:t>
      </w:r>
    </w:p>
    <w:p w14:paraId="1D8BAED1">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（1）GB/T 22239-2019《信息安全技术 网络安全等级保护基本要求》；</w:t>
      </w:r>
    </w:p>
    <w:p w14:paraId="12BE388F">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（2）GB/T 28448-2019《信息安全技术 网络安全等级保护测评要求》；</w:t>
      </w:r>
    </w:p>
    <w:p w14:paraId="268C7502">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（3）GB/T 28449-2018《信息安全技术 网络安全等级保护测评过程指南》；</w:t>
      </w:r>
    </w:p>
    <w:p w14:paraId="757183E6">
      <w:pPr>
        <w:tabs>
          <w:tab w:val="left" w:pos="2521"/>
        </w:tabs>
        <w:spacing w:line="360" w:lineRule="auto"/>
        <w:ind w:firstLine="480" w:firstLineChars="200"/>
        <w:rPr>
          <w:rFonts w:ascii="宋体" w:hAnsi="宋体" w:eastAsia="宋体" w:cs="宋体"/>
          <w:sz w:val="24"/>
          <w:szCs w:val="24"/>
        </w:rPr>
      </w:pPr>
      <w:bookmarkStart w:id="1" w:name="OLE_LINK6"/>
      <w:r>
        <w:rPr>
          <w:rFonts w:hint="eastAsia" w:ascii="宋体" w:hAnsi="宋体" w:eastAsia="宋体" w:cs="宋体"/>
          <w:sz w:val="24"/>
          <w:szCs w:val="24"/>
        </w:rPr>
        <w:t>（4）</w:t>
      </w:r>
      <w:bookmarkEnd w:id="1"/>
      <w:r>
        <w:rPr>
          <w:rFonts w:hint="eastAsia" w:ascii="宋体" w:hAnsi="宋体" w:eastAsia="宋体" w:cs="宋体"/>
          <w:sz w:val="24"/>
          <w:szCs w:val="24"/>
        </w:rPr>
        <w:t>GB/T 25070-2019《信息安全技术 网络安全等级保护安全设计技术要求》；</w:t>
      </w:r>
    </w:p>
    <w:p w14:paraId="428BA488">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GB/T 28448-2019 《信息安全技术 网络安全等级保护测评要求》</w:t>
      </w:r>
    </w:p>
    <w:p w14:paraId="1EDDF4E9">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（6）GB/T 22240—2020《信息安全技术 网络安全等级保护定级指南》；</w:t>
      </w:r>
    </w:p>
    <w:p w14:paraId="440946EA">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（7）GB∕T 39786-2021《信息系统密码应用基本要求》</w:t>
      </w:r>
    </w:p>
    <w:p w14:paraId="32F268A8">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（8）GM∕T 0115-2021《信息系统密码应用测评要求》</w:t>
      </w:r>
    </w:p>
    <w:p w14:paraId="18A5D338">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（9）GM∕T 0116-2021《信息系统密码应用测评过程指南》</w:t>
      </w:r>
    </w:p>
    <w:p w14:paraId="2CA4CB2F">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（10）GB∕T 43206-2023《信息安全技术 信息系统密码应用测评要求》</w:t>
      </w:r>
    </w:p>
    <w:p w14:paraId="49139A9F">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（11）《商用密码应用安全性评估管理办法》</w:t>
      </w:r>
    </w:p>
    <w:p w14:paraId="101FA9B8">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（12）《商用密码管理条例》</w:t>
      </w:r>
    </w:p>
    <w:p w14:paraId="29BEB729">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（13）《信息安全等级保护商用密码管理办法》</w:t>
      </w:r>
    </w:p>
    <w:p w14:paraId="14856608">
      <w:pPr>
        <w:tabs>
          <w:tab w:val="left" w:pos="2521"/>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（14）《中华人民共和国网络安全法》</w:t>
      </w:r>
    </w:p>
    <w:p w14:paraId="5CA7F4FB">
      <w:pPr>
        <w:pStyle w:val="2"/>
        <w:rPr>
          <w:rFonts w:ascii="宋体" w:hAnsi="宋体" w:eastAsia="宋体" w:cs="宋体"/>
        </w:rPr>
      </w:pPr>
    </w:p>
    <w:p w14:paraId="326E243D">
      <w:pPr>
        <w:pStyle w:val="3"/>
        <w:keepNext/>
        <w:keepLines/>
        <w:rPr>
          <w:rFonts w:ascii="宋体" w:hAnsi="宋体" w:cs="宋体"/>
          <w:kern w:val="44"/>
          <w:sz w:val="36"/>
          <w:szCs w:val="44"/>
        </w:rPr>
      </w:pPr>
      <w:r>
        <w:rPr>
          <w:rFonts w:hint="eastAsia" w:ascii="宋体" w:hAnsi="宋体" w:cs="宋体"/>
          <w:kern w:val="44"/>
          <w:sz w:val="36"/>
          <w:szCs w:val="44"/>
        </w:rPr>
        <w:t>五、服务工作要求</w:t>
      </w:r>
    </w:p>
    <w:p w14:paraId="467116F2">
      <w:pPr>
        <w:pStyle w:val="4"/>
        <w:keepNext/>
        <w:keepLines/>
        <w:ind w:left="576" w:hanging="576" w:firstLineChars="0"/>
        <w:rPr>
          <w:rFonts w:ascii="宋体" w:hAnsi="宋体" w:cs="宋体"/>
          <w:sz w:val="32"/>
          <w:szCs w:val="32"/>
        </w:rPr>
      </w:pPr>
      <w:r>
        <w:rPr>
          <w:rFonts w:hint="eastAsia" w:ascii="宋体" w:hAnsi="宋体" w:cs="宋体"/>
          <w:sz w:val="32"/>
          <w:szCs w:val="32"/>
        </w:rPr>
        <w:t>（一）总体技术要求</w:t>
      </w:r>
    </w:p>
    <w:p w14:paraId="7B8A132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（1）符合性原则：服务供应商的服务过程应符合国家商用密码应用安全性评估管理办法及相关法律法规。</w:t>
      </w:r>
    </w:p>
    <w:p w14:paraId="7B0CFBA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（2）标准性原则：服务供应商的服务方案设计、实施与信息安全体系的构建应依据国内、国际的相关标准进行。</w:t>
      </w:r>
    </w:p>
    <w:p w14:paraId="3C1F43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bookmarkStart w:id="2" w:name="OLE_LINK3"/>
      <w:r>
        <w:rPr>
          <w:rFonts w:hint="eastAsia" w:ascii="宋体" w:hAnsi="宋体" w:eastAsia="宋体" w:cs="宋体"/>
          <w:sz w:val="24"/>
          <w:szCs w:val="24"/>
        </w:rPr>
        <w:t>规范性原则：服务供应商的</w:t>
      </w:r>
      <w:bookmarkStart w:id="3" w:name="OLE_LINK1"/>
      <w:r>
        <w:rPr>
          <w:rFonts w:hint="eastAsia" w:ascii="宋体" w:hAnsi="宋体" w:eastAsia="宋体" w:cs="宋体"/>
          <w:sz w:val="24"/>
          <w:szCs w:val="24"/>
        </w:rPr>
        <w:t>服务</w:t>
      </w:r>
      <w:bookmarkEnd w:id="3"/>
      <w:r>
        <w:rPr>
          <w:rFonts w:hint="eastAsia" w:ascii="宋体" w:hAnsi="宋体" w:eastAsia="宋体" w:cs="宋体"/>
          <w:sz w:val="24"/>
          <w:szCs w:val="24"/>
        </w:rPr>
        <w:t>实施应由专业的商密评估师依照相关规范或标准要求的操作流程进行</w:t>
      </w:r>
      <w:bookmarkEnd w:id="2"/>
      <w:r>
        <w:rPr>
          <w:rFonts w:hint="eastAsia" w:ascii="宋体" w:hAnsi="宋体" w:eastAsia="宋体" w:cs="宋体"/>
          <w:sz w:val="24"/>
          <w:szCs w:val="24"/>
        </w:rPr>
        <w:t>，</w:t>
      </w:r>
      <w:r>
        <w:rPr>
          <w:rFonts w:ascii="宋体" w:hAnsi="宋体" w:eastAsia="宋体" w:cs="宋体"/>
          <w:sz w:val="24"/>
          <w:szCs w:val="24"/>
        </w:rPr>
        <w:t>完善商用密码应用安全性评估标准体系</w:t>
      </w:r>
      <w:r>
        <w:rPr>
          <w:rFonts w:hint="eastAsia" w:ascii="宋体" w:hAnsi="宋体" w:eastAsia="宋体" w:cs="宋体"/>
          <w:sz w:val="24"/>
          <w:szCs w:val="24"/>
        </w:rPr>
        <w:t>。</w:t>
      </w:r>
    </w:p>
    <w:p w14:paraId="165C6700">
      <w:pPr>
        <w:spacing w:line="360" w:lineRule="auto"/>
        <w:ind w:firstLine="480" w:firstLineChars="200"/>
        <w:rPr>
          <w:rFonts w:ascii="宋体" w:hAnsi="宋体" w:eastAsia="宋体" w:cs="宋体"/>
          <w:sz w:val="24"/>
          <w:szCs w:val="24"/>
        </w:rPr>
      </w:pPr>
      <w:bookmarkStart w:id="4" w:name="OLE_LINK2"/>
      <w:r>
        <w:rPr>
          <w:rFonts w:hint="eastAsia" w:ascii="宋体" w:hAnsi="宋体" w:eastAsia="宋体" w:cs="宋体"/>
          <w:sz w:val="24"/>
          <w:szCs w:val="24"/>
        </w:rPr>
        <w:t>（4）可控性原则：服务供应商的服务实施方法和过程要在采购人认可的范围之内，实施进度要按照进度表进度的安排，保证项目实施的可控性。</w:t>
      </w:r>
    </w:p>
    <w:bookmarkEnd w:id="4"/>
    <w:p w14:paraId="71E8289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（5）整体性原则：服务供应商提供的商用密码应用安全性评估的范围和内容应当整体全面，包括安全涉及的各个层面，避免由于遗漏造成未来的安全隐患。</w:t>
      </w:r>
    </w:p>
    <w:p w14:paraId="726A0E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（6）最小影响原则：服务供应商的服务实施工作应尽可能小的影响网络和信息系统的正常运行，不能对信息系统的运行和业务的正常提供产生显著影响。</w:t>
      </w:r>
    </w:p>
    <w:p w14:paraId="69BC63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（7）保密原则：服务供应商对项目实施过程获得的数据和结果严格保密，未经采购人授权不得泄露给任何单位和个人，不得利用此数据和结果进行任何侵害客户利益的行为。</w:t>
      </w:r>
    </w:p>
    <w:p w14:paraId="7B544F4C">
      <w:pPr>
        <w:pStyle w:val="4"/>
        <w:keepNext/>
        <w:keepLines/>
        <w:ind w:left="576" w:hanging="576" w:firstLineChars="0"/>
        <w:rPr>
          <w:rFonts w:ascii="宋体" w:hAnsi="宋体" w:cs="宋体"/>
          <w:sz w:val="32"/>
          <w:szCs w:val="32"/>
        </w:rPr>
      </w:pPr>
      <w:r>
        <w:rPr>
          <w:rFonts w:hint="eastAsia" w:ascii="宋体" w:hAnsi="宋体" w:cs="宋体"/>
          <w:sz w:val="32"/>
          <w:szCs w:val="32"/>
        </w:rPr>
        <w:t>（二）服务内容要求</w:t>
      </w:r>
    </w:p>
    <w:p w14:paraId="2A33F4BC">
      <w:pPr>
        <w:pStyle w:val="5"/>
        <w:spacing w:before="0" w:after="0" w:line="360" w:lineRule="auto"/>
        <w:rPr>
          <w:rFonts w:ascii="宋体" w:hAnsi="宋体" w:eastAsia="宋体" w:cs="宋体"/>
        </w:rPr>
      </w:pPr>
      <w:r>
        <w:rPr>
          <w:rFonts w:hint="eastAsia" w:ascii="宋体" w:hAnsi="宋体" w:eastAsia="宋体" w:cs="宋体"/>
        </w:rPr>
        <w:t>1、商用密码应用安全性评估服务</w:t>
      </w:r>
    </w:p>
    <w:p w14:paraId="2640A9EA">
      <w:pPr>
        <w:spacing w:line="360" w:lineRule="auto"/>
        <w:ind w:firstLine="420"/>
        <w:rPr>
          <w:rFonts w:ascii="宋体" w:hAnsi="宋体" w:eastAsia="宋体" w:cs="宋体"/>
          <w:sz w:val="24"/>
          <w:szCs w:val="24"/>
        </w:rPr>
      </w:pPr>
      <w:r>
        <w:rPr>
          <w:rFonts w:hint="eastAsia" w:ascii="宋体" w:hAnsi="宋体" w:eastAsia="宋体" w:cs="宋体"/>
          <w:sz w:val="24"/>
          <w:szCs w:val="24"/>
        </w:rPr>
        <w:t>商用密码应用安全性评估是对采用密码技术、产品和服务集成建设的网络和信息系统密码应用的合规性、正确性、有效性所进行的评估。商用密码应用安全性评估服务主要为茂名市人民医院的商用密码应用安全性评估工作提供支撑，具体包括：</w:t>
      </w:r>
    </w:p>
    <w:tbl>
      <w:tblPr>
        <w:tblStyle w:val="16"/>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2017"/>
        <w:gridCol w:w="5418"/>
      </w:tblGrid>
      <w:tr w14:paraId="2B46F7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831" w:type="dxa"/>
            <w:tcBorders>
              <w:top w:val="single" w:color="000000" w:sz="4" w:space="0"/>
              <w:left w:val="single" w:color="000000" w:sz="4" w:space="0"/>
              <w:bottom w:val="single" w:color="000000" w:sz="4" w:space="0"/>
              <w:right w:val="single" w:color="000000" w:sz="4" w:space="0"/>
            </w:tcBorders>
            <w:shd w:val="clear" w:color="auto" w:fill="D7D7D7"/>
            <w:tcMar>
              <w:top w:w="10" w:type="dxa"/>
              <w:left w:w="10" w:type="dxa"/>
              <w:bottom w:w="0" w:type="dxa"/>
              <w:right w:w="10" w:type="dxa"/>
            </w:tcMar>
            <w:vAlign w:val="center"/>
          </w:tcPr>
          <w:p w14:paraId="393F59E5">
            <w:pPr>
              <w:pStyle w:val="36"/>
              <w:spacing w:line="360" w:lineRule="auto"/>
              <w:jc w:val="center"/>
              <w:rPr>
                <w:rFonts w:hint="default" w:ascii="宋体" w:hAnsi="宋体" w:eastAsia="宋体" w:cs="宋体"/>
                <w:b/>
                <w:bCs/>
                <w:sz w:val="24"/>
                <w:szCs w:val="24"/>
              </w:rPr>
            </w:pPr>
            <w:r>
              <w:rPr>
                <w:rFonts w:ascii="宋体" w:hAnsi="宋体" w:eastAsia="宋体" w:cs="宋体"/>
                <w:b/>
                <w:bCs/>
                <w:sz w:val="24"/>
                <w:szCs w:val="24"/>
              </w:rPr>
              <w:t>序号</w:t>
            </w:r>
          </w:p>
        </w:tc>
        <w:tc>
          <w:tcPr>
            <w:tcW w:w="2017" w:type="dxa"/>
            <w:tcBorders>
              <w:top w:val="single" w:color="000000" w:sz="4" w:space="0"/>
              <w:left w:val="nil"/>
              <w:bottom w:val="single" w:color="000000" w:sz="4" w:space="0"/>
              <w:right w:val="single" w:color="000000" w:sz="4" w:space="0"/>
            </w:tcBorders>
            <w:shd w:val="clear" w:color="auto" w:fill="D7D7D7"/>
            <w:tcMar>
              <w:top w:w="10" w:type="dxa"/>
              <w:left w:w="10" w:type="dxa"/>
              <w:bottom w:w="0" w:type="dxa"/>
              <w:right w:w="10" w:type="dxa"/>
            </w:tcMar>
            <w:vAlign w:val="center"/>
          </w:tcPr>
          <w:p w14:paraId="4E686595">
            <w:pPr>
              <w:pStyle w:val="36"/>
              <w:spacing w:line="360" w:lineRule="auto"/>
              <w:jc w:val="center"/>
              <w:rPr>
                <w:rFonts w:hint="default" w:ascii="宋体" w:hAnsi="宋体" w:eastAsia="宋体" w:cs="宋体"/>
                <w:b/>
                <w:bCs/>
                <w:sz w:val="24"/>
                <w:szCs w:val="24"/>
              </w:rPr>
            </w:pPr>
            <w:r>
              <w:rPr>
                <w:rFonts w:ascii="宋体" w:hAnsi="宋体" w:eastAsia="宋体" w:cs="宋体"/>
                <w:b/>
                <w:bCs/>
                <w:sz w:val="24"/>
                <w:szCs w:val="24"/>
              </w:rPr>
              <w:t>服务内容</w:t>
            </w:r>
          </w:p>
        </w:tc>
        <w:tc>
          <w:tcPr>
            <w:tcW w:w="5418" w:type="dxa"/>
            <w:tcBorders>
              <w:top w:val="single" w:color="000000" w:sz="4" w:space="0"/>
              <w:left w:val="nil"/>
              <w:bottom w:val="single" w:color="000000" w:sz="4" w:space="0"/>
              <w:right w:val="single" w:color="000000" w:sz="4" w:space="0"/>
            </w:tcBorders>
            <w:shd w:val="clear" w:color="auto" w:fill="D7D7D7"/>
            <w:tcMar>
              <w:top w:w="10" w:type="dxa"/>
              <w:left w:w="10" w:type="dxa"/>
              <w:bottom w:w="0" w:type="dxa"/>
              <w:right w:w="10" w:type="dxa"/>
            </w:tcMar>
            <w:vAlign w:val="center"/>
          </w:tcPr>
          <w:p w14:paraId="160DD23C">
            <w:pPr>
              <w:pStyle w:val="36"/>
              <w:spacing w:line="360" w:lineRule="auto"/>
              <w:jc w:val="center"/>
              <w:rPr>
                <w:rFonts w:hint="default" w:ascii="宋体" w:hAnsi="宋体" w:eastAsia="宋体" w:cs="宋体"/>
                <w:b/>
                <w:bCs/>
                <w:sz w:val="24"/>
                <w:szCs w:val="24"/>
              </w:rPr>
            </w:pPr>
            <w:r>
              <w:rPr>
                <w:rFonts w:ascii="宋体" w:hAnsi="宋体" w:eastAsia="宋体" w:cs="宋体"/>
                <w:b/>
                <w:bCs/>
                <w:sz w:val="24"/>
                <w:szCs w:val="24"/>
              </w:rPr>
              <w:t>工作内容</w:t>
            </w:r>
          </w:p>
        </w:tc>
      </w:tr>
      <w:tr w14:paraId="689912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1" w:type="dxa"/>
            <w:tcBorders>
              <w:top w:val="nil"/>
              <w:left w:val="single" w:color="000000" w:sz="4" w:space="0"/>
              <w:bottom w:val="single" w:color="000000" w:sz="4" w:space="0"/>
              <w:right w:val="single" w:color="000000" w:sz="4" w:space="0"/>
            </w:tcBorders>
            <w:shd w:val="clear" w:color="auto" w:fill="FFFFFF"/>
            <w:tcMar>
              <w:top w:w="10" w:type="dxa"/>
              <w:left w:w="10" w:type="dxa"/>
              <w:bottom w:w="0" w:type="dxa"/>
              <w:right w:w="10" w:type="dxa"/>
            </w:tcMar>
            <w:vAlign w:val="center"/>
          </w:tcPr>
          <w:p w14:paraId="5C9B642E">
            <w:pPr>
              <w:pStyle w:val="36"/>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1</w:t>
            </w:r>
          </w:p>
        </w:tc>
        <w:tc>
          <w:tcPr>
            <w:tcW w:w="2017" w:type="dxa"/>
            <w:tcBorders>
              <w:top w:val="nil"/>
              <w:left w:val="nil"/>
              <w:bottom w:val="single" w:color="000000" w:sz="4" w:space="0"/>
              <w:right w:val="single" w:color="000000" w:sz="4" w:space="0"/>
            </w:tcBorders>
            <w:shd w:val="clear" w:color="auto" w:fill="FFFFFF"/>
            <w:tcMar>
              <w:top w:w="10" w:type="dxa"/>
              <w:left w:w="10" w:type="dxa"/>
              <w:bottom w:w="0" w:type="dxa"/>
              <w:right w:w="10" w:type="dxa"/>
            </w:tcMar>
            <w:vAlign w:val="center"/>
          </w:tcPr>
          <w:p w14:paraId="505F13F9">
            <w:pPr>
              <w:pStyle w:val="36"/>
              <w:spacing w:line="360" w:lineRule="auto"/>
              <w:jc w:val="center"/>
              <w:rPr>
                <w:rFonts w:hint="default" w:ascii="宋体" w:hAnsi="宋体" w:eastAsia="宋体" w:cs="宋体"/>
                <w:sz w:val="24"/>
                <w:szCs w:val="24"/>
              </w:rPr>
            </w:pPr>
            <w:r>
              <w:rPr>
                <w:rFonts w:ascii="宋体" w:hAnsi="宋体" w:eastAsia="宋体" w:cs="宋体"/>
                <w:sz w:val="24"/>
                <w:szCs w:val="24"/>
              </w:rPr>
              <w:t>商用密码应用方案评估</w:t>
            </w:r>
          </w:p>
        </w:tc>
        <w:tc>
          <w:tcPr>
            <w:tcW w:w="5418" w:type="dxa"/>
            <w:tcBorders>
              <w:top w:val="nil"/>
              <w:left w:val="nil"/>
              <w:bottom w:val="single" w:color="000000" w:sz="4" w:space="0"/>
              <w:right w:val="single" w:color="000000" w:sz="4" w:space="0"/>
            </w:tcBorders>
            <w:shd w:val="clear" w:color="auto" w:fill="FFFFFF"/>
            <w:tcMar>
              <w:top w:w="10" w:type="dxa"/>
              <w:left w:w="10" w:type="dxa"/>
              <w:bottom w:w="0" w:type="dxa"/>
              <w:right w:w="10" w:type="dxa"/>
            </w:tcMar>
            <w:vAlign w:val="center"/>
          </w:tcPr>
          <w:p w14:paraId="6A8E1A6F">
            <w:pPr>
              <w:pStyle w:val="36"/>
              <w:spacing w:line="360" w:lineRule="auto"/>
              <w:jc w:val="both"/>
              <w:rPr>
                <w:rFonts w:hint="default" w:ascii="宋体" w:hAnsi="宋体" w:eastAsia="宋体" w:cs="宋体"/>
                <w:sz w:val="24"/>
                <w:szCs w:val="24"/>
                <w:lang w:eastAsia="zh-CN"/>
              </w:rPr>
            </w:pPr>
            <w:r>
              <w:rPr>
                <w:rFonts w:ascii="宋体" w:hAnsi="宋体" w:eastAsia="宋体" w:cs="宋体"/>
                <w:sz w:val="24"/>
                <w:szCs w:val="24"/>
              </w:rPr>
              <w:t>供应商成交后需严格按照《信息系统密码应用基本要求》（GB/T 39786-2021），评估密码应用方案是否深入分析密码安全需求，是否合理确定密码安全预期目标，密码安全设计是否达到相应等级的密码应用基本要求等，并提出相应的改进建议，作为责任单位进一步完善密码应用方案的参考和依据，出具《</w:t>
            </w:r>
            <w:r>
              <w:rPr>
                <w:rFonts w:ascii="宋体" w:hAnsi="宋体" w:eastAsia="宋体" w:cs="宋体"/>
                <w:sz w:val="24"/>
                <w:szCs w:val="24"/>
                <w:lang w:eastAsia="zh-CN"/>
              </w:rPr>
              <w:t>信息系统</w:t>
            </w:r>
            <w:r>
              <w:rPr>
                <w:rFonts w:ascii="宋体" w:hAnsi="宋体" w:eastAsia="宋体" w:cs="宋体"/>
                <w:sz w:val="24"/>
                <w:szCs w:val="24"/>
              </w:rPr>
              <w:t>密码应用方案评估报告》</w:t>
            </w:r>
            <w:r>
              <w:rPr>
                <w:rFonts w:ascii="宋体" w:hAnsi="宋体" w:eastAsia="宋体" w:cs="宋体"/>
                <w:sz w:val="24"/>
                <w:szCs w:val="24"/>
                <w:lang w:eastAsia="zh-CN"/>
              </w:rPr>
              <w:t>。</w:t>
            </w:r>
          </w:p>
        </w:tc>
      </w:tr>
      <w:tr w14:paraId="65F9A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1" w:type="dxa"/>
            <w:tcBorders>
              <w:top w:val="nil"/>
              <w:left w:val="single" w:color="000000" w:sz="4" w:space="0"/>
              <w:bottom w:val="single" w:color="000000" w:sz="4" w:space="0"/>
              <w:right w:val="single" w:color="000000" w:sz="4" w:space="0"/>
            </w:tcBorders>
            <w:shd w:val="clear" w:color="auto" w:fill="FFFFFF"/>
            <w:tcMar>
              <w:top w:w="10" w:type="dxa"/>
              <w:left w:w="10" w:type="dxa"/>
              <w:bottom w:w="0" w:type="dxa"/>
              <w:right w:w="10" w:type="dxa"/>
            </w:tcMar>
            <w:vAlign w:val="center"/>
          </w:tcPr>
          <w:p w14:paraId="5367B435">
            <w:pPr>
              <w:pStyle w:val="36"/>
              <w:spacing w:line="360" w:lineRule="auto"/>
              <w:jc w:val="center"/>
              <w:rPr>
                <w:rFonts w:hint="default" w:ascii="宋体" w:hAnsi="宋体" w:eastAsia="宋体" w:cs="宋体"/>
                <w:sz w:val="24"/>
                <w:szCs w:val="24"/>
                <w:lang w:eastAsia="zh-CN"/>
              </w:rPr>
            </w:pPr>
            <w:r>
              <w:rPr>
                <w:rFonts w:ascii="宋体" w:hAnsi="宋体" w:eastAsia="宋体" w:cs="宋体"/>
                <w:sz w:val="24"/>
                <w:szCs w:val="24"/>
                <w:lang w:eastAsia="zh-CN"/>
              </w:rPr>
              <w:t>2</w:t>
            </w:r>
          </w:p>
        </w:tc>
        <w:tc>
          <w:tcPr>
            <w:tcW w:w="2017" w:type="dxa"/>
            <w:tcBorders>
              <w:top w:val="nil"/>
              <w:left w:val="nil"/>
              <w:bottom w:val="single" w:color="000000" w:sz="4" w:space="0"/>
              <w:right w:val="single" w:color="000000" w:sz="4" w:space="0"/>
            </w:tcBorders>
            <w:shd w:val="clear" w:color="auto" w:fill="FFFFFF"/>
            <w:tcMar>
              <w:top w:w="10" w:type="dxa"/>
              <w:left w:w="10" w:type="dxa"/>
              <w:bottom w:w="0" w:type="dxa"/>
              <w:right w:w="10" w:type="dxa"/>
            </w:tcMar>
            <w:vAlign w:val="center"/>
          </w:tcPr>
          <w:p w14:paraId="4C792AD2">
            <w:pPr>
              <w:pStyle w:val="36"/>
              <w:spacing w:line="360" w:lineRule="auto"/>
              <w:jc w:val="center"/>
              <w:rPr>
                <w:rFonts w:hint="default" w:ascii="宋体" w:hAnsi="宋体" w:eastAsia="宋体" w:cs="宋体"/>
                <w:sz w:val="24"/>
                <w:szCs w:val="24"/>
              </w:rPr>
            </w:pPr>
            <w:r>
              <w:rPr>
                <w:rFonts w:ascii="宋体" w:hAnsi="宋体" w:eastAsia="宋体" w:cs="宋体"/>
                <w:sz w:val="24"/>
                <w:szCs w:val="24"/>
              </w:rPr>
              <w:t>商用密码应用安全性评估</w:t>
            </w:r>
          </w:p>
        </w:tc>
        <w:tc>
          <w:tcPr>
            <w:tcW w:w="5418" w:type="dxa"/>
            <w:tcBorders>
              <w:top w:val="nil"/>
              <w:left w:val="nil"/>
              <w:bottom w:val="single" w:color="000000" w:sz="4" w:space="0"/>
              <w:right w:val="single" w:color="000000" w:sz="4" w:space="0"/>
            </w:tcBorders>
            <w:shd w:val="clear" w:color="auto" w:fill="FFFFFF"/>
            <w:tcMar>
              <w:top w:w="10" w:type="dxa"/>
              <w:left w:w="10" w:type="dxa"/>
              <w:bottom w:w="0" w:type="dxa"/>
              <w:right w:w="10" w:type="dxa"/>
            </w:tcMar>
            <w:vAlign w:val="center"/>
          </w:tcPr>
          <w:p w14:paraId="5F6CA4C3">
            <w:pPr>
              <w:spacing w:line="360" w:lineRule="auto"/>
              <w:rPr>
                <w:rFonts w:ascii="宋体" w:hAnsi="宋体" w:eastAsia="宋体" w:cs="宋体"/>
                <w:sz w:val="24"/>
                <w:szCs w:val="24"/>
              </w:rPr>
            </w:pPr>
            <w:r>
              <w:rPr>
                <w:rFonts w:hint="eastAsia" w:ascii="宋体" w:hAnsi="宋体" w:eastAsia="宋体" w:cs="宋体"/>
                <w:sz w:val="24"/>
                <w:szCs w:val="24"/>
              </w:rPr>
              <w:t>对信息系统的总体要求，包括密码算法、密码技术、密码产品和密码服务进行测评；对信息系统的密码技术应用要求，包括物理和环境安全、网络和通信安全、设备和计算安全、应用和数据安全、密钥管理及安全管理进行测评。测评完成后需出具《商用密码应用安全性评估报告》，满足商用密码应用安全性评估工作的备案要求，并协助采购人在测评结束后完成在密码管理部门的报告备案工作。</w:t>
            </w:r>
          </w:p>
        </w:tc>
      </w:tr>
    </w:tbl>
    <w:p w14:paraId="31C04C64">
      <w:pPr>
        <w:pStyle w:val="2"/>
        <w:ind w:firstLine="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68"/>
    <w:rsid w:val="00007B52"/>
    <w:rsid w:val="000252E7"/>
    <w:rsid w:val="00031DB0"/>
    <w:rsid w:val="000768A1"/>
    <w:rsid w:val="00096FA0"/>
    <w:rsid w:val="000C3460"/>
    <w:rsid w:val="000E19F1"/>
    <w:rsid w:val="000E2745"/>
    <w:rsid w:val="00105710"/>
    <w:rsid w:val="00134568"/>
    <w:rsid w:val="00145EB5"/>
    <w:rsid w:val="001B6133"/>
    <w:rsid w:val="001B7CAA"/>
    <w:rsid w:val="001C6A63"/>
    <w:rsid w:val="001D0082"/>
    <w:rsid w:val="001F5FA4"/>
    <w:rsid w:val="00227206"/>
    <w:rsid w:val="002301C7"/>
    <w:rsid w:val="00233880"/>
    <w:rsid w:val="002378B1"/>
    <w:rsid w:val="00241E78"/>
    <w:rsid w:val="002728F5"/>
    <w:rsid w:val="00295809"/>
    <w:rsid w:val="002A24F5"/>
    <w:rsid w:val="002B1AC7"/>
    <w:rsid w:val="002C2F34"/>
    <w:rsid w:val="002D0A1E"/>
    <w:rsid w:val="002E4704"/>
    <w:rsid w:val="00370F30"/>
    <w:rsid w:val="00377881"/>
    <w:rsid w:val="003947CA"/>
    <w:rsid w:val="003965AF"/>
    <w:rsid w:val="003E2091"/>
    <w:rsid w:val="003F78D9"/>
    <w:rsid w:val="00490A26"/>
    <w:rsid w:val="004C7F0C"/>
    <w:rsid w:val="004F1F69"/>
    <w:rsid w:val="0050272E"/>
    <w:rsid w:val="00507803"/>
    <w:rsid w:val="005262FE"/>
    <w:rsid w:val="00545E82"/>
    <w:rsid w:val="00566E01"/>
    <w:rsid w:val="005B42AB"/>
    <w:rsid w:val="005B7FDA"/>
    <w:rsid w:val="006407D2"/>
    <w:rsid w:val="00641AFB"/>
    <w:rsid w:val="00664E1C"/>
    <w:rsid w:val="0067015E"/>
    <w:rsid w:val="00682747"/>
    <w:rsid w:val="00742E97"/>
    <w:rsid w:val="0079381F"/>
    <w:rsid w:val="007C5168"/>
    <w:rsid w:val="00812DF8"/>
    <w:rsid w:val="00846D7B"/>
    <w:rsid w:val="00871FFC"/>
    <w:rsid w:val="008E2D8D"/>
    <w:rsid w:val="00975479"/>
    <w:rsid w:val="009970B5"/>
    <w:rsid w:val="009B43B8"/>
    <w:rsid w:val="009D149C"/>
    <w:rsid w:val="00A31DF1"/>
    <w:rsid w:val="00A721A4"/>
    <w:rsid w:val="00AA00B2"/>
    <w:rsid w:val="00AC5CE5"/>
    <w:rsid w:val="00AF6947"/>
    <w:rsid w:val="00B405CA"/>
    <w:rsid w:val="00B43832"/>
    <w:rsid w:val="00B9195B"/>
    <w:rsid w:val="00BE3061"/>
    <w:rsid w:val="00BF0BB7"/>
    <w:rsid w:val="00C02389"/>
    <w:rsid w:val="00C4523F"/>
    <w:rsid w:val="00C47A26"/>
    <w:rsid w:val="00C579E2"/>
    <w:rsid w:val="00C6322E"/>
    <w:rsid w:val="00CA6D4F"/>
    <w:rsid w:val="00CE4E13"/>
    <w:rsid w:val="00D730E0"/>
    <w:rsid w:val="00D93C20"/>
    <w:rsid w:val="00DA2ADE"/>
    <w:rsid w:val="00DC5633"/>
    <w:rsid w:val="00DD73E7"/>
    <w:rsid w:val="00DE0C6D"/>
    <w:rsid w:val="00E31AD2"/>
    <w:rsid w:val="00E5265E"/>
    <w:rsid w:val="00E64FAD"/>
    <w:rsid w:val="00EB307F"/>
    <w:rsid w:val="00EB3DE7"/>
    <w:rsid w:val="00ED726A"/>
    <w:rsid w:val="00EF43F0"/>
    <w:rsid w:val="00F03DC2"/>
    <w:rsid w:val="00F342E8"/>
    <w:rsid w:val="00F45B50"/>
    <w:rsid w:val="00F50EC5"/>
    <w:rsid w:val="00F61829"/>
    <w:rsid w:val="00F80423"/>
    <w:rsid w:val="00FA01B2"/>
    <w:rsid w:val="027D3455"/>
    <w:rsid w:val="03056AAF"/>
    <w:rsid w:val="0421004F"/>
    <w:rsid w:val="05C72179"/>
    <w:rsid w:val="069515E5"/>
    <w:rsid w:val="0797606B"/>
    <w:rsid w:val="080706E9"/>
    <w:rsid w:val="081B4AF2"/>
    <w:rsid w:val="091F13FD"/>
    <w:rsid w:val="0A8E1F88"/>
    <w:rsid w:val="0AA6641C"/>
    <w:rsid w:val="0AAD1C3C"/>
    <w:rsid w:val="0B7166C1"/>
    <w:rsid w:val="0C2A523C"/>
    <w:rsid w:val="0C561C4A"/>
    <w:rsid w:val="0D0F6A77"/>
    <w:rsid w:val="0DE90262"/>
    <w:rsid w:val="0ECD7B5C"/>
    <w:rsid w:val="0F7870FE"/>
    <w:rsid w:val="11160F29"/>
    <w:rsid w:val="1148159B"/>
    <w:rsid w:val="129074EC"/>
    <w:rsid w:val="13322524"/>
    <w:rsid w:val="141379A2"/>
    <w:rsid w:val="143A7900"/>
    <w:rsid w:val="15A2279B"/>
    <w:rsid w:val="16E77DA6"/>
    <w:rsid w:val="178C5E97"/>
    <w:rsid w:val="18037974"/>
    <w:rsid w:val="195C4CB4"/>
    <w:rsid w:val="19E0735E"/>
    <w:rsid w:val="1A7248C4"/>
    <w:rsid w:val="1ABB25D7"/>
    <w:rsid w:val="1B1D1319"/>
    <w:rsid w:val="1B371FB8"/>
    <w:rsid w:val="1C170F77"/>
    <w:rsid w:val="1CB916CE"/>
    <w:rsid w:val="1D465E0A"/>
    <w:rsid w:val="1D6708E3"/>
    <w:rsid w:val="1DDD4C93"/>
    <w:rsid w:val="1EDE2A67"/>
    <w:rsid w:val="1FF96818"/>
    <w:rsid w:val="20003465"/>
    <w:rsid w:val="20007B75"/>
    <w:rsid w:val="2015081F"/>
    <w:rsid w:val="20421816"/>
    <w:rsid w:val="21A00509"/>
    <w:rsid w:val="21D219D8"/>
    <w:rsid w:val="22820D83"/>
    <w:rsid w:val="23466B27"/>
    <w:rsid w:val="237D6BE6"/>
    <w:rsid w:val="24071A1A"/>
    <w:rsid w:val="251C0935"/>
    <w:rsid w:val="25F72C80"/>
    <w:rsid w:val="270D1775"/>
    <w:rsid w:val="289D7000"/>
    <w:rsid w:val="29052999"/>
    <w:rsid w:val="29426153"/>
    <w:rsid w:val="296404C3"/>
    <w:rsid w:val="29D015E7"/>
    <w:rsid w:val="29D93252"/>
    <w:rsid w:val="2A033F46"/>
    <w:rsid w:val="2B0E4819"/>
    <w:rsid w:val="2C6F184E"/>
    <w:rsid w:val="2C7245C8"/>
    <w:rsid w:val="2CA627AA"/>
    <w:rsid w:val="2CB10301"/>
    <w:rsid w:val="2D7E77D6"/>
    <w:rsid w:val="2E8203D9"/>
    <w:rsid w:val="2ECA2D32"/>
    <w:rsid w:val="2F0A2A54"/>
    <w:rsid w:val="2FE66AA5"/>
    <w:rsid w:val="2FE8581D"/>
    <w:rsid w:val="30866AF5"/>
    <w:rsid w:val="31333E46"/>
    <w:rsid w:val="314D4CC2"/>
    <w:rsid w:val="316B6D3B"/>
    <w:rsid w:val="329B7BDF"/>
    <w:rsid w:val="338E0679"/>
    <w:rsid w:val="34921F93"/>
    <w:rsid w:val="34CC4E7C"/>
    <w:rsid w:val="36013780"/>
    <w:rsid w:val="366A3D77"/>
    <w:rsid w:val="36A94396"/>
    <w:rsid w:val="36F90ADF"/>
    <w:rsid w:val="37097A63"/>
    <w:rsid w:val="38D417AE"/>
    <w:rsid w:val="38E62C99"/>
    <w:rsid w:val="3A073690"/>
    <w:rsid w:val="3BD62CB3"/>
    <w:rsid w:val="3C647181"/>
    <w:rsid w:val="3CFE374E"/>
    <w:rsid w:val="3E0845C9"/>
    <w:rsid w:val="3F25316C"/>
    <w:rsid w:val="3F2E276F"/>
    <w:rsid w:val="3FB52FD4"/>
    <w:rsid w:val="3FCA048D"/>
    <w:rsid w:val="40CB5BEF"/>
    <w:rsid w:val="40EF51C6"/>
    <w:rsid w:val="42876304"/>
    <w:rsid w:val="42D40B31"/>
    <w:rsid w:val="42FE1DE7"/>
    <w:rsid w:val="433A097E"/>
    <w:rsid w:val="44423F72"/>
    <w:rsid w:val="448B7283"/>
    <w:rsid w:val="45EA1AA4"/>
    <w:rsid w:val="45F7384D"/>
    <w:rsid w:val="4721112C"/>
    <w:rsid w:val="4724360B"/>
    <w:rsid w:val="47836C58"/>
    <w:rsid w:val="47DA5523"/>
    <w:rsid w:val="494063FC"/>
    <w:rsid w:val="49AA6D23"/>
    <w:rsid w:val="49F70BC0"/>
    <w:rsid w:val="4B252979"/>
    <w:rsid w:val="4CD84783"/>
    <w:rsid w:val="4CE816E1"/>
    <w:rsid w:val="4D1302CC"/>
    <w:rsid w:val="4D436C9D"/>
    <w:rsid w:val="4F58178B"/>
    <w:rsid w:val="4FAF7525"/>
    <w:rsid w:val="506A3C33"/>
    <w:rsid w:val="507A2B32"/>
    <w:rsid w:val="50972A0D"/>
    <w:rsid w:val="50A730B6"/>
    <w:rsid w:val="5103024C"/>
    <w:rsid w:val="51475A9F"/>
    <w:rsid w:val="51D26FB5"/>
    <w:rsid w:val="520D63CB"/>
    <w:rsid w:val="53410BC3"/>
    <w:rsid w:val="53877AC7"/>
    <w:rsid w:val="545A2147"/>
    <w:rsid w:val="54CB6543"/>
    <w:rsid w:val="55F13FAF"/>
    <w:rsid w:val="57DC4BA1"/>
    <w:rsid w:val="582C1BC8"/>
    <w:rsid w:val="59321B1A"/>
    <w:rsid w:val="59996A0F"/>
    <w:rsid w:val="5AEC719D"/>
    <w:rsid w:val="5C1A1933"/>
    <w:rsid w:val="5C76188F"/>
    <w:rsid w:val="5CA23498"/>
    <w:rsid w:val="5D5367C9"/>
    <w:rsid w:val="5D8207ED"/>
    <w:rsid w:val="5D9F0E41"/>
    <w:rsid w:val="5DE3068C"/>
    <w:rsid w:val="5F01712F"/>
    <w:rsid w:val="5F6F038E"/>
    <w:rsid w:val="5FFC73AF"/>
    <w:rsid w:val="60873CE5"/>
    <w:rsid w:val="60B10E3F"/>
    <w:rsid w:val="617E44D1"/>
    <w:rsid w:val="61AB5F85"/>
    <w:rsid w:val="62F83883"/>
    <w:rsid w:val="639157EE"/>
    <w:rsid w:val="64230E72"/>
    <w:rsid w:val="642B51C1"/>
    <w:rsid w:val="643B1191"/>
    <w:rsid w:val="64FF7EAB"/>
    <w:rsid w:val="667E765E"/>
    <w:rsid w:val="684F1A3B"/>
    <w:rsid w:val="692C1E7F"/>
    <w:rsid w:val="694876FF"/>
    <w:rsid w:val="69AA0A3B"/>
    <w:rsid w:val="69D019FA"/>
    <w:rsid w:val="69E578E0"/>
    <w:rsid w:val="6AB21DC7"/>
    <w:rsid w:val="6B945105"/>
    <w:rsid w:val="6C5E1BD7"/>
    <w:rsid w:val="6C726FE5"/>
    <w:rsid w:val="6CD16FC2"/>
    <w:rsid w:val="6DA46816"/>
    <w:rsid w:val="6DBA6C5D"/>
    <w:rsid w:val="6DC61666"/>
    <w:rsid w:val="700A2335"/>
    <w:rsid w:val="70BA3C5B"/>
    <w:rsid w:val="711B39BD"/>
    <w:rsid w:val="71801DC5"/>
    <w:rsid w:val="721E30D4"/>
    <w:rsid w:val="738259D5"/>
    <w:rsid w:val="73D40E8B"/>
    <w:rsid w:val="74BE1A81"/>
    <w:rsid w:val="75675730"/>
    <w:rsid w:val="75911D72"/>
    <w:rsid w:val="75F647B4"/>
    <w:rsid w:val="760A60CF"/>
    <w:rsid w:val="76371BCE"/>
    <w:rsid w:val="77B04BF4"/>
    <w:rsid w:val="77C33E64"/>
    <w:rsid w:val="77EC6C5B"/>
    <w:rsid w:val="78392530"/>
    <w:rsid w:val="78C47668"/>
    <w:rsid w:val="7AB47F0F"/>
    <w:rsid w:val="7C8A307B"/>
    <w:rsid w:val="7E651A65"/>
    <w:rsid w:val="7F6816C9"/>
    <w:rsid w:val="7F80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spacing w:line="360" w:lineRule="auto"/>
      <w:outlineLvl w:val="0"/>
    </w:pPr>
    <w:rPr>
      <w:rFonts w:ascii="Times New Roman" w:hAnsi="Times New Roman" w:eastAsia="宋体" w:cs="Times New Roman"/>
      <w:b/>
      <w:bCs/>
      <w:sz w:val="24"/>
      <w:szCs w:val="28"/>
    </w:rPr>
  </w:style>
  <w:style w:type="paragraph" w:styleId="4">
    <w:name w:val="heading 2"/>
    <w:basedOn w:val="1"/>
    <w:next w:val="1"/>
    <w:link w:val="23"/>
    <w:unhideWhenUsed/>
    <w:qFormat/>
    <w:uiPriority w:val="9"/>
    <w:pPr>
      <w:spacing w:line="360" w:lineRule="auto"/>
      <w:ind w:firstLine="422" w:firstLineChars="200"/>
      <w:outlineLvl w:val="1"/>
    </w:pPr>
    <w:rPr>
      <w:rFonts w:ascii="Times New Roman" w:hAnsi="Times New Roman" w:eastAsia="宋体" w:cs="Times New Roman"/>
      <w:b/>
      <w:bCs/>
    </w:rPr>
  </w:style>
  <w:style w:type="paragraph" w:styleId="5">
    <w:name w:val="heading 3"/>
    <w:basedOn w:val="1"/>
    <w:next w:val="1"/>
    <w:unhideWhenUsed/>
    <w:qFormat/>
    <w:uiPriority w:val="9"/>
    <w:pPr>
      <w:keepNext/>
      <w:keepLines/>
      <w:spacing w:before="260" w:after="260" w:line="413" w:lineRule="auto"/>
      <w:outlineLvl w:val="2"/>
    </w:pPr>
    <w:rPr>
      <w:b/>
      <w:sz w:val="32"/>
    </w:rPr>
  </w:style>
  <w:style w:type="paragraph" w:styleId="6">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8"/>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9"/>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9">
    <w:name w:val="annotation text"/>
    <w:basedOn w:val="1"/>
    <w:link w:val="25"/>
    <w:unhideWhenUsed/>
    <w:qFormat/>
    <w:uiPriority w:val="0"/>
    <w:pPr>
      <w:jc w:val="left"/>
    </w:pPr>
  </w:style>
  <w:style w:type="paragraph" w:styleId="10">
    <w:name w:val="Body Text"/>
    <w:basedOn w:val="1"/>
    <w:link w:val="26"/>
    <w:qFormat/>
    <w:uiPriority w:val="1"/>
    <w:pPr>
      <w:spacing w:before="36"/>
      <w:ind w:left="120"/>
      <w:jc w:val="left"/>
    </w:pPr>
    <w:rPr>
      <w:rFonts w:ascii="宋体" w:hAnsi="宋体" w:eastAsia="宋体"/>
      <w:kern w:val="0"/>
      <w:sz w:val="24"/>
      <w:szCs w:val="24"/>
      <w:lang w:eastAsia="en-US"/>
    </w:rPr>
  </w:style>
  <w:style w:type="paragraph" w:styleId="11">
    <w:name w:val="Balloon Text"/>
    <w:basedOn w:val="1"/>
    <w:link w:val="34"/>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rPr>
      <w:sz w:val="24"/>
    </w:rPr>
  </w:style>
  <w:style w:type="paragraph" w:styleId="15">
    <w:name w:val="annotation subject"/>
    <w:basedOn w:val="9"/>
    <w:next w:val="9"/>
    <w:link w:val="27"/>
    <w:semiHidden/>
    <w:unhideWhenUsed/>
    <w:qFormat/>
    <w:uiPriority w:val="99"/>
    <w:rPr>
      <w:b/>
      <w:bCs/>
    </w:rPr>
  </w:style>
  <w:style w:type="table" w:styleId="17">
    <w:name w:val="Table Grid"/>
    <w:basedOn w:val="16"/>
    <w:qFormat/>
    <w:uiPriority w:val="39"/>
    <w:pPr>
      <w:widowControl w:val="0"/>
    </w:pPr>
    <w:rPr>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unhideWhenUsed/>
    <w:qFormat/>
    <w:uiPriority w:val="0"/>
    <w:rPr>
      <w:sz w:val="21"/>
      <w:szCs w:val="21"/>
    </w:rPr>
  </w:style>
  <w:style w:type="character" w:customStyle="1" w:styleId="20">
    <w:name w:val="页眉 Char"/>
    <w:basedOn w:val="18"/>
    <w:link w:val="13"/>
    <w:qFormat/>
    <w:uiPriority w:val="99"/>
    <w:rPr>
      <w:sz w:val="18"/>
      <w:szCs w:val="18"/>
    </w:rPr>
  </w:style>
  <w:style w:type="character" w:customStyle="1" w:styleId="21">
    <w:name w:val="页脚 Char"/>
    <w:basedOn w:val="18"/>
    <w:link w:val="12"/>
    <w:qFormat/>
    <w:uiPriority w:val="99"/>
    <w:rPr>
      <w:sz w:val="18"/>
      <w:szCs w:val="18"/>
    </w:rPr>
  </w:style>
  <w:style w:type="character" w:customStyle="1" w:styleId="22">
    <w:name w:val="标题 1 Char"/>
    <w:basedOn w:val="18"/>
    <w:link w:val="3"/>
    <w:qFormat/>
    <w:uiPriority w:val="9"/>
    <w:rPr>
      <w:rFonts w:ascii="Times New Roman" w:hAnsi="Times New Roman" w:eastAsia="宋体" w:cs="Times New Roman"/>
      <w:b/>
      <w:bCs/>
      <w:sz w:val="24"/>
      <w:szCs w:val="28"/>
    </w:rPr>
  </w:style>
  <w:style w:type="character" w:customStyle="1" w:styleId="23">
    <w:name w:val="标题 2 Char"/>
    <w:basedOn w:val="18"/>
    <w:link w:val="4"/>
    <w:qFormat/>
    <w:uiPriority w:val="9"/>
    <w:rPr>
      <w:rFonts w:ascii="Times New Roman" w:hAnsi="Times New Roman" w:eastAsia="宋体" w:cs="Times New Roman"/>
      <w:b/>
      <w:bCs/>
    </w:rPr>
  </w:style>
  <w:style w:type="character" w:customStyle="1" w:styleId="24">
    <w:name w:val="标题 4 Char"/>
    <w:basedOn w:val="18"/>
    <w:link w:val="6"/>
    <w:qFormat/>
    <w:uiPriority w:val="9"/>
    <w:rPr>
      <w:rFonts w:asciiTheme="majorHAnsi" w:hAnsiTheme="majorHAnsi" w:eastAsiaTheme="majorEastAsia" w:cstheme="majorBidi"/>
      <w:b/>
      <w:bCs/>
      <w:sz w:val="28"/>
      <w:szCs w:val="28"/>
    </w:rPr>
  </w:style>
  <w:style w:type="character" w:customStyle="1" w:styleId="25">
    <w:name w:val="批注文字 Char"/>
    <w:basedOn w:val="18"/>
    <w:link w:val="9"/>
    <w:qFormat/>
    <w:uiPriority w:val="0"/>
  </w:style>
  <w:style w:type="character" w:customStyle="1" w:styleId="26">
    <w:name w:val="正文文本 Char"/>
    <w:basedOn w:val="18"/>
    <w:link w:val="10"/>
    <w:qFormat/>
    <w:uiPriority w:val="1"/>
    <w:rPr>
      <w:rFonts w:ascii="宋体" w:hAnsi="宋体" w:eastAsia="宋体"/>
      <w:kern w:val="0"/>
      <w:sz w:val="24"/>
      <w:szCs w:val="24"/>
      <w:lang w:eastAsia="en-US"/>
    </w:rPr>
  </w:style>
  <w:style w:type="character" w:customStyle="1" w:styleId="27">
    <w:name w:val="批注主题 Char"/>
    <w:basedOn w:val="25"/>
    <w:link w:val="15"/>
    <w:semiHidden/>
    <w:qFormat/>
    <w:uiPriority w:val="99"/>
    <w:rPr>
      <w:b/>
      <w:bCs/>
    </w:rPr>
  </w:style>
  <w:style w:type="paragraph" w:customStyle="1" w:styleId="28">
    <w:name w:val="Table Paragraph"/>
    <w:basedOn w:val="1"/>
    <w:qFormat/>
    <w:uiPriority w:val="1"/>
    <w:pPr>
      <w:jc w:val="left"/>
    </w:pPr>
    <w:rPr>
      <w:kern w:val="0"/>
      <w:sz w:val="22"/>
      <w:lang w:eastAsia="en-US"/>
    </w:rPr>
  </w:style>
  <w:style w:type="paragraph" w:customStyle="1" w:styleId="29">
    <w:name w:val="方案正文"/>
    <w:basedOn w:val="1"/>
    <w:qFormat/>
    <w:uiPriority w:val="0"/>
    <w:pPr>
      <w:spacing w:line="360" w:lineRule="auto"/>
      <w:ind w:firstLine="200" w:firstLineChars="200"/>
    </w:pPr>
    <w:rPr>
      <w:rFonts w:ascii="Times New Roman" w:hAnsi="Times New Roman" w:eastAsia="仿宋_GB2312" w:cs="Times New Roman"/>
      <w:sz w:val="28"/>
      <w:szCs w:val="28"/>
    </w:rPr>
  </w:style>
  <w:style w:type="paragraph" w:styleId="30">
    <w:name w:val="List Paragraph"/>
    <w:basedOn w:val="1"/>
    <w:link w:val="35"/>
    <w:qFormat/>
    <w:uiPriority w:val="99"/>
    <w:pPr>
      <w:ind w:firstLine="420" w:firstLineChars="200"/>
    </w:pPr>
    <w:rPr>
      <w:rFonts w:ascii="Calibri" w:hAnsi="Calibri" w:eastAsia="仿宋_GB2312" w:cs="Times New Roman"/>
      <w:sz w:val="28"/>
    </w:rPr>
  </w:style>
  <w:style w:type="paragraph" w:customStyle="1" w:styleId="31">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32">
    <w:name w:val="修订2"/>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33">
    <w:name w:val="修订3"/>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34">
    <w:name w:val="批注框文本 Char"/>
    <w:basedOn w:val="18"/>
    <w:link w:val="11"/>
    <w:semiHidden/>
    <w:qFormat/>
    <w:uiPriority w:val="99"/>
    <w:rPr>
      <w:sz w:val="18"/>
      <w:szCs w:val="18"/>
    </w:rPr>
  </w:style>
  <w:style w:type="character" w:customStyle="1" w:styleId="35">
    <w:name w:val="列出段落 Char"/>
    <w:link w:val="30"/>
    <w:qFormat/>
    <w:uiPriority w:val="99"/>
    <w:rPr>
      <w:rFonts w:ascii="Calibri" w:hAnsi="Calibri" w:eastAsia="仿宋_GB2312" w:cs="Times New Roman"/>
      <w:sz w:val="28"/>
    </w:rPr>
  </w:style>
  <w:style w:type="paragraph" w:customStyle="1" w:styleId="36">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 w:type="table" w:customStyle="1" w:styleId="37">
    <w:name w:val="Table Normal"/>
    <w:semiHidden/>
    <w:unhideWhenUsed/>
    <w:qFormat/>
    <w:uiPriority w:val="2"/>
    <w:pPr>
      <w:widowControl w:val="0"/>
      <w:autoSpaceDE w:val="0"/>
      <w:autoSpaceDN w:val="0"/>
      <w:spacing w:after="0" w:line="240" w:lineRule="auto"/>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38">
    <w:name w:val="标题 5 Char"/>
    <w:basedOn w:val="18"/>
    <w:link w:val="7"/>
    <w:qFormat/>
    <w:uiPriority w:val="9"/>
    <w:rPr>
      <w:rFonts w:asciiTheme="minorHAnsi" w:hAnsiTheme="minorHAnsi" w:eastAsiaTheme="minorEastAsia" w:cstheme="minorBidi"/>
      <w:b/>
      <w:bCs/>
      <w:kern w:val="2"/>
      <w:sz w:val="28"/>
      <w:szCs w:val="28"/>
    </w:rPr>
  </w:style>
  <w:style w:type="character" w:customStyle="1" w:styleId="39">
    <w:name w:val="标题 6 Char"/>
    <w:basedOn w:val="18"/>
    <w:link w:val="8"/>
    <w:qFormat/>
    <w:uiPriority w:val="9"/>
    <w:rPr>
      <w:rFonts w:asciiTheme="majorHAnsi" w:hAnsiTheme="majorHAnsi" w:eastAsiaTheme="majorEastAsia" w:cstheme="majorBidi"/>
      <w:b/>
      <w:bCs/>
      <w:kern w:val="2"/>
      <w:sz w:val="24"/>
      <w:szCs w:val="24"/>
    </w:rPr>
  </w:style>
  <w:style w:type="paragraph" w:customStyle="1" w:styleId="40">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D57F7-E034-40C6-A23C-8CF889F79C0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2425</Words>
  <Characters>2647</Characters>
  <Lines>19</Lines>
  <Paragraphs>5</Paragraphs>
  <TotalTime>41</TotalTime>
  <ScaleCrop>false</ScaleCrop>
  <LinksUpToDate>false</LinksUpToDate>
  <CharactersWithSpaces>2667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2026-06-30T12:06:00Z</dcterms:created>
  <dc:creator>Think</dc:creator>
  <cp:lastModifiedBy>彤♪彤✨</cp:lastModifiedBy>
  <dcterms:modified xsi:type="dcterms:W3CDTF">2026-07-08T09:13:46Z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eyJoZGlkIjoiMjY1NTk1MGRjNWFmNzFmNDQwOGFmZDcyYTM3NTBjMjkiLCJ1c2VySWQiOiI0MzkxNDY0NjUifQ==</vt:lpwstr>
  </property>
  <property fmtid="{D5CDD505-2E9C-101B-9397-08002B2CF9AE}" pid="3" name="KSOProductBuildVer">
    <vt:lpwstr>2052-12.1.0.26895</vt:lpwstr>
  </property>
  <property fmtid="{D5CDD505-2E9C-101B-9397-08002B2CF9AE}" pid="4" name="ICV">
    <vt:lpwstr>EB1DAB5160204A4FBAA9A16814B7C7D3_13</vt:lpwstr>
  </property>
</Properties>
</file>