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对水东湾分院进行价值评估服务项目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采</w:t>
      </w:r>
    </w:p>
    <w:p>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8"/>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4</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7</w:t>
      </w:r>
      <w:r>
        <w:rPr>
          <w:rFonts w:hint="eastAsia" w:ascii="仿宋" w:hAnsi="仿宋" w:eastAsia="仿宋" w:cs="仿宋"/>
          <w:b/>
          <w:w w:val="110"/>
          <w:sz w:val="36"/>
          <w:szCs w:val="36"/>
        </w:rPr>
        <w:t>月</w:t>
      </w:r>
      <w:r>
        <w:rPr>
          <w:rFonts w:hint="eastAsia" w:ascii="仿宋" w:hAnsi="仿宋" w:eastAsia="仿宋" w:cs="仿宋"/>
          <w:b/>
          <w:w w:val="110"/>
          <w:sz w:val="36"/>
          <w:szCs w:val="36"/>
          <w:lang w:val="en-US" w:eastAsia="zh-CN"/>
        </w:rPr>
        <w:t>23</w:t>
      </w:r>
      <w:r>
        <w:rPr>
          <w:rFonts w:hint="eastAsia" w:ascii="仿宋" w:hAnsi="仿宋" w:eastAsia="仿宋" w:cs="仿宋"/>
          <w:b/>
          <w:w w:val="11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对水东湾分院进行价值评估服务项目</w:t>
      </w:r>
      <w:r>
        <w:rPr>
          <w:rFonts w:hint="eastAsia" w:ascii="宋体" w:hAnsi="宋体" w:cs="宋体"/>
          <w:color w:val="000000"/>
          <w:kern w:val="0"/>
          <w:sz w:val="22"/>
        </w:rPr>
        <w:t>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w:t>
      </w:r>
      <w:r>
        <w:rPr>
          <w:rFonts w:hint="eastAsia" w:ascii="宋体" w:hAnsi="宋体" w:cs="宋体"/>
          <w:bCs/>
          <w:color w:val="000000"/>
          <w:kern w:val="0"/>
          <w:sz w:val="22"/>
          <w:lang w:eastAsia="zh-CN"/>
        </w:rPr>
        <w:t>对水东湾分院进行价值评估服务项目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详见采购文件</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spacing w:line="360" w:lineRule="auto"/>
        <w:ind w:firstLine="440" w:firstLineChars="200"/>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三、供应商资格：</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2.具有良好的商业信誉和健全的财务会计制度（提供截止之日前3个月的财务状况报告复印件，或提供银行出具的资信证明材料复印件）。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3.有依法缴纳税收和社会保障资金的良好记录（提供截止之日前1个月缴纳税收和社会保险的凭据证明材料复印件；如依法免税或不需要缴纳社会保障资金的，应提供相应文件证明）。</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4.应为在中华人民共和国境内依法设立并承办资产评估的机构并具有资产评估执业证书（提供相关证件）。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5.参加政府采购活动前三年内，在经营活动中没有重大违法记录。</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 xml:space="preserve">6.未被列入“信用中国”网站(www.creditchina.gov.cn)“记录失信被执行人或重大税收违法案件当事人名单或政府采购严重违法失信行为”记录名单（截图打印）。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7.本项目不接受联合体投标，不允许对本项目进行再次分包和转包。</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8.具有广东省政府采购智慧云平台电子卖场定点供应商资格。</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注：上述资格条件中第2、3、5、7、8条均可以承诺函形式提供。</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有意向参与的供应商可在以下规定的截止时间前提交响应文件（模板见需求文件）；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截止时间：2024年7月</w:t>
      </w:r>
      <w:r>
        <w:rPr>
          <w:rFonts w:hint="eastAsia" w:ascii="宋体" w:hAnsi="宋体" w:cs="宋体"/>
          <w:color w:val="000000"/>
          <w:kern w:val="0"/>
          <w:sz w:val="22"/>
          <w:lang w:val="en-US" w:eastAsia="zh-CN"/>
        </w:rPr>
        <w:t>24</w:t>
      </w:r>
      <w:r>
        <w:rPr>
          <w:rFonts w:hint="eastAsia" w:ascii="宋体" w:hAnsi="宋体" w:cs="宋体"/>
          <w:color w:val="000000"/>
          <w:kern w:val="0"/>
          <w:sz w:val="22"/>
          <w:lang w:eastAsia="zh-CN"/>
        </w:rPr>
        <w:t>日起至2024年7月</w:t>
      </w:r>
      <w:r>
        <w:rPr>
          <w:rFonts w:hint="eastAsia" w:ascii="宋体" w:hAnsi="宋体" w:cs="宋体"/>
          <w:color w:val="000000"/>
          <w:kern w:val="0"/>
          <w:sz w:val="22"/>
          <w:lang w:val="en-US" w:eastAsia="zh-CN"/>
        </w:rPr>
        <w:t>30</w:t>
      </w:r>
      <w:bookmarkStart w:id="33" w:name="_GoBack"/>
      <w:bookmarkEnd w:id="33"/>
      <w:r>
        <w:rPr>
          <w:rFonts w:hint="eastAsia" w:ascii="宋体" w:hAnsi="宋体" w:cs="宋体"/>
          <w:color w:val="000000"/>
          <w:kern w:val="0"/>
          <w:sz w:val="22"/>
          <w:lang w:eastAsia="zh-CN"/>
        </w:rPr>
        <w:t>日上午8:00-11:30，下午2:30-5:30，节假日除外。</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接收/邮寄地址：茂名市为民路101号茂名市人民医院5号楼2楼招标采购办公室。</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响应文件应提供纸质版和电子版各一份，纸质版（密封并加盖公章）递交到茂名市为民路101号茂名市人民医院5号楼2楼招标采购办公室（接受邮寄），电子版发到指定邮箱。</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五、我院拒绝接受以下响应文件：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报名截止时间后才递交的响应文件。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不符合供应商相应资质的响应文件。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不满足报名需求提交资料要求的响应文件。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仅以传真、电子邮件等形式的响应文件。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 同一供应商重复递交的响应文件。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（6） 虚假的响应文件。</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六、注意事项：</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1.各供应商必须严格按照要求进行报价，杜绝弄虚作假，胡乱报价，各供应商报价一经确认禁止更改。</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项目严禁各供应商进行恶意竞争或其它违规行为，一经查实，将进入供应商黑名单。</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七、联系方式</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联系人：黎小姐</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联系电话：0668-2922921、0668-2922306</w:t>
      </w:r>
    </w:p>
    <w:p>
      <w:pPr>
        <w:spacing w:line="360" w:lineRule="auto"/>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邮箱：killua342002@163.com</w:t>
      </w:r>
    </w:p>
    <w:p>
      <w:pPr>
        <w:spacing w:line="320" w:lineRule="exact"/>
        <w:jc w:val="right"/>
        <w:rPr>
          <w:rFonts w:hint="eastAsia" w:ascii="宋体" w:hAnsi="宋体" w:cs="宋体"/>
          <w:color w:val="000000"/>
          <w:kern w:val="0"/>
          <w:sz w:val="22"/>
          <w:lang w:eastAsia="zh-CN"/>
        </w:rPr>
      </w:pPr>
    </w:p>
    <w:p>
      <w:pPr>
        <w:spacing w:line="320" w:lineRule="exact"/>
        <w:jc w:val="right"/>
        <w:rPr>
          <w:rFonts w:hint="eastAsia" w:ascii="宋体" w:hAnsi="宋体" w:cs="宋体"/>
          <w:color w:val="000000"/>
          <w:kern w:val="0"/>
          <w:sz w:val="22"/>
          <w:lang w:eastAsia="zh-CN"/>
        </w:rPr>
      </w:pPr>
    </w:p>
    <w:p>
      <w:pPr>
        <w:spacing w:line="320" w:lineRule="exact"/>
        <w:jc w:val="right"/>
        <w:rPr>
          <w:rFonts w:hint="eastAsia" w:ascii="宋体" w:hAnsi="宋体" w:cs="宋体"/>
          <w:color w:val="000000"/>
          <w:kern w:val="0"/>
          <w:sz w:val="22"/>
          <w:lang w:eastAsia="zh-CN"/>
        </w:rPr>
      </w:pPr>
      <w:r>
        <w:rPr>
          <w:rFonts w:hint="eastAsia" w:ascii="宋体" w:hAnsi="宋体" w:cs="宋体"/>
          <w:color w:val="000000"/>
          <w:kern w:val="0"/>
          <w:sz w:val="22"/>
          <w:lang w:eastAsia="zh-CN"/>
        </w:rPr>
        <w:t>茂名市人民医院</w:t>
      </w:r>
    </w:p>
    <w:p>
      <w:pPr>
        <w:spacing w:line="320" w:lineRule="exact"/>
        <w:jc w:val="right"/>
        <w:rPr>
          <w:rFonts w:hint="default" w:eastAsia="宋体"/>
          <w:lang w:val="en-US" w:eastAsia="zh-CN"/>
        </w:rPr>
      </w:pPr>
      <w:r>
        <w:rPr>
          <w:rFonts w:hint="eastAsia" w:ascii="宋体" w:hAnsi="宋体" w:cs="宋体"/>
          <w:color w:val="000000"/>
          <w:kern w:val="0"/>
          <w:sz w:val="22"/>
          <w:lang w:eastAsia="zh-CN"/>
        </w:rPr>
        <w:t>2024年7月</w:t>
      </w:r>
      <w:r>
        <w:rPr>
          <w:rFonts w:hint="eastAsia" w:ascii="宋体" w:hAnsi="宋体" w:cs="宋体"/>
          <w:color w:val="000000"/>
          <w:kern w:val="0"/>
          <w:sz w:val="22"/>
          <w:lang w:val="en-US" w:eastAsia="zh-CN"/>
        </w:rPr>
        <w:t>29</w:t>
      </w:r>
      <w:r>
        <w:rPr>
          <w:rFonts w:hint="eastAsia" w:ascii="宋体" w:hAnsi="宋体" w:cs="宋体"/>
          <w:color w:val="000000"/>
          <w:kern w:val="0"/>
          <w:sz w:val="22"/>
          <w:lang w:eastAsia="zh-CN"/>
        </w:rPr>
        <w:t>日</w:t>
      </w:r>
    </w:p>
    <w:p>
      <w:pPr>
        <w:pStyle w:val="8"/>
        <w:keepNext w:val="0"/>
        <w:keepLines w:val="0"/>
        <w:pageBreakBefore w:val="0"/>
        <w:widowControl w:val="0"/>
        <w:tabs>
          <w:tab w:val="left" w:pos="1260"/>
        </w:tabs>
        <w:kinsoku/>
        <w:wordWrap/>
        <w:overflowPunct/>
        <w:topLinePunct w:val="0"/>
        <w:autoSpaceDE/>
        <w:autoSpaceDN/>
        <w:bidi w:val="0"/>
        <w:adjustRightInd/>
        <w:snapToGrid/>
        <w:spacing w:line="360" w:lineRule="auto"/>
        <w:ind w:firstLine="0" w:firstLineChars="0"/>
        <w:jc w:val="center"/>
        <w:textAlignment w:val="auto"/>
        <w:rPr>
          <w:rFonts w:hAnsi="宋体"/>
        </w:rPr>
      </w:pPr>
    </w:p>
    <w:p>
      <w:pPr>
        <w:pStyle w:val="8"/>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eastAsia="宋体"/>
          <w:b/>
          <w:kern w:val="0"/>
          <w:sz w:val="28"/>
          <w:szCs w:val="28"/>
          <w:lang w:eastAsia="zh-CN"/>
        </w:rPr>
      </w:pPr>
      <w:r>
        <w:rPr>
          <w:rFonts w:hint="eastAsia" w:ascii="宋体" w:hAnsi="宋体"/>
          <w:b/>
          <w:kern w:val="0"/>
          <w:sz w:val="28"/>
          <w:szCs w:val="28"/>
          <w:lang w:eastAsia="zh-CN"/>
        </w:rPr>
        <w:t>第二部分</w:t>
      </w:r>
      <w:r>
        <w:rPr>
          <w:rFonts w:hint="eastAsia" w:ascii="宋体" w:hAnsi="宋体"/>
          <w:b/>
          <w:kern w:val="0"/>
          <w:sz w:val="28"/>
          <w:szCs w:val="28"/>
          <w:lang w:val="en-US" w:eastAsia="zh-CN"/>
        </w:rPr>
        <w:t xml:space="preserve"> </w:t>
      </w:r>
      <w:r>
        <w:rPr>
          <w:rFonts w:hint="eastAsia" w:ascii="宋体" w:hAnsi="宋体"/>
          <w:b/>
          <w:kern w:val="0"/>
          <w:sz w:val="28"/>
          <w:szCs w:val="28"/>
          <w:lang w:eastAsia="zh-CN"/>
        </w:rPr>
        <w:t>服务需求</w:t>
      </w:r>
    </w:p>
    <w:p>
      <w:pPr>
        <w:spacing w:line="360" w:lineRule="auto"/>
        <w:ind w:firstLine="420" w:firstLineChars="200"/>
        <w:rPr>
          <w:rFonts w:ascii="宋体" w:hAnsi="宋体"/>
          <w:kern w:val="0"/>
          <w:szCs w:val="21"/>
        </w:rPr>
      </w:pPr>
      <w:r>
        <w:rPr>
          <w:rFonts w:ascii="宋体" w:hAnsi="宋体"/>
          <w:kern w:val="0"/>
          <w:szCs w:val="21"/>
        </w:rPr>
        <w:t>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w:t>
      </w:r>
      <w:r>
        <w:rPr>
          <w:rFonts w:hint="eastAsia" w:ascii="宋体" w:hAnsi="宋体"/>
          <w:kern w:val="0"/>
          <w:szCs w:val="21"/>
          <w:lang w:val="en-US" w:eastAsia="zh-CN"/>
        </w:rPr>
        <w:t>对水东湾分院进行价值评估服务项目</w:t>
      </w:r>
      <w:r>
        <w:rPr>
          <w:rFonts w:hint="eastAsia" w:ascii="宋体" w:hAnsi="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kern w:val="0"/>
          <w:szCs w:val="21"/>
          <w:lang w:val="en-US" w:eastAsia="zh-CN"/>
        </w:rPr>
      </w:pPr>
      <w:r>
        <w:rPr>
          <w:rFonts w:hint="eastAsia" w:ascii="宋体" w:hAnsi="宋体"/>
          <w:kern w:val="0"/>
          <w:szCs w:val="21"/>
          <w:lang w:val="en-US" w:eastAsia="zh-CN"/>
        </w:rPr>
        <w:t>2.采购预算：120,000.00元</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lang w:eastAsia="zh-CN"/>
        </w:rPr>
        <w:t>二、</w:t>
      </w:r>
      <w:r>
        <w:rPr>
          <w:rFonts w:hint="eastAsia" w:ascii="宋体" w:hAnsi="宋体"/>
        </w:rPr>
        <w:t>服务内容</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完成水东湾分院的资产评估，评估范围包括：土地、房屋建筑物、相关设备等价值。</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lang w:eastAsia="zh-CN"/>
        </w:rPr>
        <w:t>三、</w:t>
      </w:r>
      <w:r>
        <w:rPr>
          <w:rFonts w:hint="eastAsia" w:ascii="宋体" w:hAnsi="宋体"/>
        </w:rPr>
        <w:t>服务地点：茂名市人民医院</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lang w:eastAsia="zh-CN"/>
        </w:rPr>
        <w:t>四</w:t>
      </w:r>
      <w:r>
        <w:rPr>
          <w:rFonts w:hint="eastAsia" w:ascii="宋体" w:hAnsi="宋体"/>
        </w:rPr>
        <w:t>、评估报告交付时间：2024年8月</w:t>
      </w:r>
      <w:r>
        <w:rPr>
          <w:rFonts w:hint="eastAsia" w:ascii="宋体" w:hAnsi="宋体"/>
          <w:lang w:val="en-US" w:eastAsia="zh-CN"/>
        </w:rPr>
        <w:t>31</w:t>
      </w:r>
      <w:r>
        <w:rPr>
          <w:rFonts w:hint="eastAsia" w:ascii="宋体" w:hAnsi="宋体"/>
        </w:rPr>
        <w:t>日</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lang w:eastAsia="zh-CN"/>
        </w:rPr>
      </w:pPr>
      <w:r>
        <w:rPr>
          <w:rFonts w:hint="eastAsia" w:ascii="宋体" w:hAnsi="宋体"/>
          <w:lang w:eastAsia="zh-CN"/>
        </w:rPr>
        <w:t>五、资产评估人员要求</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lang w:val="en-US" w:eastAsia="zh-CN"/>
        </w:rPr>
      </w:pPr>
      <w:r>
        <w:rPr>
          <w:rFonts w:hint="eastAsia" w:ascii="宋体" w:hAnsi="宋体" w:cs="宋体"/>
          <w:kern w:val="0"/>
          <w:szCs w:val="21"/>
        </w:rPr>
        <w:t>★</w:t>
      </w:r>
      <w:r>
        <w:rPr>
          <w:rFonts w:hint="eastAsia" w:ascii="宋体" w:hAnsi="宋体"/>
          <w:lang w:val="en-US" w:eastAsia="zh-CN"/>
        </w:rPr>
        <w:t>现场负责人须由资产评估师担任，现场至少应配备2名以上资产评估专业人员。</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六、编报工作程序</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1.接受委托阶段</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明确资产评估业务基本事项，对资产评估业务进行综合分析和评价；</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编制资产评估综合计划，明确资产评估业务实施的主要过程，确定实施业务的时间进度和人员安排；</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根据所编制的资产评估综合计划组成评估业务项目小组，并对项目组成员进行培训。</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2.资产清查阶段</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2.1了解评估对象现状</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对标的物的现实状况进行核实，主要是了解被评估资产的名称、规格等现实状况信息，并保留现场调查的文字、照片等资料，同时就现场勘查情况在委托人和相关当事人的见证下予以了解和确认。</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2.2关注评估对象的法律权属</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根据本项目的特点，向被评估单位了解相关权属证明资料。</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2.3评估资料的收集和整理</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结合项目评估目的、标的资产实物类型、项目评估价值类型等，我们从公开市场、国家相关行业的定额标准和相关媒体上获取、收集相关的资产评估价格信息，从委托人处获取资料。在对所收集到的资料进行必要的核查验证之后，对从各个渠道收集的评估资料进行必要的分析、归纳和整理，从中获取适合本次评估的相关信息及资料。</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3.评定估算阶段</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3.1评估人员在被评估单位人员的配合下，在充分调查和了解的基础上，结合所收集的资料进行综合分析，确定有关资料。</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3.2评估人员分别进行市场调查，广泛收集与评估对象有关的市场交易价格信息，对所收集信息资料进行归类整理和全面分析。</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3.3根据项目评估目的、评估对象、价值类型、资料收集等情况，分析成本法、市场法和收益法各自的适用性，选择适当评估方法。</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3.4根据评估工作情况，得出初步结果，听取专家意见，确认无重评、漏评事项，分析意见，修改完善。</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hint="eastAsia" w:ascii="宋体" w:hAnsi="宋体"/>
        </w:rPr>
      </w:pPr>
      <w:r>
        <w:rPr>
          <w:rFonts w:hint="eastAsia" w:ascii="宋体" w:hAnsi="宋体"/>
        </w:rPr>
        <w:t xml:space="preserve">4.评估汇总、提交报告阶段 </w:t>
      </w:r>
    </w:p>
    <w:p>
      <w:pPr>
        <w:pStyle w:val="2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00" w:firstLineChars="200"/>
        <w:textAlignment w:val="auto"/>
        <w:rPr>
          <w:rFonts w:ascii="宋体" w:hAnsi="宋体"/>
          <w:b/>
        </w:rPr>
      </w:pPr>
      <w:r>
        <w:rPr>
          <w:rFonts w:hint="eastAsia" w:ascii="宋体" w:hAnsi="宋体"/>
        </w:rPr>
        <w:t>按照资产评估规范化要求，组织成员编制相关资产的评估技术说明。评估结果、资产评估报告书、评估技术说明按规定程序在项目负责人审核的基础上进行三级复核。最后出具正式报告并提交委托人。</w:t>
      </w:r>
      <w:r>
        <w:rPr>
          <w:rFonts w:ascii="宋体" w:hAnsi="宋体"/>
        </w:rPr>
        <w:br w:type="page"/>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ascii="宋体" w:hAnsi="宋体"/>
          <w:b/>
        </w:rPr>
      </w:pPr>
      <w:r>
        <w:rPr>
          <w:rFonts w:hint="eastAsia" w:ascii="宋体" w:hAnsi="宋体"/>
          <w:b/>
          <w:sz w:val="32"/>
          <w:szCs w:val="32"/>
          <w:lang w:eastAsia="zh-CN"/>
        </w:rPr>
        <w:t>第三部分</w:t>
      </w:r>
      <w:r>
        <w:rPr>
          <w:rFonts w:hint="eastAsia" w:ascii="宋体" w:hAnsi="宋体"/>
          <w:b/>
          <w:sz w:val="32"/>
          <w:szCs w:val="32"/>
          <w:lang w:val="en-US" w:eastAsia="zh-CN"/>
        </w:rPr>
        <w:t xml:space="preserve"> </w:t>
      </w:r>
      <w:r>
        <w:rPr>
          <w:rFonts w:ascii="宋体" w:hAnsi="宋体"/>
          <w:b/>
          <w:sz w:val="32"/>
          <w:szCs w:val="32"/>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采购文件</w:t>
      </w:r>
      <w:r>
        <w:rPr>
          <w:rFonts w:hint="eastAsia" w:ascii="宋体" w:hAnsi="宋体" w:cs="宋体"/>
        </w:rPr>
        <w:t>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w:t>
      </w:r>
      <w:r>
        <w:rPr>
          <w:rFonts w:hint="eastAsia" w:ascii="宋体" w:hAnsi="宋体" w:cs="宋体"/>
          <w:lang w:eastAsia="zh-CN"/>
        </w:rPr>
        <w:t>如有通知</w:t>
      </w:r>
      <w:r>
        <w:rPr>
          <w:rFonts w:hint="eastAsia" w:ascii="宋体" w:hAnsi="宋体" w:cs="宋体"/>
        </w:rPr>
        <w:t>出席会议</w:t>
      </w:r>
      <w:r>
        <w:rPr>
          <w:rFonts w:hint="eastAsia" w:ascii="宋体" w:hAnsi="宋体" w:cs="宋体"/>
          <w:lang w:eastAsia="zh-CN"/>
        </w:rPr>
        <w:t>的</w:t>
      </w:r>
      <w:r>
        <w:rPr>
          <w:rFonts w:hint="eastAsia" w:ascii="宋体" w:hAnsi="宋体" w:cs="宋体"/>
        </w:rPr>
        <w:t>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8"/>
        <w:tabs>
          <w:tab w:val="left" w:pos="1260"/>
        </w:tabs>
        <w:spacing w:line="680" w:lineRule="auto"/>
        <w:ind w:firstLine="0" w:firstLineChars="0"/>
        <w:jc w:val="center"/>
        <w:rPr>
          <w:rFonts w:hAnsi="宋体" w:cs="仿宋"/>
          <w:b/>
          <w:spacing w:val="100"/>
          <w:w w:val="110"/>
          <w:sz w:val="44"/>
          <w:szCs w:val="44"/>
        </w:rPr>
      </w:pPr>
    </w:p>
    <w:p>
      <w:pPr>
        <w:pStyle w:val="8"/>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8"/>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8"/>
        <w:spacing w:line="680" w:lineRule="auto"/>
        <w:ind w:firstLine="482"/>
        <w:jc w:val="center"/>
        <w:rPr>
          <w:rFonts w:hAnsi="宋体" w:cs="仿宋"/>
          <w:b/>
          <w:szCs w:val="24"/>
        </w:rPr>
      </w:pPr>
    </w:p>
    <w:p>
      <w:pPr>
        <w:pStyle w:val="8"/>
        <w:spacing w:line="440" w:lineRule="auto"/>
        <w:ind w:firstLine="482"/>
        <w:jc w:val="center"/>
        <w:rPr>
          <w:rFonts w:hAnsi="宋体" w:cs="仿宋"/>
          <w:b/>
          <w:szCs w:val="24"/>
        </w:rPr>
      </w:pPr>
    </w:p>
    <w:p>
      <w:pPr>
        <w:pStyle w:val="7"/>
        <w:spacing w:line="440" w:lineRule="auto"/>
        <w:ind w:firstLine="0" w:firstLineChars="0"/>
        <w:rPr>
          <w:rFonts w:ascii="宋体" w:hAnsi="宋体" w:eastAsia="宋体" w:cs="仿宋"/>
          <w:sz w:val="24"/>
          <w:szCs w:val="24"/>
          <w:u w:val="single"/>
        </w:rPr>
      </w:pPr>
    </w:p>
    <w:p>
      <w:pPr>
        <w:pStyle w:val="7"/>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采购项目</w:t>
      </w:r>
    </w:p>
    <w:p>
      <w:pPr>
        <w:pStyle w:val="8"/>
        <w:spacing w:line="440" w:lineRule="auto"/>
        <w:ind w:firstLine="1687" w:firstLineChars="700"/>
        <w:rPr>
          <w:rFonts w:hAnsi="宋体" w:cs="仿宋"/>
          <w:b/>
          <w:szCs w:val="24"/>
        </w:rPr>
      </w:pPr>
    </w:p>
    <w:p>
      <w:pPr>
        <w:pStyle w:val="8"/>
        <w:spacing w:line="440" w:lineRule="auto"/>
        <w:ind w:firstLine="723" w:firstLineChars="300"/>
        <w:rPr>
          <w:rFonts w:hAnsi="宋体" w:cs="仿宋"/>
          <w:b/>
          <w:szCs w:val="24"/>
        </w:rPr>
      </w:pPr>
    </w:p>
    <w:p>
      <w:pPr>
        <w:pStyle w:val="8"/>
        <w:spacing w:line="440" w:lineRule="auto"/>
        <w:ind w:firstLine="723" w:firstLineChars="300"/>
        <w:rPr>
          <w:rFonts w:hAnsi="宋体" w:cs="仿宋"/>
          <w:b/>
          <w:szCs w:val="24"/>
        </w:rPr>
      </w:pPr>
    </w:p>
    <w:p>
      <w:pPr>
        <w:pStyle w:val="8"/>
        <w:spacing w:line="440" w:lineRule="auto"/>
        <w:ind w:firstLine="723" w:firstLineChars="300"/>
        <w:rPr>
          <w:rFonts w:hAnsi="宋体" w:cs="仿宋"/>
          <w:b/>
          <w:szCs w:val="24"/>
        </w:rPr>
      </w:pPr>
    </w:p>
    <w:p>
      <w:pPr>
        <w:pStyle w:val="8"/>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1075"/>
      <w:bookmarkStart w:id="1" w:name="_Toc202251700"/>
      <w:bookmarkStart w:id="2" w:name="_Toc202254105"/>
      <w:bookmarkStart w:id="3" w:name="_Toc28330"/>
      <w:bookmarkStart w:id="4" w:name="_Toc202820351"/>
      <w:bookmarkStart w:id="5" w:name="_Toc202819878"/>
      <w:bookmarkStart w:id="6" w:name="_Toc202252034"/>
      <w:bookmarkStart w:id="7" w:name="_Toc202816996"/>
      <w:bookmarkStart w:id="8" w:name="_Toc395800947"/>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8"/>
        <w:ind w:firstLine="0" w:firstLineChars="0"/>
        <w:rPr>
          <w:rFonts w:hAnsi="宋体"/>
          <w:b/>
          <w:bCs/>
          <w:sz w:val="21"/>
        </w:rPr>
      </w:pPr>
    </w:p>
    <w:p>
      <w:pPr>
        <w:pStyle w:val="8"/>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8"/>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w:t>
      </w:r>
      <w:r>
        <w:rPr>
          <w:rFonts w:hint="eastAsia" w:ascii="宋体" w:hAnsi="宋体" w:cs="仿宋"/>
          <w:lang w:eastAsia="zh-CN"/>
        </w:rPr>
        <w:t>成交</w:t>
      </w:r>
      <w:r>
        <w:rPr>
          <w:rFonts w:hint="eastAsia" w:ascii="宋体" w:hAnsi="宋体" w:cs="仿宋"/>
        </w:rPr>
        <w:t>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8"/>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8"/>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XXXXXX</w:t>
      </w:r>
      <w:r>
        <w:rPr>
          <w:rFonts w:hint="eastAsia" w:ascii="宋体" w:hAnsi="宋体" w:cs="仿宋"/>
          <w:u w:val="single"/>
        </w:rPr>
        <w:t>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firstLine="480"/>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80"/>
        <w:rPr>
          <w:rFonts w:hint="eastAsia" w:ascii="宋体" w:hAnsi="宋体" w:cs="仿宋"/>
          <w:snapToGrid w:val="0"/>
          <w:kern w:val="0"/>
        </w:rPr>
      </w:pPr>
      <w:r>
        <w:rPr>
          <w:rFonts w:hint="eastAsia" w:ascii="宋体" w:hAnsi="宋体" w:cs="仿宋"/>
          <w:snapToGrid w:val="0"/>
          <w:kern w:val="0"/>
        </w:rPr>
        <w:t>2.具有良好的商业信誉和健全的财务会计制度（提供截止之日前3个月的财务状况报告复印件，或提供银行出具的资信证明材料复印件）；</w:t>
      </w:r>
    </w:p>
    <w:p>
      <w:pPr>
        <w:spacing w:line="360" w:lineRule="auto"/>
        <w:ind w:firstLine="480"/>
        <w:rPr>
          <w:rFonts w:hint="eastAsia" w:ascii="宋体" w:hAnsi="宋体" w:cs="仿宋"/>
          <w:snapToGrid w:val="0"/>
          <w:kern w:val="0"/>
        </w:rPr>
      </w:pPr>
      <w:r>
        <w:rPr>
          <w:rFonts w:hint="eastAsia" w:ascii="宋体" w:hAnsi="宋体" w:cs="仿宋"/>
          <w:snapToGrid w:val="0"/>
          <w:kern w:val="0"/>
        </w:rPr>
        <w:t xml:space="preserve">3.有依法缴纳税收和社会保障资金的良好记录（提供截止之日前1个月缴纳税收和社会保险的凭据证明材料复印件；如依法免税或不需要缴纳社会保障资金的，应提供相应文件证明）； </w:t>
      </w:r>
    </w:p>
    <w:p>
      <w:pPr>
        <w:spacing w:line="360" w:lineRule="auto"/>
        <w:ind w:firstLine="480"/>
        <w:rPr>
          <w:rFonts w:hint="eastAsia" w:ascii="宋体" w:hAnsi="宋体" w:cs="仿宋"/>
          <w:snapToGrid w:val="0"/>
          <w:kern w:val="0"/>
        </w:rPr>
      </w:pPr>
      <w:r>
        <w:rPr>
          <w:rFonts w:hint="eastAsia" w:ascii="宋体" w:hAnsi="宋体" w:cs="仿宋"/>
          <w:snapToGrid w:val="0"/>
          <w:kern w:val="0"/>
        </w:rPr>
        <w:t>4.具有履行合同所必需的服务和专业技术能力（提供声明函，格式自拟）；</w:t>
      </w:r>
    </w:p>
    <w:p>
      <w:pPr>
        <w:spacing w:line="360" w:lineRule="auto"/>
        <w:ind w:firstLine="480"/>
        <w:rPr>
          <w:rFonts w:hint="eastAsia" w:ascii="宋体" w:hAnsi="宋体" w:cs="仿宋"/>
          <w:snapToGrid w:val="0"/>
          <w:kern w:val="0"/>
        </w:rPr>
      </w:pPr>
      <w:r>
        <w:rPr>
          <w:rFonts w:hint="eastAsia" w:ascii="宋体" w:hAnsi="宋体" w:cs="仿宋"/>
          <w:snapToGrid w:val="0"/>
          <w:kern w:val="0"/>
        </w:rPr>
        <w:t>5.参加政府采购活动前三年内，在经营活动中没有重大违法记录（提供声明函，格式自拟）；</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.具有广东省政府采购智慧云平台电子卖场定点供应商资格。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8.本项目不接受联合体投标，不允许对本项目进行再次分包和转包（提供书面声明函）。</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1076"/>
      <w:bookmarkStart w:id="11" w:name="_Toc31980"/>
      <w:bookmarkStart w:id="12" w:name="_Toc202251701"/>
      <w:bookmarkStart w:id="13" w:name="_Toc395800949"/>
      <w:bookmarkStart w:id="14" w:name="_Toc202254106"/>
      <w:bookmarkStart w:id="15" w:name="_Toc202819879"/>
      <w:bookmarkStart w:id="16" w:name="_Toc202252035"/>
      <w:bookmarkStart w:id="17" w:name="_Toc202816997"/>
      <w:bookmarkStart w:id="18" w:name="_Toc202820352"/>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02254107"/>
      <w:bookmarkStart w:id="20" w:name="_Toc202251702"/>
      <w:bookmarkStart w:id="21" w:name="_Toc202252036"/>
      <w:bookmarkStart w:id="22" w:name="_Toc395800950"/>
      <w:bookmarkStart w:id="23" w:name="_Toc202819880"/>
      <w:bookmarkStart w:id="24" w:name="_Toc202816998"/>
      <w:bookmarkStart w:id="25" w:name="_Toc29676"/>
      <w:bookmarkStart w:id="26" w:name="_Toc202820353"/>
      <w:bookmarkStart w:id="27" w:name="_Toc4426"/>
      <w:bookmarkStart w:id="28" w:name="_Toc202251077"/>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16999"/>
      <w:bookmarkStart w:id="31" w:name="_Toc202820354"/>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w:t>
      </w:r>
      <w:r>
        <w:rPr>
          <w:rFonts w:hint="eastAsia" w:ascii="宋体" w:hAnsi="宋体" w:cs="仿宋"/>
          <w:lang w:eastAsia="zh-CN"/>
        </w:rPr>
        <w:t>应提供的所有</w:t>
      </w:r>
      <w:r>
        <w:rPr>
          <w:rFonts w:hint="eastAsia" w:ascii="宋体" w:hAnsi="宋体" w:cs="仿宋"/>
        </w:rPr>
        <w:t>服务</w:t>
      </w:r>
      <w:r>
        <w:rPr>
          <w:rFonts w:hint="eastAsia" w:ascii="宋体" w:hAnsi="宋体" w:cs="仿宋"/>
          <w:lang w:eastAsia="zh-CN"/>
        </w:rPr>
        <w:t>费用</w:t>
      </w:r>
      <w:r>
        <w:rPr>
          <w:rFonts w:hint="eastAsia" w:ascii="宋体" w:hAnsi="宋体" w:cs="仿宋"/>
        </w:rPr>
        <w:t>、全额含税发票、雇员费用、合同实施过程中应预见和不可预见费用等。所有价格均应以人民币报价，金额单位为元。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w:t>
      </w:r>
      <w:r>
        <w:rPr>
          <w:rFonts w:hint="eastAsia" w:ascii="宋体" w:hAnsi="宋体" w:cs="仿宋"/>
          <w:lang w:eastAsia="zh-CN"/>
        </w:rPr>
        <w:t>成交</w:t>
      </w:r>
      <w:r>
        <w:rPr>
          <w:rFonts w:hint="eastAsia" w:ascii="宋体" w:hAnsi="宋体" w:cs="仿宋"/>
        </w:rPr>
        <w:t>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w:t>
      </w:r>
      <w:r>
        <w:rPr>
          <w:rFonts w:hint="eastAsia" w:ascii="宋体" w:hAnsi="宋体"/>
          <w:bCs/>
          <w:u w:val="single"/>
          <w:lang w:val="en-US" w:eastAsia="zh-CN"/>
        </w:rPr>
        <w:t>XXX</w:t>
      </w:r>
      <w:r>
        <w:rPr>
          <w:rFonts w:hint="eastAsia" w:ascii="宋体" w:hAnsi="宋体"/>
          <w:bCs/>
          <w:u w:val="single"/>
        </w:rPr>
        <w:t>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w:t>
      </w:r>
      <w:r>
        <w:rPr>
          <w:rFonts w:hint="eastAsia" w:ascii="宋体" w:hAnsi="宋体"/>
          <w:bCs/>
          <w:lang w:eastAsia="zh-CN"/>
        </w:rPr>
        <w:t>成交</w:t>
      </w:r>
      <w:r>
        <w:rPr>
          <w:rFonts w:hint="eastAsia" w:ascii="宋体" w:hAnsi="宋体"/>
          <w:bCs/>
        </w:rPr>
        <w:t>、成交结果公开</w:t>
      </w:r>
      <w:r>
        <w:rPr>
          <w:rFonts w:hint="eastAsia" w:ascii="宋体" w:hAnsi="宋体"/>
          <w:bCs/>
          <w:lang w:eastAsia="zh-CN"/>
        </w:rPr>
        <w:t>成交</w:t>
      </w:r>
      <w:r>
        <w:rPr>
          <w:rFonts w:hint="eastAsia" w:ascii="宋体" w:hAnsi="宋体"/>
          <w:bCs/>
        </w:rPr>
        <w:t>、成交供应商的《中小企业声明函》，供应商提供声明函内容不实的，属于提供虚假材料谋取</w:t>
      </w:r>
      <w:r>
        <w:rPr>
          <w:rFonts w:hint="eastAsia" w:ascii="宋体" w:hAnsi="宋体"/>
          <w:bCs/>
          <w:lang w:eastAsia="zh-CN"/>
        </w:rPr>
        <w:t>成交</w:t>
      </w:r>
      <w:r>
        <w:rPr>
          <w:rFonts w:hint="eastAsia" w:ascii="宋体" w:hAnsi="宋体"/>
          <w:bCs/>
        </w:rPr>
        <w:t>、成交，依照《中华人民共和国政府采购法》等国家有关规定追究相应责任。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2AD5A68"/>
    <w:rsid w:val="06611386"/>
    <w:rsid w:val="0BCE4606"/>
    <w:rsid w:val="0BFA1782"/>
    <w:rsid w:val="0FA754DB"/>
    <w:rsid w:val="10285084"/>
    <w:rsid w:val="11C63C1D"/>
    <w:rsid w:val="126B2EA6"/>
    <w:rsid w:val="17BC4A58"/>
    <w:rsid w:val="19DA4995"/>
    <w:rsid w:val="1D715D71"/>
    <w:rsid w:val="1EE164EA"/>
    <w:rsid w:val="211C29BF"/>
    <w:rsid w:val="23D87429"/>
    <w:rsid w:val="27566710"/>
    <w:rsid w:val="28EB2902"/>
    <w:rsid w:val="298E0F0C"/>
    <w:rsid w:val="2B0B6A16"/>
    <w:rsid w:val="2B5D1D0C"/>
    <w:rsid w:val="2B8F1315"/>
    <w:rsid w:val="2D313951"/>
    <w:rsid w:val="2E9C247D"/>
    <w:rsid w:val="30517430"/>
    <w:rsid w:val="320D44AF"/>
    <w:rsid w:val="35020CF9"/>
    <w:rsid w:val="3984649B"/>
    <w:rsid w:val="3ABC7C1F"/>
    <w:rsid w:val="3DCB7B4A"/>
    <w:rsid w:val="3E545EB6"/>
    <w:rsid w:val="3F7B460E"/>
    <w:rsid w:val="414C7328"/>
    <w:rsid w:val="41960124"/>
    <w:rsid w:val="41B266CD"/>
    <w:rsid w:val="42CE4C86"/>
    <w:rsid w:val="45010631"/>
    <w:rsid w:val="458A1E66"/>
    <w:rsid w:val="469D7DA9"/>
    <w:rsid w:val="47524974"/>
    <w:rsid w:val="49A359F0"/>
    <w:rsid w:val="4AB34000"/>
    <w:rsid w:val="4AE53583"/>
    <w:rsid w:val="503F6CAD"/>
    <w:rsid w:val="513266F6"/>
    <w:rsid w:val="51B07B89"/>
    <w:rsid w:val="51E0593F"/>
    <w:rsid w:val="563742EB"/>
    <w:rsid w:val="57851CC5"/>
    <w:rsid w:val="59607AC5"/>
    <w:rsid w:val="5B5555DB"/>
    <w:rsid w:val="60661131"/>
    <w:rsid w:val="65A3513A"/>
    <w:rsid w:val="6C962C82"/>
    <w:rsid w:val="6D1849F7"/>
    <w:rsid w:val="6D2367A2"/>
    <w:rsid w:val="6DE7212F"/>
    <w:rsid w:val="735B526A"/>
    <w:rsid w:val="762D33A5"/>
    <w:rsid w:val="7C827306"/>
    <w:rsid w:val="7D4B2517"/>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4"/>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caption"/>
    <w:basedOn w:val="1"/>
    <w:next w:val="1"/>
    <w:qFormat/>
    <w:uiPriority w:val="35"/>
    <w:rPr>
      <w:rFonts w:ascii="Cambria" w:hAnsi="Cambria" w:eastAsia="黑体"/>
      <w:sz w:val="20"/>
      <w:szCs w:val="20"/>
    </w:rPr>
  </w:style>
  <w:style w:type="paragraph" w:styleId="7">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8">
    <w:name w:val="Plain Text"/>
    <w:basedOn w:val="1"/>
    <w:link w:val="18"/>
    <w:unhideWhenUsed/>
    <w:qFormat/>
    <w:uiPriority w:val="99"/>
    <w:pPr>
      <w:spacing w:line="440" w:lineRule="exact"/>
      <w:ind w:firstLine="880" w:firstLineChars="200"/>
    </w:pPr>
    <w:rPr>
      <w:rFonts w:ascii="宋体" w:hAnsi="Courier New"/>
      <w:kern w:val="0"/>
      <w:sz w:val="24"/>
      <w:szCs w:val="21"/>
      <w:lang w:val="zh-CN" w:eastAsia="zh-CN"/>
    </w:rPr>
  </w:style>
  <w:style w:type="paragraph" w:styleId="9">
    <w:name w:val="Balloon Text"/>
    <w:basedOn w:val="1"/>
    <w:link w:val="26"/>
    <w:unhideWhenUsed/>
    <w:qFormat/>
    <w:uiPriority w:val="99"/>
    <w:rPr>
      <w:kern w:val="0"/>
      <w:sz w:val="18"/>
      <w:szCs w:val="18"/>
      <w:lang w:val="zh-CN" w:eastAsia="zh-CN"/>
    </w:rPr>
  </w:style>
  <w:style w:type="paragraph" w:styleId="10">
    <w:name w:val="footer"/>
    <w:basedOn w:val="1"/>
    <w:link w:val="28"/>
    <w:unhideWhenUsed/>
    <w:qFormat/>
    <w:uiPriority w:val="99"/>
    <w:pPr>
      <w:tabs>
        <w:tab w:val="center" w:pos="4153"/>
        <w:tab w:val="right" w:pos="8306"/>
      </w:tabs>
      <w:snapToGrid w:val="0"/>
      <w:jc w:val="left"/>
    </w:pPr>
    <w:rPr>
      <w:kern w:val="0"/>
      <w:sz w:val="18"/>
      <w:szCs w:val="18"/>
      <w:lang w:val="zh-CN" w:eastAsia="zh-CN"/>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basedOn w:val="14"/>
    <w:unhideWhenUsed/>
    <w:qFormat/>
    <w:uiPriority w:val="99"/>
    <w:rPr>
      <w:color w:val="0563C1"/>
      <w:u w:val="single"/>
    </w:r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8"/>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eastAsia="zh-CN"/>
    </w:rPr>
  </w:style>
  <w:style w:type="character" w:customStyle="1" w:styleId="21">
    <w:name w:val="正文文本缩进 字符"/>
    <w:link w:val="7"/>
    <w:qFormat/>
    <w:uiPriority w:val="99"/>
    <w:rPr>
      <w:rFonts w:ascii="仿宋_GB2312" w:hAnsi="Times New Roman" w:eastAsia="仿宋_GB2312" w:cs="Times New Roman"/>
      <w:sz w:val="32"/>
      <w:szCs w:val="20"/>
    </w:rPr>
  </w:style>
  <w:style w:type="character" w:customStyle="1" w:styleId="22">
    <w:name w:val="页眉 字符"/>
    <w:link w:val="11"/>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eastAsia="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9"/>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10"/>
    <w:qFormat/>
    <w:uiPriority w:val="99"/>
    <w:rPr>
      <w:sz w:val="18"/>
      <w:szCs w:val="18"/>
    </w:rPr>
  </w:style>
  <w:style w:type="character" w:customStyle="1" w:styleId="29">
    <w:name w:val="标题 3 字符"/>
    <w:link w:val="5"/>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6"/>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2"/>
    <w:qFormat/>
    <w:uiPriority w:val="9"/>
    <w:rPr>
      <w:b/>
      <w:bCs/>
      <w:kern w:val="44"/>
      <w:sz w:val="44"/>
      <w:szCs w:val="44"/>
    </w:rPr>
  </w:style>
  <w:style w:type="character" w:customStyle="1" w:styleId="36">
    <w:name w:val="Unresolved Mention"/>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3"/>
    <w:semiHidden/>
    <w:qFormat/>
    <w:uiPriority w:val="9"/>
    <w:rPr>
      <w:rFonts w:ascii="等线 Light" w:hAnsi="等线 Light" w:eastAsia="等线 Light" w:cs="Times New Roman"/>
      <w:b/>
      <w:bCs/>
      <w:kern w:val="2"/>
      <w:sz w:val="32"/>
      <w:szCs w:val="32"/>
    </w:rPr>
  </w:style>
  <w:style w:type="table" w:customStyle="1" w:styleId="39">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5728</Words>
  <Characters>5978</Characters>
  <Lines>60</Lines>
  <Paragraphs>17</Paragraphs>
  <TotalTime>11</TotalTime>
  <ScaleCrop>false</ScaleCrop>
  <LinksUpToDate>false</LinksUpToDate>
  <CharactersWithSpaces>7199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Lenovo</cp:lastModifiedBy>
  <cp:lastPrinted>2024-07-09T09:44:00Z</cp:lastPrinted>
  <dcterms:modified xsi:type="dcterms:W3CDTF">2024-07-23T09:28:33Z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18C8EB5519F04A679BBF4EE413DE5107_13</vt:lpwstr>
  </property>
</Properties>
</file>