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方正小标宋简体" w:hAnsi="宋体" w:eastAsia="方正小标宋简体"/>
          <w:b/>
          <w:bCs/>
          <w:kern w:val="0"/>
          <w:sz w:val="52"/>
          <w:szCs w:val="52"/>
        </w:rPr>
      </w:pPr>
      <w:r>
        <w:rPr>
          <w:rFonts w:hint="eastAsia"/>
          <w:lang w:val="en-US" w:eastAsia="zh-CN"/>
        </w:rPr>
        <w:t xml:space="preserve">    </w:t>
      </w:r>
      <w:r>
        <w:rPr>
          <w:rFonts w:hint="eastAsia" w:ascii="方正小标宋简体" w:hAnsi="宋体" w:eastAsia="方正小标宋简体"/>
          <w:b/>
          <w:bCs/>
          <w:kern w:val="0"/>
          <w:sz w:val="52"/>
          <w:szCs w:val="52"/>
        </w:rPr>
        <w:t>茂名市人民医院</w:t>
      </w:r>
      <w:r>
        <w:rPr>
          <w:rFonts w:hint="eastAsia" w:ascii="方正小标宋简体" w:hAnsi="宋体" w:eastAsia="方正小标宋简体"/>
          <w:b/>
          <w:bCs/>
          <w:kern w:val="0"/>
          <w:sz w:val="52"/>
          <w:szCs w:val="52"/>
          <w:lang w:val="en-US" w:eastAsia="zh-CN"/>
        </w:rPr>
        <w:t>医疗设备</w:t>
      </w:r>
      <w:r>
        <w:rPr>
          <w:rFonts w:hint="eastAsia" w:ascii="方正小标宋简体" w:hAnsi="宋体" w:eastAsia="方正小标宋简体"/>
          <w:b/>
          <w:bCs/>
          <w:kern w:val="0"/>
          <w:sz w:val="52"/>
          <w:szCs w:val="52"/>
        </w:rPr>
        <w:t>采购项目</w:t>
      </w:r>
    </w:p>
    <w:p>
      <w:pPr>
        <w:adjustRightInd w:val="0"/>
        <w:snapToGrid w:val="0"/>
        <w:spacing w:line="360" w:lineRule="auto"/>
        <w:jc w:val="center"/>
        <w:rPr>
          <w:rFonts w:ascii="仿宋_GB2312" w:hAnsi="宋体" w:eastAsia="仿宋_GB2312"/>
          <w:b/>
          <w:bCs/>
          <w:spacing w:val="20"/>
          <w:sz w:val="52"/>
          <w:szCs w:val="52"/>
        </w:rPr>
      </w:pPr>
    </w:p>
    <w:p>
      <w:pPr>
        <w:adjustRightInd w:val="0"/>
        <w:snapToGrid w:val="0"/>
        <w:spacing w:line="360" w:lineRule="auto"/>
        <w:jc w:val="center"/>
        <w:rPr>
          <w:rFonts w:hint="default"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需</w:t>
      </w:r>
    </w:p>
    <w:p>
      <w:pPr>
        <w:adjustRightInd w:val="0"/>
        <w:snapToGrid w:val="0"/>
        <w:spacing w:line="360" w:lineRule="auto"/>
        <w:jc w:val="center"/>
        <w:rPr>
          <w:rFonts w:hint="default"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求</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4"/>
        <w:tabs>
          <w:tab w:val="left" w:pos="1260"/>
        </w:tabs>
        <w:spacing w:line="680" w:lineRule="auto"/>
        <w:ind w:firstLine="0" w:firstLineChars="0"/>
        <w:jc w:val="center"/>
        <w:rPr>
          <w:rFonts w:ascii="仿宋" w:hAnsi="仿宋" w:eastAsia="仿宋" w:cs="仿宋"/>
          <w:b/>
          <w:w w:val="110"/>
          <w:kern w:val="0"/>
          <w:sz w:val="36"/>
          <w:szCs w:val="36"/>
        </w:rPr>
      </w:pPr>
      <w:r>
        <w:rPr>
          <w:rFonts w:hint="eastAsia" w:ascii="仿宋" w:hAnsi="仿宋" w:eastAsia="仿宋" w:cs="仿宋"/>
          <w:b/>
          <w:w w:val="110"/>
          <w:kern w:val="0"/>
          <w:sz w:val="36"/>
          <w:szCs w:val="36"/>
        </w:rPr>
        <w:t>20</w:t>
      </w:r>
      <w:r>
        <w:rPr>
          <w:rFonts w:hint="eastAsia" w:ascii="仿宋" w:hAnsi="仿宋" w:eastAsia="仿宋" w:cs="仿宋"/>
          <w:b/>
          <w:w w:val="110"/>
          <w:kern w:val="0"/>
          <w:sz w:val="36"/>
          <w:szCs w:val="36"/>
          <w:lang w:val="en-US" w:eastAsia="zh-CN"/>
        </w:rPr>
        <w:t>24</w:t>
      </w:r>
      <w:r>
        <w:rPr>
          <w:rFonts w:hint="eastAsia" w:ascii="仿宋" w:hAnsi="仿宋" w:eastAsia="仿宋" w:cs="仿宋"/>
          <w:b/>
          <w:w w:val="110"/>
          <w:kern w:val="0"/>
          <w:sz w:val="36"/>
          <w:szCs w:val="36"/>
        </w:rPr>
        <w:t>年</w:t>
      </w:r>
      <w:r>
        <w:rPr>
          <w:rFonts w:hint="eastAsia" w:ascii="仿宋" w:hAnsi="仿宋" w:eastAsia="仿宋" w:cs="仿宋"/>
          <w:b/>
          <w:w w:val="110"/>
          <w:kern w:val="0"/>
          <w:sz w:val="36"/>
          <w:szCs w:val="36"/>
          <w:lang w:val="en-US" w:eastAsia="zh-CN"/>
        </w:rPr>
        <w:t>2</w:t>
      </w:r>
      <w:r>
        <w:rPr>
          <w:rFonts w:hint="eastAsia" w:ascii="仿宋" w:hAnsi="仿宋" w:eastAsia="仿宋" w:cs="仿宋"/>
          <w:b/>
          <w:w w:val="110"/>
          <w:kern w:val="0"/>
          <w:sz w:val="36"/>
          <w:szCs w:val="36"/>
        </w:rPr>
        <w:t>月</w:t>
      </w:r>
    </w:p>
    <w:p>
      <w:pPr>
        <w:rPr>
          <w:rFonts w:hint="default" w:eastAsiaTheme="minorEastAsia"/>
          <w:lang w:val="en-US" w:eastAsia="zh-CN"/>
        </w:rPr>
      </w:pPr>
    </w:p>
    <w:p>
      <w:r>
        <w:t xml:space="preserve"> </w:t>
      </w:r>
    </w:p>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b/>
          <w:sz w:val="36"/>
        </w:rPr>
      </w:pPr>
    </w:p>
    <w:p>
      <w:pPr>
        <w:jc w:val="center"/>
        <w:rPr>
          <w:rFonts w:hint="eastAsia" w:eastAsiaTheme="minorEastAsia"/>
          <w:lang w:val="en-US" w:eastAsia="zh-CN"/>
        </w:rPr>
      </w:pPr>
      <w:r>
        <w:rPr>
          <w:b/>
          <w:sz w:val="36"/>
        </w:rPr>
        <w:t>第一章邀请</w:t>
      </w:r>
      <w:r>
        <w:rPr>
          <w:rFonts w:hint="eastAsia"/>
          <w:b/>
          <w:sz w:val="36"/>
          <w:lang w:val="en-US" w:eastAsia="zh-CN"/>
        </w:rPr>
        <w:t>函</w:t>
      </w:r>
    </w:p>
    <w:p>
      <w:pPr>
        <w:ind w:firstLine="480"/>
      </w:pPr>
      <w:r>
        <w:rPr>
          <w:rFonts w:hint="eastAsia"/>
        </w:rPr>
        <w:t>我院拟采购</w:t>
      </w:r>
      <w:r>
        <w:rPr>
          <w:rFonts w:hint="eastAsia"/>
          <w:lang w:val="en-US" w:eastAsia="zh-CN"/>
        </w:rPr>
        <w:t>一批万元以下小型医疗器械</w:t>
      </w:r>
      <w:r>
        <w:rPr>
          <w:rFonts w:hint="eastAsia"/>
        </w:rPr>
        <w:t>，对外发布信息公告，征集相关产品公告，请有意向销售的公司备齐证件，把相关资料交到指定地点。</w:t>
      </w:r>
    </w:p>
    <w:p>
      <w:pPr>
        <w:ind w:firstLine="562" w:firstLineChars="200"/>
      </w:pPr>
      <w:r>
        <w:rPr>
          <w:b/>
          <w:sz w:val="28"/>
        </w:rPr>
        <w:t>一.项目概述</w:t>
      </w:r>
    </w:p>
    <w:p>
      <w:pPr>
        <w:ind w:firstLine="420" w:firstLineChars="200"/>
      </w:pPr>
      <w:r>
        <w:rPr>
          <w:rFonts w:hint="eastAsia"/>
          <w:lang w:val="en-US" w:eastAsia="zh-CN"/>
        </w:rPr>
        <w:t>1.</w:t>
      </w:r>
      <w:r>
        <w:t>项目名称：</w:t>
      </w:r>
      <w:r>
        <w:rPr>
          <w:rFonts w:hint="eastAsia"/>
        </w:rPr>
        <w:t>茂名市人民医院</w:t>
      </w:r>
      <w:r>
        <w:rPr>
          <w:rFonts w:hint="eastAsia"/>
          <w:lang w:val="en-US" w:eastAsia="zh-CN"/>
        </w:rPr>
        <w:t>医疗设备</w:t>
      </w:r>
      <w:r>
        <w:rPr>
          <w:rFonts w:hint="eastAsia"/>
        </w:rPr>
        <w:t>采购项目</w:t>
      </w:r>
    </w:p>
    <w:p>
      <w:pPr>
        <w:ind w:firstLine="420" w:firstLineChars="200"/>
      </w:pPr>
      <w:r>
        <w:rPr>
          <w:rFonts w:hint="eastAsia"/>
          <w:lang w:val="en-US" w:eastAsia="zh-CN"/>
        </w:rPr>
        <w:t>2.</w:t>
      </w:r>
      <w:r>
        <w:t>项目内容及需求： (采购项目技术要求)</w:t>
      </w:r>
    </w:p>
    <w:p>
      <w:pPr>
        <w:ind w:firstLine="420" w:firstLineChars="200"/>
      </w:pPr>
      <w:r>
        <w:rPr>
          <w:rFonts w:hint="eastAsia"/>
          <w:lang w:val="en-US" w:eastAsia="zh-CN"/>
        </w:rPr>
        <w:t>2.1</w:t>
      </w:r>
      <w:r>
        <w:t>内容：具体要求详见</w:t>
      </w:r>
      <w:r>
        <w:rPr>
          <w:rFonts w:hint="eastAsia"/>
          <w:lang w:val="en-US" w:eastAsia="zh-CN"/>
        </w:rPr>
        <w:t>第二章采购</w:t>
      </w:r>
      <w:r>
        <w:t>需求；</w:t>
      </w:r>
    </w:p>
    <w:p>
      <w:pPr>
        <w:ind w:firstLine="420" w:firstLineChars="200"/>
        <w:rPr>
          <w:rFonts w:hint="eastAsia"/>
          <w:lang w:eastAsia="zh-CN"/>
        </w:rPr>
      </w:pPr>
      <w:r>
        <w:rPr>
          <w:rFonts w:hint="eastAsia"/>
          <w:lang w:val="en-US" w:eastAsia="zh-CN"/>
        </w:rPr>
        <w:t>2.2</w:t>
      </w:r>
      <w:r>
        <w:rPr>
          <w:rFonts w:hint="eastAsia"/>
        </w:rPr>
        <w:t>供货</w:t>
      </w:r>
      <w:r>
        <w:t>期限：</w:t>
      </w:r>
      <w:r>
        <w:rPr>
          <w:rFonts w:hint="eastAsia"/>
        </w:rPr>
        <w:t>双方签订合同后之日起</w:t>
      </w:r>
      <w:r>
        <w:rPr>
          <w:rFonts w:hint="eastAsia"/>
          <w:lang w:val="en-US" w:eastAsia="zh-CN"/>
        </w:rPr>
        <w:t>三</w:t>
      </w:r>
      <w:r>
        <w:rPr>
          <w:rFonts w:hint="eastAsia"/>
        </w:rPr>
        <w:t>年。合同履行期限自合同签订之日起累计结算服务总金额达到本采购包预算金额，以先发生者为准</w:t>
      </w:r>
      <w:r>
        <w:rPr>
          <w:rFonts w:hint="eastAsia"/>
          <w:lang w:eastAsia="zh-CN"/>
        </w:rPr>
        <w:t>；</w:t>
      </w:r>
    </w:p>
    <w:p>
      <w:pPr>
        <w:numPr>
          <w:ilvl w:val="0"/>
          <w:numId w:val="0"/>
        </w:numPr>
        <w:ind w:firstLine="420" w:firstLineChars="200"/>
      </w:pPr>
      <w:r>
        <w:rPr>
          <w:rFonts w:hint="eastAsia"/>
          <w:lang w:val="en-US" w:eastAsia="zh-CN"/>
        </w:rPr>
        <w:t>3.</w:t>
      </w:r>
      <w:r>
        <w:t>服务地点：</w:t>
      </w:r>
      <w:r>
        <w:rPr>
          <w:rFonts w:hint="eastAsia"/>
        </w:rPr>
        <w:t>茂名市人民</w:t>
      </w:r>
      <w:r>
        <w:t>医院指定地点；</w:t>
      </w:r>
    </w:p>
    <w:p>
      <w:pPr>
        <w:numPr>
          <w:ilvl w:val="0"/>
          <w:numId w:val="0"/>
        </w:numPr>
        <w:ind w:firstLine="482" w:firstLineChars="200"/>
      </w:pPr>
      <w:r>
        <w:rPr>
          <w:rFonts w:hint="eastAsia"/>
          <w:b/>
          <w:sz w:val="24"/>
          <w:lang w:val="en-US" w:eastAsia="zh-CN"/>
        </w:rPr>
        <w:t>4.</w:t>
      </w:r>
      <w:r>
        <w:rPr>
          <w:b/>
          <w:sz w:val="24"/>
        </w:rPr>
        <w:t>项目内容及需求情况（采购项目技术规格、参数及要求）</w:t>
      </w:r>
    </w:p>
    <w:p/>
    <w:tbl>
      <w:tblPr>
        <w:tblStyle w:val="6"/>
        <w:tblW w:w="877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63"/>
        <w:gridCol w:w="2028"/>
        <w:gridCol w:w="1260"/>
        <w:gridCol w:w="1560"/>
        <w:gridCol w:w="1524"/>
        <w:gridCol w:w="164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1" w:hRule="atLeast"/>
        </w:trPr>
        <w:tc>
          <w:tcPr>
            <w:tcW w:w="763" w:type="dxa"/>
            <w:vAlign w:val="center"/>
          </w:tcPr>
          <w:p>
            <w:pPr>
              <w:jc w:val="center"/>
            </w:pPr>
            <w:r>
              <w:rPr>
                <w:rFonts w:hint="eastAsia"/>
                <w:lang w:val="en-US" w:eastAsia="zh-CN"/>
              </w:rPr>
              <w:t>包</w:t>
            </w:r>
            <w:r>
              <w:t>号</w:t>
            </w:r>
          </w:p>
        </w:tc>
        <w:tc>
          <w:tcPr>
            <w:tcW w:w="2028" w:type="dxa"/>
            <w:vAlign w:val="center"/>
          </w:tcPr>
          <w:p>
            <w:pPr>
              <w:jc w:val="center"/>
            </w:pPr>
            <w:r>
              <w:t>采购标的</w:t>
            </w:r>
          </w:p>
        </w:tc>
        <w:tc>
          <w:tcPr>
            <w:tcW w:w="1260" w:type="dxa"/>
            <w:vAlign w:val="center"/>
          </w:tcPr>
          <w:p>
            <w:pPr>
              <w:jc w:val="center"/>
            </w:pPr>
            <w:r>
              <w:t>数量（单位）</w:t>
            </w:r>
          </w:p>
        </w:tc>
        <w:tc>
          <w:tcPr>
            <w:tcW w:w="1560" w:type="dxa"/>
            <w:vAlign w:val="center"/>
          </w:tcPr>
          <w:p>
            <w:pPr>
              <w:jc w:val="center"/>
            </w:pPr>
            <w:r>
              <w:rPr>
                <w:rFonts w:hint="eastAsia"/>
                <w:lang w:val="en-US" w:eastAsia="zh-CN"/>
              </w:rPr>
              <w:t>具体清单、</w:t>
            </w:r>
            <w:r>
              <w:t>技术规格、参数及要求</w:t>
            </w:r>
          </w:p>
        </w:tc>
        <w:tc>
          <w:tcPr>
            <w:tcW w:w="1524" w:type="dxa"/>
            <w:vAlign w:val="center"/>
          </w:tcPr>
          <w:p>
            <w:pPr>
              <w:jc w:val="center"/>
            </w:pPr>
            <w:r>
              <w:rPr>
                <w:rFonts w:hint="eastAsia"/>
                <w:lang w:val="en-US" w:eastAsia="zh-CN"/>
              </w:rPr>
              <w:t>年</w:t>
            </w:r>
            <w:r>
              <w:t>品目预算(元)</w:t>
            </w:r>
          </w:p>
        </w:tc>
        <w:tc>
          <w:tcPr>
            <w:tcW w:w="1644" w:type="dxa"/>
            <w:vAlign w:val="center"/>
          </w:tcPr>
          <w:p>
            <w:pPr>
              <w:jc w:val="center"/>
            </w:pPr>
            <w:r>
              <w:rPr>
                <w:rFonts w:hint="eastAsia"/>
                <w:lang w:val="en-US" w:eastAsia="zh-CN"/>
              </w:rPr>
              <w:t>三年</w:t>
            </w:r>
            <w:r>
              <w:t>品目</w:t>
            </w:r>
            <w:r>
              <w:rPr>
                <w:rFonts w:hint="eastAsia"/>
                <w:lang w:val="en-US" w:eastAsia="zh-CN"/>
              </w:rPr>
              <w:t>总</w:t>
            </w:r>
            <w:r>
              <w:t>预算(元)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8" w:hRule="atLeast"/>
        </w:trPr>
        <w:tc>
          <w:tcPr>
            <w:tcW w:w="763" w:type="dxa"/>
            <w:vAlign w:val="center"/>
          </w:tcPr>
          <w:p>
            <w:pPr>
              <w:jc w:val="center"/>
              <w:rPr>
                <w:rFonts w:hint="eastAsia" w:eastAsiaTheme="minorEastAsia"/>
                <w:lang w:val="en-US" w:eastAsia="zh-CN"/>
              </w:rPr>
            </w:pPr>
            <w:r>
              <w:rPr>
                <w:rFonts w:hint="eastAsia"/>
                <w:lang w:val="en-US" w:eastAsia="zh-CN"/>
              </w:rPr>
              <w:t>1</w:t>
            </w:r>
          </w:p>
        </w:tc>
        <w:tc>
          <w:tcPr>
            <w:tcW w:w="2028" w:type="dxa"/>
            <w:vAlign w:val="center"/>
          </w:tcPr>
          <w:p>
            <w:pPr>
              <w:jc w:val="center"/>
            </w:pPr>
            <w:r>
              <w:rPr>
                <w:rFonts w:hint="eastAsia"/>
                <w:lang w:val="en-US" w:eastAsia="zh-CN"/>
              </w:rPr>
              <w:t>万元以下</w:t>
            </w:r>
            <w:r>
              <w:rPr>
                <w:rFonts w:hint="eastAsia"/>
              </w:rPr>
              <w:t>手术类小型设备器械</w:t>
            </w:r>
          </w:p>
        </w:tc>
        <w:tc>
          <w:tcPr>
            <w:tcW w:w="1260" w:type="dxa"/>
            <w:vAlign w:val="center"/>
          </w:tcPr>
          <w:p>
            <w:pPr>
              <w:jc w:val="center"/>
            </w:pPr>
            <w:r>
              <w:t>1.00(</w:t>
            </w:r>
            <w:r>
              <w:rPr>
                <w:rFonts w:hint="eastAsia"/>
                <w:lang w:val="en-US" w:eastAsia="zh-CN"/>
              </w:rPr>
              <w:t>批</w:t>
            </w:r>
            <w:r>
              <w:t>)</w:t>
            </w:r>
          </w:p>
        </w:tc>
        <w:tc>
          <w:tcPr>
            <w:tcW w:w="1560" w:type="dxa"/>
            <w:vAlign w:val="center"/>
          </w:tcPr>
          <w:p>
            <w:pPr>
              <w:jc w:val="center"/>
            </w:pPr>
            <w:r>
              <w:t>详见第二章</w:t>
            </w:r>
          </w:p>
        </w:tc>
        <w:tc>
          <w:tcPr>
            <w:tcW w:w="1524" w:type="dxa"/>
            <w:vAlign w:val="center"/>
          </w:tcPr>
          <w:p>
            <w:pPr>
              <w:jc w:val="center"/>
            </w:pPr>
            <w:r>
              <w:t>1,400,000.00</w:t>
            </w:r>
          </w:p>
        </w:tc>
        <w:tc>
          <w:tcPr>
            <w:tcW w:w="1644" w:type="dxa"/>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4</w:t>
            </w:r>
            <w:r>
              <w:t>,</w:t>
            </w:r>
            <w:r>
              <w:rPr>
                <w:rFonts w:hint="eastAsia"/>
                <w:lang w:val="en-US" w:eastAsia="zh-CN"/>
              </w:rPr>
              <w:t>2</w:t>
            </w:r>
            <w:r>
              <w:t>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8" w:hRule="atLeast"/>
        </w:trPr>
        <w:tc>
          <w:tcPr>
            <w:tcW w:w="763" w:type="dxa"/>
            <w:vAlign w:val="center"/>
          </w:tcPr>
          <w:p>
            <w:pPr>
              <w:jc w:val="center"/>
              <w:rPr>
                <w:rFonts w:hint="default"/>
                <w:lang w:val="en-US" w:eastAsia="zh-CN"/>
              </w:rPr>
            </w:pPr>
            <w:r>
              <w:rPr>
                <w:rFonts w:hint="eastAsia"/>
                <w:lang w:val="en-US" w:eastAsia="zh-CN"/>
              </w:rPr>
              <w:t>2</w:t>
            </w:r>
          </w:p>
        </w:tc>
        <w:tc>
          <w:tcPr>
            <w:tcW w:w="2028" w:type="dxa"/>
            <w:vAlign w:val="center"/>
          </w:tcPr>
          <w:p>
            <w:pPr>
              <w:jc w:val="center"/>
              <w:rPr>
                <w:rFonts w:hint="default" w:eastAsiaTheme="minorEastAsia"/>
                <w:lang w:val="en-US" w:eastAsia="zh-CN"/>
              </w:rPr>
            </w:pPr>
            <w:r>
              <w:rPr>
                <w:rFonts w:hint="eastAsia"/>
                <w:lang w:val="en-US" w:eastAsia="zh-CN"/>
              </w:rPr>
              <w:t>万元以下放射类设备</w:t>
            </w:r>
          </w:p>
        </w:tc>
        <w:tc>
          <w:tcPr>
            <w:tcW w:w="1260" w:type="dxa"/>
            <w:vAlign w:val="center"/>
          </w:tcPr>
          <w:p>
            <w:pPr>
              <w:jc w:val="center"/>
            </w:pPr>
            <w:r>
              <w:t>1.00(</w:t>
            </w:r>
            <w:r>
              <w:rPr>
                <w:rFonts w:hint="eastAsia"/>
                <w:lang w:val="en-US" w:eastAsia="zh-CN"/>
              </w:rPr>
              <w:t>批</w:t>
            </w:r>
            <w:r>
              <w:t>)</w:t>
            </w:r>
          </w:p>
        </w:tc>
        <w:tc>
          <w:tcPr>
            <w:tcW w:w="1560" w:type="dxa"/>
            <w:vAlign w:val="center"/>
          </w:tcPr>
          <w:p>
            <w:pPr>
              <w:jc w:val="center"/>
            </w:pPr>
            <w:r>
              <w:t>详见第二章</w:t>
            </w:r>
          </w:p>
        </w:tc>
        <w:tc>
          <w:tcPr>
            <w:tcW w:w="1524" w:type="dxa"/>
            <w:vAlign w:val="center"/>
          </w:tcPr>
          <w:p>
            <w:pPr>
              <w:jc w:val="center"/>
            </w:pPr>
            <w:r>
              <w:rPr>
                <w:rFonts w:hint="eastAsia"/>
                <w:lang w:val="en-US" w:eastAsia="zh-CN"/>
              </w:rPr>
              <w:t>55</w:t>
            </w:r>
            <w:r>
              <w:t>0,000.00</w:t>
            </w:r>
          </w:p>
        </w:tc>
        <w:tc>
          <w:tcPr>
            <w:tcW w:w="1644" w:type="dxa"/>
            <w:vAlign w:val="center"/>
          </w:tcPr>
          <w:p>
            <w:pPr>
              <w:jc w:val="center"/>
              <w:rPr>
                <w:rFonts w:asciiTheme="minorHAnsi" w:hAnsiTheme="minorHAnsi" w:eastAsiaTheme="minorEastAsia" w:cstheme="minorBidi"/>
                <w:kern w:val="2"/>
                <w:sz w:val="21"/>
                <w:szCs w:val="24"/>
                <w:lang w:val="en-US" w:eastAsia="zh-CN" w:bidi="ar-SA"/>
              </w:rPr>
            </w:pPr>
            <w:r>
              <w:t>1,</w:t>
            </w:r>
            <w:r>
              <w:rPr>
                <w:rFonts w:hint="eastAsia"/>
                <w:lang w:val="en-US" w:eastAsia="zh-CN"/>
              </w:rPr>
              <w:t>65</w:t>
            </w:r>
            <w:r>
              <w:t>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8" w:hRule="atLeast"/>
        </w:trPr>
        <w:tc>
          <w:tcPr>
            <w:tcW w:w="763" w:type="dxa"/>
            <w:vAlign w:val="center"/>
          </w:tcPr>
          <w:p>
            <w:pPr>
              <w:jc w:val="center"/>
              <w:rPr>
                <w:rFonts w:hint="default"/>
                <w:lang w:val="en-US" w:eastAsia="zh-CN"/>
              </w:rPr>
            </w:pPr>
            <w:r>
              <w:rPr>
                <w:rFonts w:hint="eastAsia"/>
                <w:lang w:val="en-US" w:eastAsia="zh-CN"/>
              </w:rPr>
              <w:t>3</w:t>
            </w:r>
          </w:p>
        </w:tc>
        <w:tc>
          <w:tcPr>
            <w:tcW w:w="2028" w:type="dxa"/>
            <w:vAlign w:val="center"/>
          </w:tcPr>
          <w:p>
            <w:pPr>
              <w:jc w:val="center"/>
              <w:rPr>
                <w:rFonts w:hint="default" w:eastAsiaTheme="minorEastAsia"/>
                <w:lang w:val="en-US" w:eastAsia="zh-CN"/>
              </w:rPr>
            </w:pPr>
            <w:r>
              <w:rPr>
                <w:rFonts w:hint="eastAsia"/>
                <w:lang w:val="en-US" w:eastAsia="zh-CN"/>
              </w:rPr>
              <w:t>万元以下其它类小型设备器械</w:t>
            </w:r>
          </w:p>
        </w:tc>
        <w:tc>
          <w:tcPr>
            <w:tcW w:w="1260" w:type="dxa"/>
            <w:vAlign w:val="center"/>
          </w:tcPr>
          <w:p>
            <w:pPr>
              <w:jc w:val="center"/>
            </w:pPr>
            <w:r>
              <w:t>1.00(</w:t>
            </w:r>
            <w:r>
              <w:rPr>
                <w:rFonts w:hint="eastAsia"/>
                <w:lang w:val="en-US" w:eastAsia="zh-CN"/>
              </w:rPr>
              <w:t>批</w:t>
            </w:r>
            <w:r>
              <w:t>)</w:t>
            </w:r>
          </w:p>
        </w:tc>
        <w:tc>
          <w:tcPr>
            <w:tcW w:w="1560" w:type="dxa"/>
            <w:vAlign w:val="center"/>
          </w:tcPr>
          <w:p>
            <w:pPr>
              <w:jc w:val="center"/>
            </w:pPr>
            <w:r>
              <w:t>详见第二章</w:t>
            </w:r>
          </w:p>
        </w:tc>
        <w:tc>
          <w:tcPr>
            <w:tcW w:w="1524" w:type="dxa"/>
            <w:vAlign w:val="center"/>
          </w:tcPr>
          <w:p>
            <w:pPr>
              <w:jc w:val="center"/>
            </w:pPr>
            <w:r>
              <w:t>1,</w:t>
            </w:r>
            <w:r>
              <w:rPr>
                <w:rFonts w:hint="eastAsia"/>
                <w:lang w:val="en-US" w:eastAsia="zh-CN"/>
              </w:rPr>
              <w:t>9</w:t>
            </w:r>
            <w:r>
              <w:t>00,000.00</w:t>
            </w:r>
          </w:p>
        </w:tc>
        <w:tc>
          <w:tcPr>
            <w:tcW w:w="1644" w:type="dxa"/>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5</w:t>
            </w:r>
            <w:r>
              <w:t>,</w:t>
            </w:r>
            <w:r>
              <w:rPr>
                <w:rFonts w:hint="eastAsia"/>
                <w:lang w:val="en-US" w:eastAsia="zh-CN"/>
              </w:rPr>
              <w:t>7</w:t>
            </w:r>
            <w:r>
              <w:t>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8" w:hRule="atLeast"/>
        </w:trPr>
        <w:tc>
          <w:tcPr>
            <w:tcW w:w="763" w:type="dxa"/>
            <w:vAlign w:val="center"/>
          </w:tcPr>
          <w:p>
            <w:pPr>
              <w:jc w:val="center"/>
              <w:rPr>
                <w:rFonts w:hint="default"/>
                <w:lang w:val="en-US" w:eastAsia="zh-CN"/>
              </w:rPr>
            </w:pPr>
            <w:r>
              <w:rPr>
                <w:rFonts w:hint="eastAsia"/>
                <w:lang w:val="en-US" w:eastAsia="zh-CN"/>
              </w:rPr>
              <w:t>4</w:t>
            </w:r>
          </w:p>
        </w:tc>
        <w:tc>
          <w:tcPr>
            <w:tcW w:w="2028" w:type="dxa"/>
            <w:vAlign w:val="center"/>
          </w:tcPr>
          <w:p>
            <w:pPr>
              <w:jc w:val="center"/>
              <w:rPr>
                <w:rFonts w:hint="default" w:eastAsiaTheme="minorEastAsia"/>
                <w:lang w:val="en-US" w:eastAsia="zh-CN"/>
              </w:rPr>
            </w:pPr>
            <w:r>
              <w:rPr>
                <w:rFonts w:hint="eastAsia"/>
                <w:lang w:val="en-US" w:eastAsia="zh-CN"/>
              </w:rPr>
              <w:t>万元以下检验及低温类设备</w:t>
            </w:r>
          </w:p>
        </w:tc>
        <w:tc>
          <w:tcPr>
            <w:tcW w:w="1260" w:type="dxa"/>
            <w:vAlign w:val="center"/>
          </w:tcPr>
          <w:p>
            <w:pPr>
              <w:jc w:val="center"/>
            </w:pPr>
            <w:r>
              <w:t>1.00(</w:t>
            </w:r>
            <w:r>
              <w:rPr>
                <w:rFonts w:hint="eastAsia"/>
                <w:lang w:val="en-US" w:eastAsia="zh-CN"/>
              </w:rPr>
              <w:t>批</w:t>
            </w:r>
            <w:r>
              <w:t>)</w:t>
            </w:r>
          </w:p>
        </w:tc>
        <w:tc>
          <w:tcPr>
            <w:tcW w:w="1560" w:type="dxa"/>
            <w:vAlign w:val="center"/>
          </w:tcPr>
          <w:p>
            <w:pPr>
              <w:jc w:val="center"/>
            </w:pPr>
            <w:r>
              <w:t>详见第二章</w:t>
            </w:r>
          </w:p>
        </w:tc>
        <w:tc>
          <w:tcPr>
            <w:tcW w:w="1524" w:type="dxa"/>
            <w:vAlign w:val="center"/>
          </w:tcPr>
          <w:p>
            <w:pPr>
              <w:jc w:val="center"/>
            </w:pPr>
            <w:r>
              <w:rPr>
                <w:rFonts w:hint="eastAsia"/>
                <w:lang w:val="en-US" w:eastAsia="zh-CN"/>
              </w:rPr>
              <w:t>35</w:t>
            </w:r>
            <w:r>
              <w:t>0,000.00</w:t>
            </w:r>
          </w:p>
        </w:tc>
        <w:tc>
          <w:tcPr>
            <w:tcW w:w="1644" w:type="dxa"/>
            <w:vAlign w:val="center"/>
          </w:tcPr>
          <w:p>
            <w:pPr>
              <w:jc w:val="center"/>
              <w:rPr>
                <w:rFonts w:asciiTheme="minorHAnsi" w:hAnsiTheme="minorHAnsi" w:eastAsiaTheme="minorEastAsia" w:cstheme="minorBidi"/>
                <w:kern w:val="2"/>
                <w:sz w:val="21"/>
                <w:szCs w:val="24"/>
                <w:lang w:val="en-US" w:eastAsia="zh-CN" w:bidi="ar-SA"/>
              </w:rPr>
            </w:pPr>
            <w:r>
              <w:t>1,</w:t>
            </w:r>
            <w:r>
              <w:rPr>
                <w:rFonts w:hint="eastAsia"/>
                <w:lang w:val="en-US" w:eastAsia="zh-CN"/>
              </w:rPr>
              <w:t>05</w:t>
            </w:r>
            <w:r>
              <w:t>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8" w:hRule="atLeast"/>
        </w:trPr>
        <w:tc>
          <w:tcPr>
            <w:tcW w:w="763" w:type="dxa"/>
            <w:vAlign w:val="center"/>
          </w:tcPr>
          <w:p>
            <w:pPr>
              <w:jc w:val="center"/>
              <w:rPr>
                <w:rFonts w:hint="default"/>
                <w:lang w:val="en-US" w:eastAsia="zh-CN"/>
              </w:rPr>
            </w:pPr>
            <w:r>
              <w:rPr>
                <w:rFonts w:hint="eastAsia"/>
                <w:lang w:val="en-US" w:eastAsia="zh-CN"/>
              </w:rPr>
              <w:t>5</w:t>
            </w:r>
          </w:p>
        </w:tc>
        <w:tc>
          <w:tcPr>
            <w:tcW w:w="2028" w:type="dxa"/>
            <w:vAlign w:val="center"/>
          </w:tcPr>
          <w:p>
            <w:pPr>
              <w:jc w:val="center"/>
              <w:rPr>
                <w:rFonts w:hint="default" w:eastAsiaTheme="minorEastAsia"/>
                <w:lang w:val="en-US" w:eastAsia="zh-CN"/>
              </w:rPr>
            </w:pPr>
            <w:r>
              <w:rPr>
                <w:rFonts w:hint="eastAsia"/>
                <w:lang w:val="en-US" w:eastAsia="zh-CN"/>
              </w:rPr>
              <w:t>万元以下康复类设备</w:t>
            </w:r>
          </w:p>
        </w:tc>
        <w:tc>
          <w:tcPr>
            <w:tcW w:w="1260" w:type="dxa"/>
            <w:vAlign w:val="center"/>
          </w:tcPr>
          <w:p>
            <w:pPr>
              <w:jc w:val="center"/>
            </w:pPr>
            <w:r>
              <w:t>1.00(</w:t>
            </w:r>
            <w:r>
              <w:rPr>
                <w:rFonts w:hint="eastAsia"/>
                <w:lang w:val="en-US" w:eastAsia="zh-CN"/>
              </w:rPr>
              <w:t>批</w:t>
            </w:r>
            <w:r>
              <w:t>)</w:t>
            </w:r>
          </w:p>
        </w:tc>
        <w:tc>
          <w:tcPr>
            <w:tcW w:w="1560" w:type="dxa"/>
            <w:vAlign w:val="center"/>
          </w:tcPr>
          <w:p>
            <w:pPr>
              <w:jc w:val="center"/>
            </w:pPr>
            <w:r>
              <w:t>详见第二章</w:t>
            </w:r>
          </w:p>
        </w:tc>
        <w:tc>
          <w:tcPr>
            <w:tcW w:w="1524" w:type="dxa"/>
            <w:vAlign w:val="center"/>
          </w:tcPr>
          <w:p>
            <w:pPr>
              <w:jc w:val="center"/>
            </w:pPr>
            <w:r>
              <w:rPr>
                <w:rFonts w:hint="eastAsia"/>
                <w:lang w:val="en-US" w:eastAsia="zh-CN"/>
              </w:rPr>
              <w:t>5</w:t>
            </w:r>
            <w:r>
              <w:t>00,000.00</w:t>
            </w:r>
          </w:p>
        </w:tc>
        <w:tc>
          <w:tcPr>
            <w:tcW w:w="1644" w:type="dxa"/>
            <w:vAlign w:val="center"/>
          </w:tcPr>
          <w:p>
            <w:pPr>
              <w:jc w:val="center"/>
              <w:rPr>
                <w:rFonts w:asciiTheme="minorHAnsi" w:hAnsiTheme="minorHAnsi" w:eastAsiaTheme="minorEastAsia" w:cstheme="minorBidi"/>
                <w:kern w:val="2"/>
                <w:sz w:val="21"/>
                <w:szCs w:val="24"/>
                <w:lang w:val="en-US" w:eastAsia="zh-CN" w:bidi="ar-SA"/>
              </w:rPr>
            </w:pPr>
            <w:r>
              <w:t>1,</w:t>
            </w:r>
            <w:r>
              <w:rPr>
                <w:rFonts w:hint="eastAsia"/>
                <w:lang w:val="en-US" w:eastAsia="zh-CN"/>
              </w:rPr>
              <w:t>5</w:t>
            </w:r>
            <w:r>
              <w:t>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82" w:hRule="atLeast"/>
        </w:trPr>
        <w:tc>
          <w:tcPr>
            <w:tcW w:w="763" w:type="dxa"/>
            <w:vAlign w:val="center"/>
          </w:tcPr>
          <w:p>
            <w:pPr>
              <w:jc w:val="center"/>
              <w:rPr>
                <w:rFonts w:hint="default"/>
                <w:lang w:val="en-US" w:eastAsia="zh-CN"/>
              </w:rPr>
            </w:pPr>
            <w:r>
              <w:rPr>
                <w:rFonts w:hint="eastAsia"/>
                <w:lang w:val="en-US" w:eastAsia="zh-CN"/>
              </w:rPr>
              <w:t>6</w:t>
            </w:r>
          </w:p>
        </w:tc>
        <w:tc>
          <w:tcPr>
            <w:tcW w:w="2028" w:type="dxa"/>
            <w:vAlign w:val="center"/>
          </w:tcPr>
          <w:p>
            <w:pPr>
              <w:jc w:val="center"/>
              <w:rPr>
                <w:rFonts w:hint="default" w:eastAsiaTheme="minorEastAsia"/>
                <w:lang w:val="en-US" w:eastAsia="zh-CN"/>
              </w:rPr>
            </w:pPr>
            <w:r>
              <w:rPr>
                <w:rFonts w:hint="eastAsia"/>
                <w:lang w:val="en-US" w:eastAsia="zh-CN"/>
              </w:rPr>
              <w:t>万元以下腔镜类器械及配件</w:t>
            </w:r>
          </w:p>
        </w:tc>
        <w:tc>
          <w:tcPr>
            <w:tcW w:w="1260" w:type="dxa"/>
            <w:vAlign w:val="center"/>
          </w:tcPr>
          <w:p>
            <w:pPr>
              <w:jc w:val="center"/>
            </w:pPr>
            <w:r>
              <w:t>1.00(</w:t>
            </w:r>
            <w:r>
              <w:rPr>
                <w:rFonts w:hint="eastAsia"/>
                <w:lang w:val="en-US" w:eastAsia="zh-CN"/>
              </w:rPr>
              <w:t>批</w:t>
            </w:r>
            <w:r>
              <w:t>)</w:t>
            </w:r>
          </w:p>
        </w:tc>
        <w:tc>
          <w:tcPr>
            <w:tcW w:w="1560" w:type="dxa"/>
            <w:vAlign w:val="center"/>
          </w:tcPr>
          <w:p>
            <w:pPr>
              <w:jc w:val="center"/>
            </w:pPr>
            <w:r>
              <w:t>详见第二章</w:t>
            </w:r>
          </w:p>
        </w:tc>
        <w:tc>
          <w:tcPr>
            <w:tcW w:w="1524" w:type="dxa"/>
            <w:vAlign w:val="center"/>
          </w:tcPr>
          <w:p>
            <w:pPr>
              <w:jc w:val="center"/>
            </w:pPr>
            <w:r>
              <w:rPr>
                <w:rFonts w:hint="eastAsia"/>
                <w:lang w:val="en-US" w:eastAsia="zh-CN"/>
              </w:rPr>
              <w:t>8</w:t>
            </w:r>
            <w:r>
              <w:t>00,000.00</w:t>
            </w:r>
          </w:p>
        </w:tc>
        <w:tc>
          <w:tcPr>
            <w:tcW w:w="1644" w:type="dxa"/>
            <w:vAlign w:val="center"/>
          </w:tcPr>
          <w:p>
            <w:pPr>
              <w:jc w:val="center"/>
              <w:rPr>
                <w:rFonts w:asciiTheme="minorHAnsi" w:hAnsiTheme="minorHAnsi" w:eastAsiaTheme="minorEastAsia" w:cstheme="minorBidi"/>
                <w:kern w:val="2"/>
                <w:sz w:val="21"/>
                <w:szCs w:val="24"/>
                <w:lang w:val="en-US" w:eastAsia="zh-CN" w:bidi="ar-SA"/>
              </w:rPr>
            </w:pPr>
            <w:r>
              <w:rPr>
                <w:rFonts w:hint="eastAsia"/>
                <w:lang w:val="en-US" w:eastAsia="zh-CN"/>
              </w:rPr>
              <w:t>2</w:t>
            </w:r>
            <w:r>
              <w:t>,400,000.00</w:t>
            </w:r>
          </w:p>
        </w:tc>
      </w:tr>
    </w:tbl>
    <w:p/>
    <w:p/>
    <w:p>
      <w:pPr>
        <w:ind w:firstLine="480"/>
        <w:rPr>
          <w:b/>
          <w:sz w:val="24"/>
          <w:szCs w:val="24"/>
        </w:rPr>
      </w:pPr>
      <w:r>
        <w:rPr>
          <w:rFonts w:hint="eastAsia"/>
          <w:b/>
          <w:sz w:val="24"/>
          <w:szCs w:val="24"/>
        </w:rPr>
        <w:t>二、供应商基本条件</w:t>
      </w:r>
    </w:p>
    <w:p>
      <w:pPr>
        <w:ind w:firstLine="480"/>
        <w:rPr>
          <w:rFonts w:hint="eastAsia" w:ascii="宋体" w:hAnsi="宋体" w:eastAsia="宋体" w:cs="宋体"/>
          <w:b w:val="0"/>
          <w:bCs/>
          <w:sz w:val="21"/>
          <w:szCs w:val="21"/>
        </w:rPr>
      </w:pPr>
      <w:bookmarkStart w:id="0" w:name="_Hlk60302883"/>
      <w:r>
        <w:rPr>
          <w:rFonts w:hint="eastAsia" w:ascii="宋体" w:hAnsi="宋体" w:eastAsia="宋体" w:cs="宋体"/>
          <w:b w:val="0"/>
          <w:bCs/>
          <w:sz w:val="21"/>
          <w:szCs w:val="21"/>
        </w:rPr>
        <w:t>1.供应商必须是具有独立承担民事责任能力的在中华人民共和国境内注册的法人或其他组织，投标时提交有效的营业执照（或事业法人登记证等相关证明）副本复印件。</w:t>
      </w:r>
    </w:p>
    <w:p>
      <w:pPr>
        <w:ind w:firstLine="48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.具有履行合同所必需的设备和专业技术能力（提供声明函，格式自拟）；</w:t>
      </w:r>
    </w:p>
    <w:p>
      <w:pPr>
        <w:ind w:firstLine="48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.参加政府采购活动前三年内，在经营活动中没有重大违法记录（提供声明函，格式自拟）；</w:t>
      </w:r>
    </w:p>
    <w:p>
      <w:pPr>
        <w:ind w:firstLine="48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.未被列入“信用中国”网站(www.creditchina.gov.cn)“记录失信被执行人或重大税收违法案件当事人名单或政府采购严重违法失信行为”记录名单</w:t>
      </w:r>
      <w:bookmarkStart w:id="1" w:name="_Hlk60298511"/>
      <w:r>
        <w:rPr>
          <w:rFonts w:hint="eastAsia" w:ascii="宋体" w:hAnsi="宋体" w:eastAsia="宋体" w:cs="宋体"/>
          <w:b w:val="0"/>
          <w:bCs/>
          <w:sz w:val="21"/>
          <w:szCs w:val="21"/>
        </w:rPr>
        <w:t>（截图打印）</w:t>
      </w:r>
      <w:bookmarkEnd w:id="1"/>
      <w:r>
        <w:rPr>
          <w:rFonts w:hint="eastAsia" w:ascii="宋体" w:hAnsi="宋体" w:eastAsia="宋体" w:cs="宋体"/>
          <w:b w:val="0"/>
          <w:bCs/>
          <w:sz w:val="21"/>
          <w:szCs w:val="21"/>
        </w:rPr>
        <w:t xml:space="preserve">； </w:t>
      </w:r>
    </w:p>
    <w:p>
      <w:pPr>
        <w:ind w:firstLine="48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rPr>
        <w:t>.本项目不接受联合体，不允许对本项目进行分包和转包（提供书面声明函）。</w:t>
      </w:r>
      <w:bookmarkEnd w:id="0"/>
    </w:p>
    <w:p>
      <w:pPr>
        <w:ind w:firstLine="48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rPr>
        <w:t>本项目特定的资格要求</w:t>
      </w:r>
    </w:p>
    <w:p>
      <w:pPr>
        <w:ind w:firstLine="48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响应供应商须具备《医疗器械生产企业许可证》或《医疗器械经营企业许可证》或《第二类医疗器械经营备案凭证》。</w:t>
      </w:r>
    </w:p>
    <w:p>
      <w:pPr>
        <w:ind w:firstLine="480"/>
        <w:rPr>
          <w:rFonts w:hint="eastAsia" w:ascii="宋体" w:hAnsi="宋体" w:eastAsia="宋体" w:cs="宋体"/>
          <w:b/>
          <w:bCs w:val="0"/>
          <w:sz w:val="21"/>
          <w:szCs w:val="21"/>
        </w:rPr>
      </w:pPr>
      <w:r>
        <w:rPr>
          <w:rFonts w:hint="eastAsia" w:ascii="宋体" w:hAnsi="宋体" w:eastAsia="宋体" w:cs="宋体"/>
          <w:b/>
          <w:bCs w:val="0"/>
          <w:sz w:val="21"/>
          <w:szCs w:val="21"/>
        </w:rPr>
        <w:t>三、报名须知</w:t>
      </w:r>
    </w:p>
    <w:p>
      <w:pPr>
        <w:ind w:firstLine="480"/>
        <w:rPr>
          <w:rFonts w:hint="eastAsia" w:ascii="宋体" w:hAnsi="宋体" w:eastAsia="宋体" w:cs="宋体"/>
          <w:b w:val="0"/>
          <w:bCs/>
          <w:sz w:val="21"/>
          <w:szCs w:val="21"/>
        </w:rPr>
      </w:pPr>
      <w:r>
        <w:rPr>
          <w:rFonts w:hint="eastAsia" w:ascii="宋体" w:hAnsi="宋体" w:eastAsia="宋体" w:cs="宋体"/>
          <w:b w:val="0"/>
          <w:bCs/>
          <w:sz w:val="21"/>
          <w:szCs w:val="21"/>
        </w:rPr>
        <w:t>1.有意向参与的供应商可在以下规定的报名截止时间前报名：</w:t>
      </w:r>
    </w:p>
    <w:p>
      <w:pPr>
        <w:ind w:firstLine="480"/>
        <w:rPr>
          <w:rFonts w:hint="eastAsia" w:ascii="宋体" w:hAnsi="宋体" w:eastAsia="宋体" w:cs="宋体"/>
          <w:b w:val="0"/>
          <w:bCs/>
          <w:sz w:val="21"/>
          <w:szCs w:val="21"/>
        </w:rPr>
      </w:pPr>
      <w:r>
        <w:rPr>
          <w:rFonts w:hint="eastAsia" w:ascii="宋体" w:hAnsi="宋体" w:eastAsia="宋体" w:cs="宋体"/>
          <w:b w:val="0"/>
          <w:bCs/>
          <w:sz w:val="21"/>
          <w:szCs w:val="21"/>
        </w:rPr>
        <w:t>2.报名时间：202</w:t>
      </w: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年</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月</w:t>
      </w:r>
      <w:r>
        <w:rPr>
          <w:rFonts w:hint="eastAsia" w:ascii="宋体" w:hAnsi="宋体" w:eastAsia="宋体" w:cs="宋体"/>
          <w:b w:val="0"/>
          <w:bCs/>
          <w:sz w:val="21"/>
          <w:szCs w:val="21"/>
          <w:lang w:val="en-US" w:eastAsia="zh-CN"/>
        </w:rPr>
        <w:t>28</w:t>
      </w:r>
      <w:r>
        <w:rPr>
          <w:rFonts w:hint="eastAsia" w:ascii="宋体" w:hAnsi="宋体" w:eastAsia="宋体" w:cs="宋体"/>
          <w:b w:val="0"/>
          <w:bCs/>
          <w:sz w:val="21"/>
          <w:szCs w:val="21"/>
        </w:rPr>
        <w:t>日起至202</w:t>
      </w: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年</w:t>
      </w: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月</w:t>
      </w:r>
      <w:r>
        <w:rPr>
          <w:rFonts w:hint="eastAsia" w:ascii="宋体" w:hAnsi="宋体" w:eastAsia="宋体" w:cs="宋体"/>
          <w:b w:val="0"/>
          <w:bCs/>
          <w:sz w:val="21"/>
          <w:szCs w:val="21"/>
          <w:lang w:val="en-US" w:eastAsia="zh-CN"/>
        </w:rPr>
        <w:t>8</w:t>
      </w:r>
      <w:r>
        <w:rPr>
          <w:rFonts w:hint="eastAsia" w:ascii="宋体" w:hAnsi="宋体" w:eastAsia="宋体" w:cs="宋体"/>
          <w:b w:val="0"/>
          <w:bCs/>
          <w:sz w:val="21"/>
          <w:szCs w:val="21"/>
        </w:rPr>
        <w:t>日上午</w:t>
      </w:r>
      <w:r>
        <w:rPr>
          <w:rFonts w:hint="eastAsia" w:ascii="宋体" w:hAnsi="宋体" w:eastAsia="宋体" w:cs="宋体"/>
          <w:b w:val="0"/>
          <w:bCs/>
          <w:sz w:val="21"/>
          <w:szCs w:val="21"/>
          <w:lang w:val="en-US" w:eastAsia="zh-CN"/>
        </w:rPr>
        <w:t>8:00</w:t>
      </w:r>
      <w:r>
        <w:rPr>
          <w:rFonts w:hint="eastAsia" w:ascii="宋体" w:hAnsi="宋体" w:eastAsia="宋体" w:cs="宋体"/>
          <w:b w:val="0"/>
          <w:bCs/>
          <w:sz w:val="21"/>
          <w:szCs w:val="21"/>
        </w:rPr>
        <w:t>-1</w:t>
      </w:r>
      <w:r>
        <w:rPr>
          <w:rFonts w:hint="eastAsia" w:ascii="宋体" w:hAnsi="宋体" w:eastAsia="宋体" w:cs="宋体"/>
          <w:b w:val="0"/>
          <w:bCs/>
          <w:sz w:val="21"/>
          <w:szCs w:val="21"/>
          <w:lang w:val="en-US" w:eastAsia="zh-CN"/>
        </w:rPr>
        <w:t>2:00</w:t>
      </w:r>
      <w:bookmarkStart w:id="35" w:name="_GoBack"/>
      <w:bookmarkEnd w:id="35"/>
      <w:r>
        <w:rPr>
          <w:rFonts w:hint="eastAsia" w:ascii="宋体" w:hAnsi="宋体" w:eastAsia="宋体" w:cs="宋体"/>
          <w:b w:val="0"/>
          <w:bCs/>
          <w:sz w:val="21"/>
          <w:szCs w:val="21"/>
        </w:rPr>
        <w:t>，下午2:30-5:30，节假日除外。</w:t>
      </w:r>
    </w:p>
    <w:p>
      <w:pPr>
        <w:ind w:firstLine="480"/>
        <w:rPr>
          <w:rFonts w:hint="eastAsia" w:ascii="宋体" w:hAnsi="宋体" w:eastAsia="宋体" w:cs="宋体"/>
          <w:b w:val="0"/>
          <w:bCs/>
          <w:sz w:val="21"/>
          <w:szCs w:val="21"/>
        </w:rPr>
      </w:pPr>
      <w:r>
        <w:rPr>
          <w:rFonts w:hint="eastAsia" w:ascii="宋体" w:hAnsi="宋体" w:eastAsia="宋体" w:cs="宋体"/>
          <w:b w:val="0"/>
          <w:bCs/>
          <w:sz w:val="21"/>
          <w:szCs w:val="21"/>
        </w:rPr>
        <w:t>3.报名地点：茂名市为民路101号茂名市人民医院5号楼2楼招标采购办公室</w:t>
      </w:r>
    </w:p>
    <w:p>
      <w:pPr>
        <w:ind w:firstLine="480"/>
        <w:rPr>
          <w:rFonts w:hint="eastAsia" w:ascii="宋体" w:hAnsi="宋体" w:eastAsia="宋体" w:cs="宋体"/>
          <w:b w:val="0"/>
          <w:bCs/>
          <w:sz w:val="21"/>
          <w:szCs w:val="21"/>
        </w:rPr>
      </w:pPr>
      <w:r>
        <w:rPr>
          <w:rFonts w:hint="eastAsia" w:ascii="宋体" w:hAnsi="宋体" w:eastAsia="宋体" w:cs="宋体"/>
          <w:b w:val="0"/>
          <w:bCs/>
          <w:sz w:val="21"/>
          <w:szCs w:val="21"/>
        </w:rPr>
        <w:t>4.报名需提交资料：响应文件（详见</w:t>
      </w:r>
      <w:r>
        <w:rPr>
          <w:rFonts w:hint="eastAsia" w:ascii="宋体" w:hAnsi="宋体" w:eastAsia="宋体" w:cs="宋体"/>
          <w:b w:val="0"/>
          <w:bCs/>
          <w:sz w:val="21"/>
          <w:szCs w:val="21"/>
          <w:lang w:val="en-US" w:eastAsia="zh-CN"/>
        </w:rPr>
        <w:t>需求</w:t>
      </w:r>
      <w:r>
        <w:rPr>
          <w:rFonts w:hint="eastAsia" w:ascii="宋体" w:hAnsi="宋体" w:eastAsia="宋体" w:cs="宋体"/>
          <w:b w:val="0"/>
          <w:bCs/>
          <w:sz w:val="21"/>
          <w:szCs w:val="21"/>
        </w:rPr>
        <w:t>文件）</w:t>
      </w:r>
    </w:p>
    <w:p>
      <w:pPr>
        <w:ind w:firstLine="480"/>
        <w:rPr>
          <w:rFonts w:hint="eastAsia" w:ascii="宋体" w:hAnsi="宋体" w:eastAsia="宋体" w:cs="宋体"/>
          <w:b w:val="0"/>
          <w:bCs/>
          <w:sz w:val="21"/>
          <w:szCs w:val="21"/>
        </w:rPr>
      </w:pPr>
      <w:r>
        <w:rPr>
          <w:rFonts w:hint="eastAsia" w:ascii="宋体" w:hAnsi="宋体" w:eastAsia="宋体" w:cs="宋体"/>
          <w:b w:val="0"/>
          <w:bCs/>
          <w:sz w:val="21"/>
          <w:szCs w:val="21"/>
        </w:rPr>
        <w:t>5.报名费用：免费</w:t>
      </w:r>
    </w:p>
    <w:p>
      <w:pPr>
        <w:ind w:firstLine="480"/>
        <w:rPr>
          <w:rFonts w:hint="eastAsia" w:ascii="宋体" w:hAnsi="宋体" w:eastAsia="宋体" w:cs="宋体"/>
          <w:b w:val="0"/>
          <w:bCs/>
          <w:sz w:val="21"/>
          <w:szCs w:val="21"/>
        </w:rPr>
      </w:pPr>
      <w:r>
        <w:rPr>
          <w:rFonts w:hint="eastAsia" w:ascii="宋体" w:hAnsi="宋体" w:eastAsia="宋体" w:cs="宋体"/>
          <w:b w:val="0"/>
          <w:bCs/>
          <w:sz w:val="21"/>
          <w:szCs w:val="21"/>
        </w:rPr>
        <w:t>注：以上资料纸质版和电子版</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扫描版和可编辑版）</w:t>
      </w:r>
      <w:r>
        <w:rPr>
          <w:rFonts w:hint="eastAsia" w:ascii="宋体" w:hAnsi="宋体" w:eastAsia="宋体" w:cs="宋体"/>
          <w:b w:val="0"/>
          <w:bCs/>
          <w:sz w:val="21"/>
          <w:szCs w:val="21"/>
        </w:rPr>
        <w:t>各一份，纸质版递交到茂名市为民路101号茂名市人民医院5号楼2楼招标采购办公室，电子版发到指定邮箱。</w:t>
      </w:r>
    </w:p>
    <w:p>
      <w:pPr>
        <w:ind w:firstLine="480"/>
        <w:rPr>
          <w:rFonts w:hint="eastAsia" w:ascii="宋体" w:hAnsi="宋体" w:eastAsia="宋体" w:cs="宋体"/>
          <w:b/>
          <w:bCs w:val="0"/>
          <w:sz w:val="21"/>
          <w:szCs w:val="21"/>
        </w:rPr>
      </w:pPr>
      <w:r>
        <w:rPr>
          <w:rFonts w:hint="eastAsia" w:ascii="宋体" w:hAnsi="宋体" w:eastAsia="宋体" w:cs="宋体"/>
          <w:b/>
          <w:bCs w:val="0"/>
          <w:sz w:val="21"/>
          <w:szCs w:val="21"/>
        </w:rPr>
        <w:t>四、我院拒绝接受以下报名资料：</w:t>
      </w:r>
    </w:p>
    <w:p>
      <w:pPr>
        <w:ind w:firstLine="480"/>
        <w:rPr>
          <w:rFonts w:hint="eastAsia" w:ascii="宋体" w:hAnsi="宋体" w:eastAsia="宋体" w:cs="宋体"/>
          <w:b w:val="0"/>
          <w:bCs/>
          <w:sz w:val="21"/>
          <w:szCs w:val="21"/>
        </w:rPr>
      </w:pPr>
      <w:r>
        <w:rPr>
          <w:rFonts w:hint="eastAsia" w:ascii="宋体" w:hAnsi="宋体" w:eastAsia="宋体" w:cs="宋体"/>
          <w:b w:val="0"/>
          <w:bCs/>
          <w:sz w:val="21"/>
          <w:szCs w:val="21"/>
        </w:rPr>
        <w:t>1.报名截止时间后才递交的报名资料。</w:t>
      </w:r>
    </w:p>
    <w:p>
      <w:pPr>
        <w:ind w:firstLine="480"/>
        <w:rPr>
          <w:rFonts w:hint="eastAsia" w:ascii="宋体" w:hAnsi="宋体" w:eastAsia="宋体" w:cs="宋体"/>
          <w:b w:val="0"/>
          <w:bCs/>
          <w:sz w:val="21"/>
          <w:szCs w:val="21"/>
        </w:rPr>
      </w:pPr>
      <w:r>
        <w:rPr>
          <w:rFonts w:hint="eastAsia" w:ascii="宋体" w:hAnsi="宋体" w:eastAsia="宋体" w:cs="宋体"/>
          <w:b w:val="0"/>
          <w:bCs/>
          <w:sz w:val="21"/>
          <w:szCs w:val="21"/>
        </w:rPr>
        <w:t>2.不符合供应商相应资质的报名资料。</w:t>
      </w:r>
    </w:p>
    <w:p>
      <w:pPr>
        <w:ind w:firstLine="480"/>
        <w:rPr>
          <w:rFonts w:hint="eastAsia" w:ascii="宋体" w:hAnsi="宋体" w:eastAsia="宋体" w:cs="宋体"/>
          <w:b w:val="0"/>
          <w:bCs/>
          <w:sz w:val="21"/>
          <w:szCs w:val="21"/>
        </w:rPr>
      </w:pPr>
      <w:r>
        <w:rPr>
          <w:rFonts w:hint="eastAsia" w:ascii="宋体" w:hAnsi="宋体" w:eastAsia="宋体" w:cs="宋体"/>
          <w:b w:val="0"/>
          <w:bCs/>
          <w:sz w:val="21"/>
          <w:szCs w:val="21"/>
        </w:rPr>
        <w:t>3.不满足报名需求提交资料要求的报名资料。</w:t>
      </w:r>
    </w:p>
    <w:p>
      <w:pPr>
        <w:ind w:firstLine="480"/>
        <w:rPr>
          <w:rFonts w:hint="eastAsia" w:ascii="宋体" w:hAnsi="宋体" w:eastAsia="宋体" w:cs="宋体"/>
          <w:b w:val="0"/>
          <w:bCs/>
          <w:sz w:val="21"/>
          <w:szCs w:val="21"/>
        </w:rPr>
      </w:pPr>
      <w:r>
        <w:rPr>
          <w:rFonts w:hint="eastAsia" w:ascii="宋体" w:hAnsi="宋体" w:eastAsia="宋体" w:cs="宋体"/>
          <w:b w:val="0"/>
          <w:bCs/>
          <w:sz w:val="21"/>
          <w:szCs w:val="21"/>
        </w:rPr>
        <w:t>4.传真、电子邮件等形式的报名资料。</w:t>
      </w:r>
    </w:p>
    <w:p>
      <w:pPr>
        <w:ind w:firstLine="480"/>
        <w:rPr>
          <w:rFonts w:hint="eastAsia" w:ascii="宋体" w:hAnsi="宋体" w:eastAsia="宋体" w:cs="宋体"/>
          <w:b w:val="0"/>
          <w:bCs/>
          <w:sz w:val="21"/>
          <w:szCs w:val="21"/>
        </w:rPr>
      </w:pPr>
      <w:r>
        <w:rPr>
          <w:rFonts w:hint="eastAsia" w:ascii="宋体" w:hAnsi="宋体" w:eastAsia="宋体" w:cs="宋体"/>
          <w:b w:val="0"/>
          <w:bCs/>
          <w:sz w:val="21"/>
          <w:szCs w:val="21"/>
        </w:rPr>
        <w:t>5.同一供应商重复递交的报名资料。</w:t>
      </w:r>
    </w:p>
    <w:p>
      <w:pPr>
        <w:ind w:firstLine="480"/>
        <w:rPr>
          <w:rFonts w:hint="eastAsia" w:ascii="宋体" w:hAnsi="宋体" w:eastAsia="宋体" w:cs="宋体"/>
          <w:b w:val="0"/>
          <w:bCs/>
          <w:sz w:val="21"/>
          <w:szCs w:val="21"/>
        </w:rPr>
      </w:pPr>
      <w:r>
        <w:rPr>
          <w:rFonts w:hint="eastAsia" w:ascii="宋体" w:hAnsi="宋体" w:eastAsia="宋体" w:cs="宋体"/>
          <w:b w:val="0"/>
          <w:bCs/>
          <w:sz w:val="21"/>
          <w:szCs w:val="21"/>
        </w:rPr>
        <w:t>6.虚假的报名资料。</w:t>
      </w:r>
    </w:p>
    <w:p>
      <w:pPr>
        <w:ind w:firstLine="480"/>
        <w:rPr>
          <w:rFonts w:hint="eastAsia" w:ascii="宋体" w:hAnsi="宋体" w:eastAsia="宋体" w:cs="宋体"/>
          <w:b/>
          <w:bCs w:val="0"/>
          <w:sz w:val="21"/>
          <w:szCs w:val="21"/>
        </w:rPr>
      </w:pPr>
      <w:r>
        <w:rPr>
          <w:rFonts w:hint="eastAsia" w:ascii="宋体" w:hAnsi="宋体" w:eastAsia="宋体" w:cs="宋体"/>
          <w:b/>
          <w:bCs w:val="0"/>
          <w:sz w:val="21"/>
          <w:szCs w:val="21"/>
        </w:rPr>
        <w:t>五、联系方式</w:t>
      </w:r>
    </w:p>
    <w:p>
      <w:pPr>
        <w:ind w:firstLine="480"/>
        <w:rPr>
          <w:rFonts w:hint="eastAsia" w:ascii="宋体" w:hAnsi="宋体" w:eastAsia="宋体" w:cs="宋体"/>
          <w:b w:val="0"/>
          <w:bCs/>
          <w:sz w:val="21"/>
          <w:szCs w:val="21"/>
        </w:rPr>
      </w:pPr>
      <w:r>
        <w:rPr>
          <w:rFonts w:hint="eastAsia" w:ascii="宋体" w:hAnsi="宋体" w:eastAsia="宋体" w:cs="宋体"/>
          <w:b w:val="0"/>
          <w:bCs/>
          <w:sz w:val="21"/>
          <w:szCs w:val="21"/>
        </w:rPr>
        <w:t>联系人：</w:t>
      </w:r>
      <w:r>
        <w:rPr>
          <w:rFonts w:hint="eastAsia" w:ascii="宋体" w:hAnsi="宋体" w:eastAsia="宋体" w:cs="宋体"/>
          <w:b w:val="0"/>
          <w:bCs/>
          <w:sz w:val="21"/>
          <w:szCs w:val="21"/>
          <w:lang w:val="en-US" w:eastAsia="zh-CN"/>
        </w:rPr>
        <w:t>钟小姐</w:t>
      </w:r>
      <w:r>
        <w:rPr>
          <w:rFonts w:hint="eastAsia" w:ascii="宋体" w:hAnsi="宋体" w:eastAsia="宋体" w:cs="宋体"/>
          <w:b w:val="0"/>
          <w:bCs/>
          <w:sz w:val="21"/>
          <w:szCs w:val="21"/>
        </w:rPr>
        <w:t xml:space="preserve"> </w:t>
      </w:r>
    </w:p>
    <w:p>
      <w:pPr>
        <w:ind w:firstLine="480"/>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联系电话：</w:t>
      </w:r>
      <w:r>
        <w:rPr>
          <w:rFonts w:hint="eastAsia" w:ascii="宋体" w:hAnsi="宋体" w:eastAsia="宋体" w:cs="宋体"/>
          <w:b w:val="0"/>
          <w:bCs/>
          <w:sz w:val="21"/>
          <w:szCs w:val="21"/>
          <w:lang w:val="en-US" w:eastAsia="zh-CN"/>
        </w:rPr>
        <w:t>0668-2922921</w:t>
      </w:r>
    </w:p>
    <w:p>
      <w:pPr>
        <w:ind w:firstLine="480"/>
        <w:rPr>
          <w:rFonts w:hint="eastAsia" w:ascii="宋体" w:hAnsi="宋体" w:eastAsia="宋体" w:cs="宋体"/>
          <w:b w:val="0"/>
          <w:bCs/>
          <w:sz w:val="21"/>
          <w:szCs w:val="21"/>
        </w:rPr>
      </w:pPr>
      <w:r>
        <w:rPr>
          <w:rFonts w:hint="eastAsia" w:ascii="宋体" w:hAnsi="宋体" w:eastAsia="宋体" w:cs="宋体"/>
          <w:b w:val="0"/>
          <w:bCs/>
          <w:sz w:val="21"/>
          <w:szCs w:val="21"/>
        </w:rPr>
        <w:t>邮箱地址：</w:t>
      </w:r>
      <w:r>
        <w:rPr>
          <w:rFonts w:hint="eastAsia" w:ascii="宋体" w:hAnsi="宋体" w:eastAsia="宋体" w:cs="宋体"/>
          <w:b w:val="0"/>
          <w:bCs/>
          <w:sz w:val="21"/>
          <w:szCs w:val="21"/>
          <w:lang w:val="en-US" w:eastAsia="zh-CN"/>
        </w:rPr>
        <w:t>1094407878@qq.com</w:t>
      </w:r>
      <w:r>
        <w:rPr>
          <w:rFonts w:hint="eastAsia" w:ascii="宋体" w:hAnsi="宋体" w:eastAsia="宋体" w:cs="宋体"/>
          <w:b w:val="0"/>
          <w:bCs/>
          <w:sz w:val="21"/>
          <w:szCs w:val="21"/>
        </w:rPr>
        <w:t xml:space="preserve"> </w:t>
      </w:r>
    </w:p>
    <w:p>
      <w:pPr>
        <w:ind w:firstLine="480"/>
        <w:rPr>
          <w:rFonts w:hint="eastAsia" w:ascii="宋体" w:hAnsi="宋体" w:eastAsia="宋体" w:cs="宋体"/>
          <w:b/>
          <w:bCs w:val="0"/>
          <w:sz w:val="21"/>
          <w:szCs w:val="21"/>
        </w:rPr>
      </w:pPr>
      <w:r>
        <w:rPr>
          <w:rFonts w:hint="eastAsia" w:ascii="宋体" w:hAnsi="宋体" w:eastAsia="宋体" w:cs="宋体"/>
          <w:b/>
          <w:bCs w:val="0"/>
          <w:sz w:val="21"/>
          <w:szCs w:val="21"/>
        </w:rPr>
        <w:t>六、注意事项</w:t>
      </w:r>
    </w:p>
    <w:p>
      <w:pPr>
        <w:ind w:firstLine="480"/>
        <w:rPr>
          <w:rFonts w:hint="eastAsia" w:ascii="宋体" w:hAnsi="宋体" w:eastAsia="宋体" w:cs="宋体"/>
          <w:b w:val="0"/>
          <w:bCs/>
          <w:sz w:val="21"/>
          <w:szCs w:val="21"/>
        </w:rPr>
      </w:pPr>
      <w:r>
        <w:rPr>
          <w:rFonts w:hint="eastAsia" w:ascii="宋体" w:hAnsi="宋体" w:eastAsia="宋体" w:cs="宋体"/>
          <w:b w:val="0"/>
          <w:bCs/>
          <w:sz w:val="21"/>
          <w:szCs w:val="21"/>
        </w:rPr>
        <w:t>1.各供应商必须严格按照项目需求进行报价，杜绝弄虚作假，胡乱报价，各供应商报价一经确认禁止更改。</w:t>
      </w:r>
    </w:p>
    <w:p>
      <w:pPr>
        <w:ind w:firstLine="480"/>
        <w:rPr>
          <w:rFonts w:hint="eastAsia" w:ascii="宋体" w:hAnsi="宋体" w:eastAsia="宋体" w:cs="宋体"/>
          <w:b w:val="0"/>
          <w:bCs/>
          <w:sz w:val="21"/>
          <w:szCs w:val="21"/>
        </w:rPr>
      </w:pPr>
      <w:r>
        <w:rPr>
          <w:rFonts w:hint="eastAsia" w:ascii="宋体" w:hAnsi="宋体" w:eastAsia="宋体" w:cs="宋体"/>
          <w:b w:val="0"/>
          <w:bCs/>
          <w:sz w:val="21"/>
          <w:szCs w:val="21"/>
        </w:rPr>
        <w:t>2. 项目严禁各供应商进行恶意竞争或其它违规行为，一经查实，将进入供应商黑名单。</w:t>
      </w:r>
    </w:p>
    <w:p>
      <w:pPr>
        <w:ind w:firstLine="480"/>
        <w:rPr>
          <w:rFonts w:hint="eastAsia" w:ascii="宋体" w:hAnsi="宋体" w:eastAsia="宋体" w:cs="宋体"/>
          <w:b w:val="0"/>
          <w:bCs/>
          <w:sz w:val="21"/>
          <w:szCs w:val="21"/>
        </w:rPr>
      </w:pPr>
      <w:r>
        <w:rPr>
          <w:rFonts w:hint="eastAsia" w:ascii="宋体" w:hAnsi="宋体" w:eastAsia="宋体" w:cs="宋体"/>
          <w:b w:val="0"/>
          <w:bCs/>
          <w:sz w:val="21"/>
          <w:szCs w:val="21"/>
        </w:rPr>
        <w:t>特此公告。</w:t>
      </w:r>
    </w:p>
    <w:p>
      <w:pPr>
        <w:ind w:firstLine="480"/>
        <w:rPr>
          <w:rFonts w:hint="eastAsia"/>
          <w:b/>
          <w:sz w:val="28"/>
        </w:rPr>
      </w:pPr>
    </w:p>
    <w:p>
      <w:pPr>
        <w:ind w:firstLine="480"/>
        <w:rPr>
          <w:b/>
          <w:sz w:val="28"/>
        </w:rPr>
      </w:pPr>
    </w:p>
    <w:p>
      <w:pPr>
        <w:ind w:firstLine="480"/>
        <w:jc w:val="right"/>
        <w:rPr>
          <w:rFonts w:hint="eastAsia" w:ascii="宋体" w:hAnsi="宋体" w:eastAsia="宋体" w:cs="宋体"/>
          <w:b w:val="0"/>
          <w:bCs/>
          <w:sz w:val="24"/>
          <w:szCs w:val="24"/>
        </w:rPr>
      </w:pPr>
      <w:r>
        <w:rPr>
          <w:rFonts w:hint="eastAsia" w:ascii="宋体" w:hAnsi="宋体" w:eastAsia="宋体" w:cs="宋体"/>
          <w:b w:val="0"/>
          <w:bCs/>
          <w:sz w:val="24"/>
          <w:szCs w:val="24"/>
        </w:rPr>
        <w:t>茂名市人民医院</w:t>
      </w:r>
    </w:p>
    <w:p>
      <w:pPr>
        <w:ind w:firstLine="480"/>
        <w:jc w:val="right"/>
        <w:rPr>
          <w:rFonts w:hint="eastAsia" w:ascii="宋体" w:hAnsi="宋体" w:eastAsia="宋体" w:cs="宋体"/>
          <w:b w:val="0"/>
          <w:bCs/>
          <w:sz w:val="24"/>
          <w:szCs w:val="24"/>
        </w:rPr>
      </w:pPr>
    </w:p>
    <w:p>
      <w:pPr>
        <w:ind w:firstLine="480"/>
        <w:jc w:val="right"/>
        <w:rPr>
          <w:rFonts w:hint="eastAsia" w:ascii="宋体" w:hAnsi="宋体" w:eastAsia="宋体" w:cs="宋体"/>
          <w:b w:val="0"/>
          <w:bCs/>
          <w:sz w:val="24"/>
          <w:szCs w:val="24"/>
        </w:rPr>
      </w:pPr>
      <w:r>
        <w:rPr>
          <w:rFonts w:hint="eastAsia" w:ascii="宋体" w:hAnsi="宋体" w:eastAsia="宋体" w:cs="宋体"/>
          <w:b w:val="0"/>
          <w:bCs/>
          <w:sz w:val="24"/>
          <w:szCs w:val="24"/>
        </w:rPr>
        <w:t>202</w:t>
      </w:r>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rPr>
        <w:t>年</w:t>
      </w:r>
      <w:r>
        <w:rPr>
          <w:rFonts w:hint="eastAsia" w:ascii="宋体" w:hAnsi="宋体" w:eastAsia="宋体" w:cs="宋体"/>
          <w:b w:val="0"/>
          <w:bCs/>
          <w:sz w:val="24"/>
          <w:szCs w:val="24"/>
          <w:lang w:val="en-US" w:eastAsia="zh-CN"/>
        </w:rPr>
        <w:t>2月28</w:t>
      </w:r>
      <w:r>
        <w:rPr>
          <w:rFonts w:hint="eastAsia" w:ascii="宋体" w:hAnsi="宋体" w:eastAsia="宋体" w:cs="宋体"/>
          <w:b w:val="0"/>
          <w:bCs/>
          <w:sz w:val="24"/>
          <w:szCs w:val="24"/>
        </w:rPr>
        <w:t>日</w:t>
      </w:r>
    </w:p>
    <w:p>
      <w:pPr>
        <w:ind w:firstLine="480"/>
      </w:pPr>
    </w:p>
    <w:p>
      <w:r>
        <w:t xml:space="preserve"> </w:t>
      </w:r>
    </w:p>
    <w:p/>
    <w:p>
      <w:pPr>
        <w:jc w:val="center"/>
        <w:rPr>
          <w:b/>
          <w:sz w:val="36"/>
        </w:rPr>
      </w:pPr>
    </w:p>
    <w:p>
      <w:pPr>
        <w:jc w:val="center"/>
        <w:rPr>
          <w:b/>
          <w:sz w:val="36"/>
        </w:rPr>
      </w:pPr>
    </w:p>
    <w:p>
      <w:pPr>
        <w:jc w:val="center"/>
      </w:pPr>
      <w:r>
        <w:rPr>
          <w:b/>
          <w:sz w:val="36"/>
        </w:rPr>
        <w:t>第二章 采购需求</w:t>
      </w:r>
    </w:p>
    <w:p>
      <w:r>
        <w:t xml:space="preserve"> </w:t>
      </w:r>
    </w:p>
    <w:p>
      <w:r>
        <w:t xml:space="preserve"> </w:t>
      </w:r>
    </w:p>
    <w:p>
      <w:r>
        <w:rPr>
          <w:rFonts w:hint="eastAsia"/>
          <w:b/>
          <w:lang w:val="en-US" w:eastAsia="zh-CN"/>
        </w:rPr>
        <w:t>一、</w:t>
      </w:r>
      <w:r>
        <w:rPr>
          <w:b/>
        </w:rPr>
        <w:t>主要商务要求</w:t>
      </w:r>
    </w:p>
    <w:tbl>
      <w:tblPr>
        <w:tblStyle w:val="6"/>
        <w:tblW w:w="910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43"/>
        <w:gridCol w:w="72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7" w:hRule="atLeast"/>
        </w:trPr>
        <w:tc>
          <w:tcPr>
            <w:tcW w:w="1843" w:type="dxa"/>
          </w:tcPr>
          <w:p>
            <w:r>
              <w:t>标的提供的时间</w:t>
            </w:r>
          </w:p>
        </w:tc>
        <w:tc>
          <w:tcPr>
            <w:tcW w:w="7260" w:type="dxa"/>
          </w:tcPr>
          <w:p>
            <w:r>
              <w:rPr>
                <w:rFonts w:hint="eastAsia"/>
              </w:rPr>
              <w:t>本次招标货物不属一次性完成供货，中标人需根据采购人的具体需求</w:t>
            </w:r>
            <w:r>
              <w:rPr>
                <w:rFonts w:hint="eastAsia"/>
                <w:lang w:val="en-US" w:eastAsia="zh-CN"/>
              </w:rPr>
              <w:t>,</w:t>
            </w:r>
            <w:r>
              <w:rPr>
                <w:rFonts w:hint="eastAsia"/>
              </w:rPr>
              <w:t>分批供货，中标人收到采购人通知发货之日起</w:t>
            </w:r>
            <w:r>
              <w:rPr>
                <w:rFonts w:hint="eastAsia"/>
                <w:lang w:val="en-US" w:eastAsia="zh-CN"/>
              </w:rPr>
              <w:t>15</w:t>
            </w:r>
            <w:r>
              <w:rPr>
                <w:rFonts w:hint="eastAsia"/>
              </w:rPr>
              <w:t>个日历日内完成供货并交付使用。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3" w:hRule="atLeast"/>
        </w:trPr>
        <w:tc>
          <w:tcPr>
            <w:tcW w:w="1843" w:type="dxa"/>
          </w:tcPr>
          <w:p>
            <w:r>
              <w:t>标的提供的地点</w:t>
            </w:r>
          </w:p>
        </w:tc>
        <w:tc>
          <w:tcPr>
            <w:tcW w:w="7260" w:type="dxa"/>
          </w:tcPr>
          <w:p>
            <w: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3" w:type="dxa"/>
          </w:tcPr>
          <w:p>
            <w:r>
              <w:t>付款方式</w:t>
            </w:r>
          </w:p>
        </w:tc>
        <w:tc>
          <w:tcPr>
            <w:tcW w:w="7260" w:type="dxa"/>
          </w:tcPr>
          <w:p>
            <w:pPr>
              <w:rPr>
                <w:rFonts w:hint="eastAsia" w:eastAsiaTheme="minorEastAsia"/>
                <w:lang w:eastAsia="zh-CN"/>
              </w:rPr>
            </w:pPr>
            <w:r>
              <w:t>1期：支付比例100%,每月付一次款，按实际送货量结算，合同暂按项目预算价签订，最终按实际采购数量结合中标单价进行结算。如实际增加的金额超过法律规定的需重新公开招标的金额，必须重新公开招标。每月5日前中标人凭收货交接单将上个月送货量统计与采购人对账结算，采购人在10个工作日内核对完毕，采购人收到中标人开具的有效发票、双方确认的结算清单及验收报告后</w:t>
            </w:r>
            <w:r>
              <w:rPr>
                <w:rFonts w:hint="eastAsia"/>
                <w:lang w:val="en-US" w:eastAsia="zh-CN"/>
              </w:rPr>
              <w:t>90个日历日</w:t>
            </w:r>
            <w:r>
              <w:t>内一次性支付中标人货款</w:t>
            </w:r>
            <w:r>
              <w:rPr>
                <w:rFonts w:hint="eastAsia"/>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3" w:type="dxa"/>
          </w:tcPr>
          <w:p>
            <w:r>
              <w:t>验收要求</w:t>
            </w:r>
          </w:p>
        </w:tc>
        <w:tc>
          <w:tcPr>
            <w:tcW w:w="7260" w:type="dxa"/>
          </w:tcPr>
          <w:p>
            <w:r>
              <w:t>1期：1.验收的标准须符合①符合中华人民共和国国家安全质量标准、环保标准或行业技术规范标准；②符合招标文件和响应承诺中采购人认可的合理最佳配置、参数及各项要求；③货物来源国官方标准。上述标准必须是有关官方机构发布的最新版本的标准。 2.依招标文件要求对全部设备、产品、型号、规格、数量、外型、外观、包装及资料、文件（如进货单、装箱单、保修证明、保修单、随箱介质等）的验收。 3.拆箱后，应对其全部产品、零件、配件、用户许可证书、资料、介质造册登记，并与装箱单对比，如有出入应立即书面记录，由中标人解决，如影响安装则按合同有关条款处理。 4.交货时，中标人应提供制造商供货的原装产品证明文件，并负责在项目验收时将设备的全部有关产品说明书、原厂家安装手册、技术文件、资料、及安装、验收报告等文档汇集成册交付设备使用单位。 5.如机检或设备测试中如发现设备性能指标或功能配置上不符合招标文件和合同要求时，将被视作产品不合格，采购人有权拒收并要求赔偿。 6.整体验收：中标人按照采购人总项目的总体调试和验收要求，在安装完成后，由设备使用单位对所有采购的产品进行相应的性能测试，然后双方对整个项目总体共同进行质量验收，验收合格双方签署质量验收表。 7.其它验收细则以中标人的投标文件中提供的设备技术资料及双方签订的合同条款为准。 8.如本项目质量验收不合格，中标人按照采购人要求实施返工直至合格，由此增加的一切费由中标人承担。 9.采购人组成验收小组按国家有关规定、规范进行验收，必要时邀请相关的专业人员或机构参与验收。属医用计量器具的货物必须委托具备相应检定资质的公司检定合格并出具合格报告，所产生的相关费用由中标人承担。因货物质量问题发生争议时，由本地质量技术监督部门鉴定。货物符合质量技术标准的，鉴定费由采购人承担；否则鉴定费由中标人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3" w:type="dxa"/>
          </w:tcPr>
          <w:p>
            <w:r>
              <w:t>其他</w:t>
            </w:r>
          </w:p>
        </w:tc>
        <w:tc>
          <w:tcPr>
            <w:tcW w:w="7260" w:type="dxa"/>
          </w:tcPr>
          <w:p/>
          <w:p/>
          <w:p>
            <w:r>
              <w:t>（一）整体要求，1.</w:t>
            </w:r>
            <w:r>
              <w:rPr>
                <w:rFonts w:hint="eastAsia"/>
                <w:lang w:eastAsia="zh-CN"/>
              </w:rPr>
              <w:t>响应供应商</w:t>
            </w:r>
            <w:r>
              <w:t>应按照招标文件要求同时提供所需硬件配置明细表系统软件及应用软件明细表、应有的配件明细表、线缆等。对于影响产品正常工作的必要组成部分，无论在技术规范中指出与否，</w:t>
            </w:r>
            <w:r>
              <w:rPr>
                <w:rFonts w:hint="eastAsia"/>
                <w:lang w:eastAsia="zh-CN"/>
              </w:rPr>
              <w:t>响应供应商</w:t>
            </w:r>
            <w:r>
              <w:t>都应提供并在投标文件中明确列出。如果此招标文件清单中未尽事项，</w:t>
            </w:r>
            <w:r>
              <w:rPr>
                <w:rFonts w:hint="eastAsia"/>
                <w:lang w:eastAsia="zh-CN"/>
              </w:rPr>
              <w:t>响应供应商</w:t>
            </w:r>
            <w:r>
              <w:t>要列明，否则，本采购清单的设备材料等视为已包含在其投标报价中，即使缺漏项目也均由中标人负责（不得再向采购人申请增加费用）。 2.</w:t>
            </w:r>
            <w:r>
              <w:rPr>
                <w:rFonts w:hint="eastAsia"/>
                <w:lang w:eastAsia="zh-CN"/>
              </w:rPr>
              <w:t>响应供应商</w:t>
            </w:r>
            <w:r>
              <w:t>所投的设备必须是具有已注册商标的品牌,须是厂商原装、全新、未曾使用过的、近期生产的，整机表面无污染，无侵权行为、洁净完好、无划伤、无碰撞、无锈迹、无任何缺陷隐患，包装外观完好、无破损。 3.</w:t>
            </w:r>
            <w:r>
              <w:rPr>
                <w:rFonts w:hint="eastAsia"/>
                <w:lang w:eastAsia="zh-CN"/>
              </w:rPr>
              <w:t>响应供应商</w:t>
            </w:r>
            <w:r>
              <w:t>所投的货物不侵犯任何第三方的专利、商标或版权。否则，中标人须承担对第三方的专利或版权的侵权责任并承担因此而发生的所有费用。 4.任何时候，</w:t>
            </w:r>
            <w:r>
              <w:rPr>
                <w:rFonts w:hint="eastAsia"/>
                <w:lang w:eastAsia="zh-CN"/>
              </w:rPr>
              <w:t>响应供应商</w:t>
            </w:r>
            <w:r>
              <w:t>所投的货物均不能免除因项目设计和货物本身的缺陷所应负的责任，</w:t>
            </w:r>
            <w:r>
              <w:rPr>
                <w:rFonts w:hint="eastAsia"/>
                <w:lang w:eastAsia="zh-CN"/>
              </w:rPr>
              <w:t>响应供应商</w:t>
            </w:r>
            <w:r>
              <w:t>有义务提供替代性设计方案以及设备的选型的比较方案供采购人考虑，并在双方约定期限内做出整改。替代性方案的功能应达到或超过招标文件的要求，其价格必须低于主投标价。 5.本用户需求书中列出了采购人可以接受的最小的技术指标。</w:t>
            </w:r>
            <w:r>
              <w:rPr>
                <w:rFonts w:hint="eastAsia"/>
                <w:lang w:eastAsia="zh-CN"/>
              </w:rPr>
              <w:t>响应供应商</w:t>
            </w:r>
            <w:r>
              <w:t>推荐的每一品目的软硬件设备应在功能、性能、外观等方面不低于表中所列的各项指标。6.若</w:t>
            </w:r>
            <w:r>
              <w:rPr>
                <w:rFonts w:hint="eastAsia"/>
                <w:lang w:eastAsia="zh-CN"/>
              </w:rPr>
              <w:t>响应供应商</w:t>
            </w:r>
            <w:r>
              <w:t>不是原制造商，须提供该产品原制造商或一级经销商出具的技术参数确认函或佐证材料（加盖制造商或一级经销商公章），如</w:t>
            </w:r>
            <w:r>
              <w:rPr>
                <w:rFonts w:hint="eastAsia"/>
                <w:lang w:eastAsia="zh-CN"/>
              </w:rPr>
              <w:t>响应供应商</w:t>
            </w:r>
            <w:r>
              <w:t>的响应内容与技术参数确认函或佐证材料有不同之处，则以技术参数确认函或佐证材料的内容为准。</w:t>
            </w:r>
          </w:p>
          <w:p/>
          <w:p>
            <w:r>
              <w:t>（二）报价要求，</w:t>
            </w:r>
            <w:r>
              <w:rPr>
                <w:rFonts w:hint="eastAsia"/>
              </w:rPr>
              <w:t>1.本项目以人民币并结合投标下浮率进行报价。以需求项目单价的最高限价为基数计算，投标下浮率&gt;0%，在规定的范围内按投标下浮率进行报价，且投标下浮率唯一，低于下浮率范围的报价作无效投标处理（四舍五入后，小数点后保留两位有效数）。投标报价应包括：设计、货物制造、包装、仓储、运输、安装（含安装所需材料、旧机拆除、墙体改造等）、第三方检测验收（若需要）、保修期与备品备件发生的所有含税费用以及合同实施过程中不可预见费用等，所有货物都必须由中标人专人送达，采购人不代收快递传送货物。项目执行期间项目总金额不变，采购人无须另向中标人支付其他任何费用。</w:t>
            </w:r>
            <w:r>
              <w:t xml:space="preserve"> 2.</w:t>
            </w:r>
            <w:r>
              <w:rPr>
                <w:rFonts w:hint="eastAsia"/>
                <w:lang w:eastAsia="zh-CN"/>
              </w:rPr>
              <w:t>响应供应商</w:t>
            </w:r>
            <w:r>
              <w:t>应当对安装现场和周围环境进行自行勘察，并细阅读了本招标文件的所有有关章节以及审查了所有相关资料，已确保本次采购的所有需求范围内的各种价格风险均已包含在报价内，以获得由</w:t>
            </w:r>
            <w:r>
              <w:rPr>
                <w:rFonts w:hint="eastAsia"/>
                <w:lang w:eastAsia="zh-CN"/>
              </w:rPr>
              <w:t>响应供应商</w:t>
            </w:r>
            <w:r>
              <w:t>自己负责的有关编制响应文件和签署合同的所有信息，一旦中标这种考察即被认为其结果已在响应文件中的充分反映；若因本项目实施中出现任何遗漏、其它未知因素和招标文件无法体现的内容而产生费用，该费用均由</w:t>
            </w:r>
            <w:r>
              <w:rPr>
                <w:rFonts w:hint="eastAsia"/>
                <w:lang w:eastAsia="zh-CN"/>
              </w:rPr>
              <w:t>响应供应商</w:t>
            </w:r>
            <w:r>
              <w:t>承担。</w:t>
            </w:r>
          </w:p>
          <w:p/>
          <w:p>
            <w:r>
              <w:t>（三）交货要求，1.保险要求：供货、运输、装卸、调试及验收等过程中的一切安全及保险等事项由中标人自行负责。 2.设备到现场后，采购人只提供设备库存场所，中标人需做好防盗措施和风雨保护措施，设备的日常保管由中标人负责。 3.设备在交付采购人使用前，应采取措施进行成品保护，保护不力造成损失的，由中标人负责赔偿。 4.中标人应派人员在所供设备到工地后进行到货验收。若发现任何损坏及质量问题，中标人应负责更换零件，并妥善处理至采购人满意，此工作所发生的费用应由中标人自行承担。 5.开箱后，中标人应对其全部产品、零件、配件、用户许可证书、资料等造册登记，并与装箱单对比，如有出入应立即书面记录，由中标人解决，如影响安装则按合同有关条款处理，登记册作为验收文档之一。 6.交货期：签订合同后，中标人收到采购人通知发货之日起90个日历日内完成安装、调试并交付使用。 7.交货地点：采购人指定地点。</w:t>
            </w:r>
          </w:p>
          <w:p/>
          <w:p>
            <w:r>
              <w:t>（四）安装条款、调试、保养服务条款，1.本采购文件所列所有设备、产品在合同签约后按约定时间内全部安装、调试完毕。</w:t>
            </w:r>
            <w:r>
              <w:rPr>
                <w:rFonts w:hint="eastAsia"/>
                <w:lang w:eastAsia="zh-CN"/>
              </w:rPr>
              <w:t>响应供应商</w:t>
            </w:r>
            <w:r>
              <w:t>必须响应并承诺上述要求，并编制具体的时间进度表。 2. 所有含电源线的设备符合国家安全规范，电源线应得到足够保护和位置固定，有相关防漏电的措施。 3.设备的拆箱、安装、通电、调试等各项工作由中标人负责，但必须在采购人指定人员的参与下进行。投标文件中给出的具体安装和测试方法，在实际实施前必须先经采购人同意方可进行，调试的原始记录需经各方签字后作为验收的文件之一。 4.为了使项目按质、按量、按时及有序实施，需要下列项目管理要求：</w:t>
            </w:r>
            <w:r>
              <w:rPr>
                <w:rFonts w:hint="eastAsia"/>
                <w:lang w:eastAsia="zh-CN"/>
              </w:rPr>
              <w:t>响应供应商</w:t>
            </w:r>
            <w:r>
              <w:t>必须提供的设备安装调试及保养维修服务安装队伍要有中标设备制造商确认的资格，确认队伍具备专业知识及技术水平，熟悉所提供产品的技术性能、指标、安装工艺、维修保养知识，有足够能力承担设备的安装，并保证安装工艺达到设备运行合格的要求。 5.中标人（或产品制造商）应在签订合同后5个日历日内与采购人对接，并向采购人提出产品安装、调试应准备的条件。设备到货后应派出有经验的工程技术人员到现场进行安装，采购人给予相应的配合。 6.中标人（或产品制造商）根据现场情况、采购文件的要求和报价文件的承诺及有关国家技术标准、规范进行安装并调试至正常运行的最佳状态。 7.安装过程中，若出现破坏管道、线路、桩柱、地面、墙面等设施现象，要给予修复。完成安装后，需负责清理安装过程中货物的外包装和搞好场地清洁卫生。 8.在安装过程发现的供货及其质量问题，中标人亦要负责补救处理。</w:t>
            </w:r>
          </w:p>
          <w:p/>
          <w:p>
            <w:r>
              <w:t>（五）质量标准，1.</w:t>
            </w:r>
            <w:r>
              <w:rPr>
                <w:rFonts w:hint="eastAsia"/>
                <w:lang w:eastAsia="zh-CN"/>
              </w:rPr>
              <w:t>响应供应商</w:t>
            </w:r>
            <w:r>
              <w:t>应提供制造商原装、全新的、未开封、无侵权、符合国家及采购人提出的有关质量标准的产品，产品质量符合国家和行业标准要求及招标文件的要求，不得以旧货翻新充数，并按有关要求进行包装及装运。设备和设施标明规格型号、技术参数及性能指标，炉具应提供产品的检测合格证。投标的设备性能参数必须真实，发现虚标参数的，取消中标资格。 2.设备应符合中国政府颁布的产品、质量、技术、安全标准及环保标准。 3.</w:t>
            </w:r>
            <w:r>
              <w:rPr>
                <w:rFonts w:hint="eastAsia"/>
                <w:lang w:eastAsia="zh-CN"/>
              </w:rPr>
              <w:t>响应供应商</w:t>
            </w:r>
            <w:r>
              <w:t>所有货物必需提供制造商出具的出厂合格证等质量证明文件。 4.包装：货物包装均应有良好的防湿、防锈、防潮、防雨、防腐及防碰撞的措施。凡由于包装不良造成的损失和由此产生的费用均由中标方承担。要求使用国际通用的标准包装，适合于长途运输，外包装到货时完好无损。</w:t>
            </w:r>
          </w:p>
          <w:p/>
          <w:p>
            <w:r>
              <w:t>(六)质保服务要求，1.</w:t>
            </w:r>
            <w:r>
              <w:rPr>
                <w:rFonts w:hint="eastAsia"/>
                <w:lang w:val="en-US" w:eastAsia="zh-CN"/>
              </w:rPr>
              <w:t>按</w:t>
            </w:r>
            <w:r>
              <w:t>国家、行业标准或售后承诺函保修期限为准，保修费用列入“售后服务报价”中并计入总价；质保期内中标人对所供货物实行包修、包换、包退、包含维护保养，更换同种品牌不低于原规格型号的新部件和软件升级，不再向甲方收取任何费用。期满后需提供终身(有偿)维修保养服务，若有零部件出现故障，经权威部门鉴定属于寿命异常问题（明显短于该零部件正常寿命）时，则由中标人负责免费更换及维修。 2.质保期内，如设备出现故障因中标人未能做到本合同的服务承诺而造成短期停用时，采购人可采取必要的补救措施，但其风险和费用由中标人承担，采购人根据招标文件、投标文件和合同规定对中标人行使的其它权力不受影响。由于中标人的保证服务不到位，则质保期和免费维修期相应顺延，延误一天按三天补偿。如停用时间累计超过15天则质保期重新计算，情节严重中的，采购人有权单方面解除本合同，并有权追究中标人责任。 3.在质保期内对采购人的服务通知，中标人在接报后1小时内响应，12小时内到达现场，24小时内处理完毕，并制作到现场处理完毕后的工作报告，工作报告一式二份，由双方签字或盖章。如果设备的故障在检修24小时后仍无法排除，中标人提供不低于故障设备规格、型号、性能的备用设备供采购人代用，直至故障设备修复，如果需要更换配件的，更换的配件跟被更换的品牌、类型相一致或者是同类更高档次的替代品，后者需征得采购人管理人员同意。 4.在质保期内，如货物同一故障经中标人3次维修仍不能达到采购人使用的质量标准，采购人有权退货，并视作中标人不能交付货物而须支付违约赔偿金给采购人，采购人还可依法追究中标人的违约责任。 5.设备免费安装调试，安装完成之日起7个日历日内免费对采购人的操作人员和维护人员就仪器设备的维护、使用及开发等方面进行现场培训，使采购人受训人员掌握原理、操作、维修保养技术，直至用户能熟练操作为止。 6.质保期满后，若采购人要求，中标人应（参考当时的市场价格）按优惠价格与采购人签订定期维修保养合同及提供采购人所需零配件。在备件停止生产的情况下，中标人应事先将要停止生产的计划通知采购人，使采购人有足够的时间采购所需备件；在备件停止生产后，中标人应免费向采购人提供备件的图纸、资料。 7.中标人须指派专人负责与采购人联系售后服务事宜。</w:t>
            </w:r>
          </w:p>
          <w:p/>
          <w:p>
            <w:pPr>
              <w:numPr>
                <w:ilvl w:val="0"/>
                <w:numId w:val="1"/>
              </w:numPr>
            </w:pPr>
            <w:r>
              <w:t>培训要求，</w:t>
            </w:r>
            <w:r>
              <w:rPr>
                <w:rFonts w:hint="eastAsia"/>
                <w:lang w:eastAsia="zh-CN"/>
              </w:rPr>
              <w:t>响应供应商</w:t>
            </w:r>
            <w:r>
              <w:t>必需提供但不限于以下培训要求： 1.为本项目在7天内为各使用部门所熟悉，减少上手难度，中标人应为该项目准备好使用手册、培训PPT、操作视频，系统软件部署完成后，在采购人指定地点提供现场技术培训不少于3场次，保证使用人员正常操作设备的各种功能； 2.</w:t>
            </w:r>
            <w:r>
              <w:rPr>
                <w:rFonts w:hint="eastAsia"/>
                <w:lang w:eastAsia="zh-CN"/>
              </w:rPr>
              <w:t>响应供应商</w:t>
            </w:r>
            <w:r>
              <w:t>必须根据招标文件采购的设备及采用的相关技术，在招标文件中提出全面的培训计划和课程内容安排，并在合同签订后征得采购人同意后实施； 3.</w:t>
            </w:r>
            <w:r>
              <w:rPr>
                <w:rFonts w:hint="eastAsia"/>
                <w:lang w:eastAsia="zh-CN"/>
              </w:rPr>
              <w:t>响应供应商</w:t>
            </w:r>
            <w:r>
              <w:t>必须提供高水平的培训。培训地点、人数、天数，由中标人列出具体计划并安排实施； 4.培训应包括本招标文件中所有设备的安装和维护、常见故障现象及诊断、常见的问题及解决办法、操作系统软件、系统管理和应用软件、管理软件等； 5.其它原厂增值培训。</w:t>
            </w:r>
          </w:p>
          <w:p>
            <w:pPr>
              <w:numPr>
                <w:ilvl w:val="0"/>
                <w:numId w:val="1"/>
              </w:numPr>
              <w:rPr>
                <w:rFonts w:hint="eastAsia"/>
              </w:rPr>
            </w:pPr>
            <w:r>
              <w:rPr>
                <w:rFonts w:hint="eastAsia"/>
              </w:rPr>
              <w:t>退出机制</w:t>
            </w:r>
            <w:r>
              <w:rPr>
                <w:rFonts w:hint="eastAsia"/>
                <w:lang w:eastAsia="zh-CN"/>
              </w:rPr>
              <w:t>。</w:t>
            </w:r>
          </w:p>
          <w:p>
            <w:pPr>
              <w:numPr>
                <w:ilvl w:val="0"/>
                <w:numId w:val="0"/>
              </w:numPr>
              <w:ind w:firstLine="420" w:firstLineChars="200"/>
              <w:rPr>
                <w:rFonts w:hint="eastAsia"/>
              </w:rPr>
            </w:pPr>
            <w:r>
              <w:rPr>
                <w:rFonts w:hint="eastAsia"/>
              </w:rPr>
              <w:t>1.中标人在合同期满后，按与采购人签订合同条款自然退出。但中标人必须无条件配合采购人和下一任</w:t>
            </w:r>
            <w:r>
              <w:rPr>
                <w:rFonts w:hint="eastAsia"/>
                <w:lang w:val="en-US" w:eastAsia="zh-CN"/>
              </w:rPr>
              <w:t>供货</w:t>
            </w:r>
            <w:r>
              <w:rPr>
                <w:rFonts w:hint="eastAsia"/>
              </w:rPr>
              <w:t>单位做好货物供货各方面的交接工作，确保货物供货工作平稳过渡，过渡期间为采购人提供正常的</w:t>
            </w:r>
            <w:r>
              <w:rPr>
                <w:rFonts w:hint="eastAsia"/>
                <w:lang w:val="en-US" w:eastAsia="zh-CN"/>
              </w:rPr>
              <w:t>供货</w:t>
            </w:r>
            <w:r>
              <w:rPr>
                <w:rFonts w:hint="eastAsia"/>
              </w:rPr>
              <w:t>服务，保证</w:t>
            </w:r>
            <w:r>
              <w:rPr>
                <w:rFonts w:hint="eastAsia"/>
                <w:lang w:val="en-US" w:eastAsia="zh-CN"/>
              </w:rPr>
              <w:t>货物</w:t>
            </w:r>
            <w:r>
              <w:rPr>
                <w:rFonts w:hint="eastAsia"/>
              </w:rPr>
              <w:t xml:space="preserve">质量。 </w:t>
            </w:r>
          </w:p>
          <w:p>
            <w:pPr>
              <w:numPr>
                <w:ilvl w:val="0"/>
                <w:numId w:val="0"/>
              </w:numPr>
              <w:ind w:firstLine="420" w:firstLineChars="200"/>
              <w:rPr>
                <w:rFonts w:hint="eastAsia"/>
              </w:rPr>
            </w:pPr>
            <w:r>
              <w:rPr>
                <w:rFonts w:hint="eastAsia"/>
              </w:rPr>
              <w:t>2.中标人不得无故终止合同，须按质按量完成合同规定的各项工作内容，如中标人因故确实不能履行合同，采购人有权提前与中标人进行解约，此期间中标人必须认真履行合同中的各项条款，直至采购人有下一</w:t>
            </w:r>
            <w:r>
              <w:rPr>
                <w:rFonts w:hint="eastAsia"/>
                <w:lang w:val="en-US" w:eastAsia="zh-CN"/>
              </w:rPr>
              <w:t>供货</w:t>
            </w:r>
            <w:r>
              <w:rPr>
                <w:rFonts w:hint="eastAsia"/>
              </w:rPr>
              <w:t>单位为止，否则视为中标人无故终止合同。中标人应支付由于中标人未能履行合同期间采购人向其他社会力量购买</w:t>
            </w:r>
            <w:r>
              <w:rPr>
                <w:rFonts w:hint="eastAsia"/>
                <w:lang w:val="en-US" w:eastAsia="zh-CN"/>
              </w:rPr>
              <w:t>供货</w:t>
            </w:r>
            <w:r>
              <w:rPr>
                <w:rFonts w:hint="eastAsia"/>
              </w:rPr>
              <w:t xml:space="preserve">服务而产生的相关费用。 </w:t>
            </w:r>
          </w:p>
          <w:p>
            <w:pPr>
              <w:numPr>
                <w:ilvl w:val="0"/>
                <w:numId w:val="0"/>
              </w:numPr>
              <w:ind w:firstLine="420" w:firstLineChars="200"/>
            </w:pPr>
            <w:r>
              <w:rPr>
                <w:rFonts w:hint="eastAsia"/>
              </w:rPr>
              <w:t>3.服务期限届满后，如果新合同因故还没能正式执行时，中标人在采购人未书面通知撤离之前，中标人必须按原合同的条件继续履行至采购人书面通知退出之日止，撤离通知需提前一个月向中标人发出，中标人收到通知之日起15日内完成与新</w:t>
            </w:r>
            <w:r>
              <w:rPr>
                <w:rFonts w:hint="eastAsia"/>
                <w:lang w:val="en-US" w:eastAsia="zh-CN"/>
              </w:rPr>
              <w:t>供货</w:t>
            </w:r>
            <w:r>
              <w:rPr>
                <w:rFonts w:hint="eastAsia"/>
              </w:rPr>
              <w:t>单位交接并撤离。</w:t>
            </w:r>
          </w:p>
          <w:p/>
          <w:p>
            <w:r>
              <w:t>（</w:t>
            </w:r>
            <w:r>
              <w:rPr>
                <w:rFonts w:hint="eastAsia"/>
                <w:lang w:val="en-US" w:eastAsia="zh-CN"/>
              </w:rPr>
              <w:t>九</w:t>
            </w:r>
            <w:r>
              <w:t>）其他要求，（1）</w:t>
            </w:r>
            <w:r>
              <w:rPr>
                <w:rFonts w:hint="eastAsia"/>
                <w:lang w:eastAsia="zh-CN"/>
              </w:rPr>
              <w:t>响应供应商</w:t>
            </w:r>
            <w:r>
              <w:t>必须对项目整体进行报价，提供所投标设备的详细技术资料，并对其提供的资料的真实性、准确性负责。（2）</w:t>
            </w:r>
            <w:r>
              <w:rPr>
                <w:rFonts w:hint="eastAsia"/>
                <w:lang w:eastAsia="zh-CN"/>
              </w:rPr>
              <w:t>响应供应商</w:t>
            </w:r>
            <w:r>
              <w:t>所投设备必须是全新产品，提供设备如属于国家强制性产品的,</w:t>
            </w:r>
            <w:r>
              <w:rPr>
                <w:rFonts w:hint="eastAsia"/>
                <w:lang w:eastAsia="zh-CN"/>
              </w:rPr>
              <w:t>响应供应商</w:t>
            </w:r>
            <w:r>
              <w:t>按国家有关规定提供3C认证证书。国内产品或合资厂的产品为原厂制造商未启封全新包装，序列号、包装箱号与出厂批号一致，必须具备出厂合格证和原厂保修卡。载明对产品的节能要求、合格产品的条件和环境标志产品、节能产品强制采购、优先采购的评标标准。 （3）</w:t>
            </w:r>
            <w:r>
              <w:rPr>
                <w:rFonts w:hint="eastAsia"/>
                <w:lang w:eastAsia="zh-CN"/>
              </w:rPr>
              <w:t>响应供应商</w:t>
            </w:r>
            <w:r>
              <w:t>需在投标文件中提供详细设备说明资料，所提供设备的技术指标必须按照厂家公开公布的实际性能指标参数如实填写，如投标文件的没有如实填写的，到货验收时将导致设备被采购人拒收和索赔，由此引起的所有损失由中标人负责。 （4）</w:t>
            </w:r>
            <w:r>
              <w:rPr>
                <w:rFonts w:hint="eastAsia"/>
                <w:lang w:eastAsia="zh-CN"/>
              </w:rPr>
              <w:t>响应供应商</w:t>
            </w:r>
            <w:r>
              <w:t>必须确保货物及所有配套件的完整性。对于招标文件没有列出，而对货物的正常运行和维护必不可少的且应属于货物配带的部件、配件及安装材料等，</w:t>
            </w:r>
            <w:r>
              <w:rPr>
                <w:rFonts w:hint="eastAsia"/>
                <w:lang w:eastAsia="zh-CN"/>
              </w:rPr>
              <w:t>响应供应商</w:t>
            </w:r>
            <w:r>
              <w:t>有责任给予补充。</w:t>
            </w:r>
          </w:p>
        </w:tc>
      </w:tr>
    </w:tbl>
    <w:p>
      <w:pPr>
        <w:ind w:firstLine="422" w:firstLineChars="200"/>
        <w:rPr>
          <w:rFonts w:hint="default" w:eastAsiaTheme="minorEastAsia"/>
          <w:b/>
          <w:bCs/>
          <w:lang w:val="en-US" w:eastAsia="zh-CN"/>
        </w:rPr>
      </w:pPr>
      <w:r>
        <w:rPr>
          <w:rFonts w:hint="eastAsia"/>
          <w:b/>
          <w:bCs/>
          <w:lang w:val="en-US" w:eastAsia="zh-CN"/>
        </w:rPr>
        <w:t>二、技术参数及相关要求</w:t>
      </w:r>
    </w:p>
    <w:p>
      <w:pPr>
        <w:rPr>
          <w:rFonts w:hint="eastAsia"/>
          <w:lang w:val="en-US" w:eastAsia="zh-CN"/>
        </w:rPr>
      </w:pPr>
      <w:r>
        <w:rPr>
          <w:rFonts w:hint="eastAsia"/>
          <w:lang w:eastAsia="zh-CN"/>
        </w:rPr>
        <w:t>（</w:t>
      </w:r>
      <w:r>
        <w:rPr>
          <w:rFonts w:hint="eastAsia"/>
          <w:lang w:val="en-US" w:eastAsia="zh-CN"/>
        </w:rPr>
        <w:t>一）包一：万元以下手术类小型设备需求清单</w:t>
      </w:r>
    </w:p>
    <w:tbl>
      <w:tblPr>
        <w:tblStyle w:val="6"/>
        <w:tblW w:w="901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7"/>
        <w:gridCol w:w="2052"/>
        <w:gridCol w:w="3840"/>
        <w:gridCol w:w="1500"/>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序号</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最高限价单价（元）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拔牙钳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1#，成人，镶鳃式，304不锈钢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鼻窦咬骨钳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4mm*125mm大号头，304不锈钢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鼻窦咬骨钳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头4mm，上颌窦中号头上弯45°，304不锈钢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鼻窦咬骨钳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4mm*125mm中空前开咬切，304不锈钢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鼻骨膜剥离器</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180mm×3mm，单头带吸引铲形，304不锈钢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198.00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鼻骨膜剥离器</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200mm×4mm×5mm，双头，直长圆形，304不锈钢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198.00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鼻窥器</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160×75mm，304不锈钢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鼻腔撑开器</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55mm*80mm，304不锈钢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鼻组织钳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160mm×3mm，直，尖圆头，304不锈钢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882.00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扁桃体用钳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220mm，三爪，直形，304不锈钢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403.20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剥离器</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钢丝式,3mm，304不锈钢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剥离器</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钢丝式,3.5mm，304不锈钢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剥离器</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钢丝式,4mm，304不锈钢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剥离器</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钢丝式,5mm，304不锈钢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剥离器</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钢丝式,7mm，304不锈钢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剥离器</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钢丝式,9mm，304不锈钢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剥离器</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Φ7mm、大隐静脉，总长810mm，304不锈钢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105.00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剥离器</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Φ9mm、大隐静脉,总长810mm，304不锈钢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105.00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侧角头双关节咬骨钳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220mm×6mm，侧角头，双关节，304不锈钢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肠钳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250mm，弯，斜齿，304不锈钢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144.00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肠钳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250mm，直，斜齿，304不锈钢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144.00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超声软组织切割止血手术设备（换能器1）</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1.配套超声软组织切割止血手术设备使用。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2.配置相应的剪刀式刀头，用于甲状腺、乳腺等手术。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3.换能器集成智能芯片，可以记录使用次数。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4.换能器不可拆卸，结构紧密，振动频率更加稳定。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5.单个换能器至少可重复使用达100次。</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7,800.00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超声软组织切割止血手术设备（换能器2）</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1.配套超声软组织切割止血手术设备使用。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2.配置相应的枪式刀头，用于腹腔手术。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3.换能器集成智能芯片，可以记录使用次数。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4.换能器不可拆卸，结构紧密，振动频率更加稳定。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5.单个换能器至少可重复使用达100次。</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7,800.00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持骨钳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270mm，中心化，304不锈钢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562.00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持骨钳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190mm，中心化，304不锈钢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462.00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持针钳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304不锈钢，180mm，直，粗针，镶片0.5mm</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522.00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持针钳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250mm，直，粗针，304不锈钢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77.50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创口钩</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240mm×55mm×23mm，圆柄，三爪，钝，深部，304不锈钢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274.00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创口钩</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240mm×75mm×30mm，圆柄，三爪，钝，深部，304不锈钢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274.00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创口钩</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240mm×75mm×42mm，圆柄，四爪，钝，深部，304不锈钢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274.00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大骨膜剥离器</w:t>
            </w:r>
          </w:p>
        </w:tc>
        <w:tc>
          <w:tcPr>
            <w:tcW w:w="3840"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220×22mm</w:t>
            </w:r>
            <w:r>
              <w:rPr>
                <w:rStyle w:val="9"/>
                <w:lang w:val="en-US" w:eastAsia="zh-CN" w:bidi="ar"/>
              </w:rPr>
              <w:t>，弯，平刃，304不锈钢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分离结扎钳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18cm 90°×15全齿，304不锈钢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286.00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分离结扎钳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18cm 70°×12全齿，304不锈钢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286.00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腹腔吸引管</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280mm*10mm，304不锈钢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钙石灰</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1.主要组成成份：多孔疏松状结构的大小均匀颗粒，一般含变色指剂，吸收二氧化碳后由粉色变成淡黄色或由白色变成紫色。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2.预期用途：用于二氧化碳等酸性气体的吸收，与麻醉机配套使用。</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355.00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钢丝剪</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大，手柄可拆式,总长500mm，304不锈钢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1,125.00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钢丝结扎钳</w:t>
            </w:r>
          </w:p>
        </w:tc>
        <w:tc>
          <w:tcPr>
            <w:tcW w:w="384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304不锈钢，190mm，镶片</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钢针剪</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200mm×Ф1.2mm，304不锈钢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宫内节育器取出钩</w:t>
            </w:r>
          </w:p>
        </w:tc>
        <w:tc>
          <w:tcPr>
            <w:tcW w:w="384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280mm，直，304不锈钢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骨锤</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250/375g，硬球头，304不锈钢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157.50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骨锉</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250mm</w:t>
            </w:r>
            <w:r>
              <w:rPr>
                <w:rStyle w:val="9"/>
                <w:lang w:val="en-US" w:eastAsia="zh-CN" w:bidi="ar"/>
              </w:rPr>
              <w:t>，单头，304不锈钢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148.50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骨刀</w:t>
            </w:r>
          </w:p>
        </w:tc>
        <w:tc>
          <w:tcPr>
            <w:tcW w:w="3840" w:type="dxa"/>
            <w:tcBorders>
              <w:top w:val="nil"/>
              <w:left w:val="nil"/>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220×12mm，直，平刃，颈椎用，滚花柄，304不锈钢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162.00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骨钩</w:t>
            </w:r>
          </w:p>
        </w:tc>
        <w:tc>
          <w:tcPr>
            <w:tcW w:w="3840"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大265*25*15mm，304不锈钢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骨刮匙</w:t>
            </w:r>
          </w:p>
        </w:tc>
        <w:tc>
          <w:tcPr>
            <w:tcW w:w="3840"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300mm×4mm×10°，前弯，304不锈钢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292.50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骨刮匙</w:t>
            </w:r>
          </w:p>
        </w:tc>
        <w:tc>
          <w:tcPr>
            <w:tcW w:w="3840"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300mm×2mm×10°，前弯，304不锈钢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292.50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骨刮匙</w:t>
            </w:r>
          </w:p>
        </w:tc>
        <w:tc>
          <w:tcPr>
            <w:tcW w:w="3840"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250mm×6mm，直，六方柄，304不锈钢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288.00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骨刮匙</w:t>
            </w:r>
          </w:p>
        </w:tc>
        <w:tc>
          <w:tcPr>
            <w:tcW w:w="3840"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210mm×6mm，直，六方柄，304不锈钢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213.00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骨刮匙</w:t>
            </w:r>
          </w:p>
        </w:tc>
        <w:tc>
          <w:tcPr>
            <w:tcW w:w="3840" w:type="dxa"/>
            <w:tcBorders>
              <w:top w:val="single" w:color="000000" w:sz="4" w:space="0"/>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200×Φ6 / 5×10mm，双头，304不锈钢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176.40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骨刮匙</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200×Φ8 / 7×14mm，双头，304不锈钢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176.40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骨刮匙</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200×Φ10 / 9×17mm，双头，304不锈钢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176.40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骨克丝钳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200mm*2mm 尖头厚腮，304不锈钢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396.00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骨克丝钳</w:t>
            </w:r>
          </w:p>
        </w:tc>
        <w:tc>
          <w:tcPr>
            <w:tcW w:w="384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200mm*2mm 虎头，304不锈钢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396.00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骨膜剥离器</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300mm×Ф20mm，钝口，弯，胶木柄，304不锈钢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232.20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骨膜剥离器</w:t>
            </w:r>
          </w:p>
        </w:tc>
        <w:tc>
          <w:tcPr>
            <w:tcW w:w="3840"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220×10mm</w:t>
            </w:r>
            <w:r>
              <w:rPr>
                <w:rStyle w:val="9"/>
                <w:lang w:val="en-US" w:eastAsia="zh-CN" w:bidi="ar"/>
              </w:rPr>
              <w:t>，弯，平刃，304不锈钢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骨膜剥离器</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220×20mm</w:t>
            </w:r>
            <w:r>
              <w:rPr>
                <w:rStyle w:val="9"/>
                <w:lang w:val="en-US" w:eastAsia="zh-CN" w:bidi="ar"/>
              </w:rPr>
              <w:t>，弯，平刃，304不锈钢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骨膜剥离器</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180×12mm</w:t>
            </w:r>
            <w:r>
              <w:rPr>
                <w:rStyle w:val="9"/>
                <w:lang w:val="en-US" w:eastAsia="zh-CN" w:bidi="ar"/>
              </w:rPr>
              <w:t>，弯，平刃，304不锈钢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骨膜剥离器</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180×10mm</w:t>
            </w:r>
            <w:r>
              <w:rPr>
                <w:rStyle w:val="9"/>
                <w:lang w:val="en-US" w:eastAsia="zh-CN" w:bidi="ar"/>
              </w:rPr>
              <w:t>，弯，平刃，304不锈钢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骨膜剥离器</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180×11 mm</w:t>
            </w:r>
            <w:r>
              <w:rPr>
                <w:rStyle w:val="9"/>
                <w:lang w:val="en-US" w:eastAsia="zh-CN" w:bidi="ar"/>
              </w:rPr>
              <w:t>，弯，平刃，304不锈钢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骨膜剥离器</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180×8mm</w:t>
            </w:r>
            <w:r>
              <w:rPr>
                <w:rStyle w:val="9"/>
                <w:lang w:val="en-US" w:eastAsia="zh-CN" w:bidi="ar"/>
              </w:rPr>
              <w:t>，弯，平刃，304不锈钢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骨撬</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230mm×3mm，髋关节，304不锈钢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198.00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骨撬</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235mm×3mm，髋关节，304不锈钢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198.00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骨撬</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150×15mm，304不锈钢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149.40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刮匙</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230mm×5mm，直形，环状，304不锈钢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1,215.00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刮匙</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230mm×3mm，直形，双刃，环状，304不锈钢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1,215.00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管道钳（皮管钳）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220mm*60mm，304不锈钢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238.50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海绵钳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250×10mm，弯无齿，304不锈钢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80.50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海绵钳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250×10mm，弯有齿，304不锈钢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80.50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后颅凹牵开器</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280mm×30mm，活动式，4mm×4mm钩，钝钩，直型，304不锈钢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会阴剪</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180mm</w:t>
            </w:r>
            <w:r>
              <w:rPr>
                <w:rStyle w:val="9"/>
                <w:lang w:val="en-US" w:eastAsia="zh-CN" w:bidi="ar"/>
              </w:rPr>
              <w:t>，侧弯，304不锈钢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68.50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甲状腺拉钩</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200mm</w:t>
            </w:r>
            <w:r>
              <w:rPr>
                <w:rStyle w:val="9"/>
                <w:lang w:val="en-US" w:eastAsia="zh-CN" w:bidi="ar"/>
              </w:rPr>
              <w:t>，一副，带槽，304不锈钢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截骨刀</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230mmx8mm,直，超薄，圆刃，六角柄，304不锈钢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585.00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截骨刀</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230mm×20mm， 直，平刃，六角柄，304不锈钢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截骨刀</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230mm×18 mm，直，平刃，六角柄，304不锈钢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颈椎拉钩</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180×25×50mm，304不锈钢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胫骨牵开器</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255mm×64mm×24mm，304不锈钢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312.00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开口器</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120mm，钳式，304不锈钢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178.20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开口器</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130mm，304不锈钢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124.20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可重复使用导尿管</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280mm,F15</w:t>
            </w:r>
            <w:r>
              <w:rPr>
                <w:rStyle w:val="9"/>
                <w:lang w:val="en-US" w:eastAsia="zh-CN" w:bidi="ar"/>
              </w:rPr>
              <w:t>（</w:t>
            </w:r>
            <w:r>
              <w:rPr>
                <w:rStyle w:val="10"/>
                <w:lang w:val="en-US" w:eastAsia="zh-CN" w:bidi="ar"/>
              </w:rPr>
              <w:t>Ф5</w:t>
            </w:r>
            <w:r>
              <w:rPr>
                <w:rStyle w:val="9"/>
                <w:lang w:val="en-US" w:eastAsia="zh-CN" w:bidi="ar"/>
              </w:rPr>
              <w:t>），304不锈钢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15.75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拉钩</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200×24×84mm</w:t>
            </w:r>
            <w:r>
              <w:rPr>
                <w:rStyle w:val="9"/>
                <w:lang w:val="en-US" w:eastAsia="zh-CN" w:bidi="ar"/>
              </w:rPr>
              <w:t>，</w:t>
            </w:r>
            <w:r>
              <w:rPr>
                <w:rStyle w:val="10"/>
                <w:lang w:val="en-US" w:eastAsia="zh-CN" w:bidi="ar"/>
              </w:rPr>
              <w:t>S</w:t>
            </w:r>
            <w:r>
              <w:rPr>
                <w:rStyle w:val="9"/>
                <w:lang w:val="en-US" w:eastAsia="zh-CN" w:bidi="ar"/>
              </w:rPr>
              <w:t>形，304不锈钢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拉钩（上额窦型）</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143mmX37mmX25mm，304不锈钢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泪道探针</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直型,φ0.6mm,0.7mm,0.8mm,0.9mm，304不锈钢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122.70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颅骨钻头</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1.机械式钻穿即停功能，确保操作安全；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2.钻头规格：&amp;6mm，&amp;9mm，12mm；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3.刃口采用优质不锈钢GRC58以上高硬度热处理，锋利耐用。</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麻醉开口器</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麻醉用， 右式，304不锈钢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648.60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脑部解剖镊</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200mm，枪形，304不锈钢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248.00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脑膜镊</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200×2×3mm</w:t>
            </w:r>
            <w:r>
              <w:rPr>
                <w:rStyle w:val="9"/>
                <w:lang w:val="en-US" w:eastAsia="zh-CN" w:bidi="ar"/>
              </w:rPr>
              <w:t>钩，304不锈钢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125.00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脑吸引管</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250mm×Φ4mm，可控缩口，304不锈钢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脑吸引管</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220×Ф3.5mm，直，304不锈钢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脑吸引管</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220×Ф4mm，直，304不锈钢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脑吸引管</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220×Ф5mm，直，304不锈钢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脑吸引管</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200×Ф4mm，直，304不锈钢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脑吸引管</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200×Ф4.5mm，直，304不锈钢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脑吸引管</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200×Ф2mm，直，304不锈钢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脑吸引管</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200×Ф3mm，直，304不锈钢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内六角起子</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SW2.5mm，内六方，304不锈钢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内六角起子</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SW3.5mm，内六方，304不锈钢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帕巾钳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160mm，尖头，304不锈钢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帕巾钳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140mm</w:t>
            </w:r>
            <w:r>
              <w:rPr>
                <w:rStyle w:val="9"/>
                <w:lang w:val="en-US" w:eastAsia="zh-CN" w:bidi="ar"/>
              </w:rPr>
              <w:t>，尖头，304不锈钢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皮肤拉钩</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220mm×24mm，钝，四齿，304不锈钢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205.20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剖腹产钳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260mm，304不锈钢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1,008.00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剖腹产钳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300mm，单叶，304不锈钢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324.00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气管扩张钳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150mm  弯型，304不锈钢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185.00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气压止血带袖带</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帆布材质，大号，适用于外科四肢手术中止血用，配合自动气压止血带（仪器）用</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气压止血带袖带</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帆布材质，特大号，适用于外科四肢手术中止血用，配合自动气压止血带（仪器）用</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气压止血带袖带</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帆布材质，小号，适用于外科四肢手术中止血用，配合自动气压止血带（仪器）用</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乳突牵开器</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140mm，固定式，3mm×4mm钩，钝钩，304不锈钢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1,250.00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上颌窦穿刺针</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126.00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舌钳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170mm，直，304不锈钢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121.50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深部拉钩</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300×60×160mm，S形，304不锈钢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深部拉钩</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250×36×105mm</w:t>
            </w:r>
            <w:r>
              <w:rPr>
                <w:rStyle w:val="9"/>
                <w:lang w:val="en-US" w:eastAsia="zh-CN" w:bidi="ar"/>
              </w:rPr>
              <w:t>，</w:t>
            </w:r>
            <w:r>
              <w:rPr>
                <w:rStyle w:val="10"/>
                <w:lang w:val="en-US" w:eastAsia="zh-CN" w:bidi="ar"/>
              </w:rPr>
              <w:t>S</w:t>
            </w:r>
            <w:r>
              <w:rPr>
                <w:rStyle w:val="9"/>
                <w:lang w:val="en-US" w:eastAsia="zh-CN" w:bidi="ar"/>
              </w:rPr>
              <w:t>形，304不锈钢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神经剥离器</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240mm×5mm×0.7mm，带钩，带刃，304不锈钢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268.00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神经剥离器</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240mm×5mm，304不锈钢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268.00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神经剥离器</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240mm×5mm×Ф1，带钩，304不锈钢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268.00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神经根拉钩</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230mm×5mm×135°，直角钩，胶木柄，304不锈钢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262.00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神经根拉钩</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230mm×7mm×135°，直角钩，胶木柄，304不锈钢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262.00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手术刀柄</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3L#，304不锈钢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50.40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手术刀柄</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41.30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手术刀柄</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手术刀柄</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双关节棘突咬骨钳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260mm×16mm，双关节，304不锈钢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1,845.00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双关节咬骨钳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240×5×38°，弯头，双关节，304不锈钢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711.00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双翼阴道检查扩张器</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100*32mm，可调式，304不锈钢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双翼阴道扩张器</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中号（90mm*34mm）绝缘，304不锈钢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375.00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撕囊镊</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三孔大切口撕囊镊,弧形折弯11mm，三孔手柄，总长110mm； ≥2.6mm大切口专用，304不锈钢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792.00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髓核钳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200mm×3mm×7mm，握柄式，304不锈钢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2,655.00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髓核钳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220mm×4mm×10mm，握柄式，304不锈钢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980.00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髓核钳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220mm×2mm×6mm×150°，握柄式，304不锈钢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980.00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探针</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190mm×Φ0.5mm，血管，304不锈钢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405.00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探针</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190mm×Φ1mm，血管，304不锈钢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405.00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探针</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180mm，球头，304不锈钢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84.24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无损伤镊</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250×2，直，无损伤，304不锈钢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无影灯泡</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玻璃，配套冷光单孔手术灯，24V-25W</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五官科吸引管</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直径分别为1.0mm、1.2mm、1.5mm、2.0mm、2.5mm，可以用高温高压等方式进行消毒，304不锈钢材质。</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925.00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吸引管</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380mm，双弯，小切口，304不锈钢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吸引管</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304不锈钢，210mm×Ф3mm，上弯</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495.00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系线镊</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直平台,长,头宽0.3mm，304不锈钢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196.00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显微剥离器</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230mm×2.5mm，圆头，角弯，304不锈钢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1,215.00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显微剪</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180mm，管式，右弯，304不锈钢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8,703.00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显微剪</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225mm，枪状，直头，精细型，304不锈钢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3,370.95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显微剪</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12.5cm直，304不锈钢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显微剪</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14cm弯，304不锈钢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238.40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显微镊</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240mm×0.9mm，枪状，有齿，精细型，304不锈钢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2,115.00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显微镊</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12.5cm*0.1mm直，304不锈钢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显微镊</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12.5cm*0.3mm直，304不锈钢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显微镊</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12.5cn*0.3mm直，304不锈钢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290.80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显微眼用持针钳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304不锈钢，弯尖头，无锁扣，横槽手柄，头部长10mm，总长120mm.可用于6-0至10-0缝合线。</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558.00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镶片持针钳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304不锈钢，200mm，直，细针，镶片0.3mm</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522.00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胸腔镊</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180mm×1.2mm，直，无损伤，304不锈钢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7,100.00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胸腔止血钳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220mm，微弯，304不锈钢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151.20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血管钳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260mm×65mm，圆弯，主动脉、侧壁，304不锈钢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牙骨锤</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180mm，304不锈钢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117.00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牙骨凿</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阻生牙骨凿 直刃，304不锈钢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牙刮匙</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锐匙023-021822cm*3mm双头，304不锈钢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牙刮匙</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锐匙023-0104 牙科专用 22cm*2mm双头，304不锈钢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眼用测量器</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双头φ3.5mm+φ4.0mm&lt;原-角膜印模&gt;，304不锈钢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眼用结扎镊（直形）</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304不锈钢，12mm　1X2平齿，头部6mm台阶，三孔手柄，总长110mm 。</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549.00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咬骨剪</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180mm，直，单关节，304不锈钢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咬骨钳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230mm×6mm，直头，右侧角90°，双关节，304不锈钢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咬骨钳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240mm×2mm×20°，弯头，双关节，304不锈钢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咬骨钳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240mm×3mm，直尖头，大开档，双关节，304不锈钢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医用尺（CR）</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150mm，304不锈钢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22.50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医用电动锯钻</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1．可整机高温高压消毒，耐135℃高温；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2．采用进口电机，功率105瓦；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3．转速900转／分；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4．扭矩4.0牛顿·米；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5．使用免消毒电池；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6．铝合金外壳，中空直径4.0mm，304不锈钢；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7．噪声≤60dB；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8．温升≤25℃。</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8,600.00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医用电动锯钻</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1．可整机高温高压消毒，耐135℃高温；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2．采用进口电机；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3．转速650转／分；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4．扭矩5.0牛顿·米；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5．使用免消毒电池；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6．电池电压14.4伏；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7．铝合金外壳，中空直径4.0mm；304不锈钢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8．噪声≤60dB；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9．温升≤25℃。</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8,600.00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医用电动锯钻（摆锯）</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1．可整机高温高压消毒，耐135℃高温；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2．采用进口电机；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3．锯频15000次／分；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4．锯片硬度HRC52，材料SUS301；304不锈钢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5．使用免消毒电池；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6．铝合金外壳；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7．噪声≤75dB；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8．温升≤25℃。</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8,600.00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医用剪</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12.5cm弯尖，金柄，304不锈钢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318.40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医用剪</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12.5cm直尖，金柄，304不锈钢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318.40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医用剪</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10cm弯尖（眼科剪），304不锈钢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医用剪</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10cm直尖（眼科剪），304不锈钢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医用镊</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12.5cm无钩头0.8mm，304不锈钢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290.80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医用镊</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12.5cm有钩头0.6mm，304不锈钢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290.80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医用镊</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12.5cm有钩头0.8mm，304不锈钢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290.80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阴道扩张器</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90mm*34mm，304不锈钢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阴道拉钩</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160mm×36mm×100mm，凹，板式，单头，304不锈钢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121.00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整形镊</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140×1mm</w:t>
            </w:r>
            <w:r>
              <w:rPr>
                <w:rStyle w:val="9"/>
                <w:lang w:val="en-US" w:eastAsia="zh-CN" w:bidi="ar"/>
              </w:rPr>
              <w:t>，直，有钩，304不锈钢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140.60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止血钳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220mm，弯，全齿，304不锈钢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转换式咬骨钳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180mm×3mm×120°，304不锈钢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2,142.00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椎板拉钩</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w:t>
            </w:r>
            <w:r>
              <w:rPr>
                <w:rStyle w:val="11"/>
                <w:lang w:val="en-US" w:eastAsia="zh-CN" w:bidi="ar"/>
              </w:rPr>
              <w:t>175×28×80mm</w:t>
            </w:r>
            <w:r>
              <w:rPr>
                <w:rStyle w:val="9"/>
                <w:lang w:val="en-US" w:eastAsia="zh-CN" w:bidi="ar"/>
              </w:rPr>
              <w:t>，304不锈钢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椎板牵开器</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210mm×40mm×Ф6mm，单钩，钝钩，直角弯，304不锈钢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椎板咬骨钳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230mm×1mm/10mm×110°，超硬膜，超薄型，304不锈钢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3,280.00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椎板咬骨钳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230mm×2.5mm/10mm×110°，超硬膜，超薄型，304不锈钢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3,280.00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椎板咬骨钳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230mm×2mm/10mm×110°，超硬膜，超薄型，304不锈钢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3,280.00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椎板咬骨钳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220mm×1.0mm×110°超薄，304不锈钢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1,368.00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椎板咬骨钳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185mm×3.0mm×110°，304不锈钢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椎板咬骨钳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220mm×2.0mm×110°，304不锈钢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椎板咬骨钳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220mm×3.0mm×110°（超薄），304不锈钢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椎板咬骨钳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220mm×3.0mm×110° 大开档，304不锈钢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椎板咬骨钳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220mm×5.0mm×110°大开档，304不锈钢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椎板咬骨钳（超薄型）</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220mm×4.0mm×110° 超薄，304不锈钢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椎板咬骨钳（大开档）</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220mm×4.5mm×110°大开档，304不锈钢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子宫刮匙</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280×6（6#）mm，钝，环形，简易柄，304不锈钢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子宫刮匙</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280×7（7#）mm，钝，环形，简易柄，304不锈钢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子宫颈扩张器</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圆头5#，304不锈钢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子宫颈扩张器</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圆头5.5#，304不锈钢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子宫颈扩张器</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圆头6#，304不锈钢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子宫颈扩张器</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圆头6.5#，304不锈钢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子宫颈扩张器</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圆头7#，304不锈钢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子宫颈钳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250mm ，2×3齿，侧弯，304不锈钢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95.50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组织拉钩</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同向直角/直角2×1，304不锈钢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67.90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组织镊</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250mm，1×2钩，304不锈钢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34.20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组织镊</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200，1×2钩，304不锈钢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24.30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组织镊</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140mm，1×2钩，304不锈钢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组织镊</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125mm，1×2钩，304不锈钢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18.50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20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200mm</w:t>
            </w:r>
            <w:r>
              <w:rPr>
                <w:rStyle w:val="9"/>
                <w:lang w:val="en-US" w:eastAsia="zh-CN" w:bidi="ar"/>
              </w:rPr>
              <w:t>，直，304不锈钢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65.70 </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拆线剪</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160mm×45mm，304不锈钢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拆线剪</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140mm×28mm，304不锈钢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45.50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8"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超声软组织切割止血手术设备（发生器）</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1.发生器获批闭合血管可达5mm的三类注册证。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2.振动频率55.6±1KHz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3.发生器输入电源：AC220V±22V，50/60Hz，功率：180VA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4.气压范围：700hPa-1060hPa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5.系统输出功率≤35W±10%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6.系统输出声功率＜10W，输出声功率越小能量损耗越小。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7.系统功率储备指数＞2.5，指数越高系统储备能量越多，运行越稳定。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▲8.具备自适应反馈技术，主机根据组织负载及变化自适应的调整功率的输出。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9.设备具备系统诊断功能，可以检测设备的连接及工作状况，当有问题发生时以图片配合文字的形式对错误操作或故障发出预报警，并展示解决步骤，便于操作者发现并排除故障。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10.具备全彩LCD触摸屏，可以通过触摸屏进行设备、耗材及系统的设置与检测。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11.发生器有1~5档输出功率，在工作时有功率大小的档位显示，刀头工作时有声音提示工作状况。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12.设备使用时，既可提供手控功能，又可提供脚控功能。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13.发生器重量≤7kg。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14.用于普通外科、胃肠外科、肝胆外科、妇产科、胸外科、泌尿外科、头颈外科、小儿外科等科室开放手术或腔镜等针对软组织切割和血管闭合手术。</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持针钳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180mm</w:t>
            </w:r>
            <w:r>
              <w:rPr>
                <w:rStyle w:val="9"/>
                <w:lang w:val="en-US" w:eastAsia="zh-CN" w:bidi="ar"/>
              </w:rPr>
              <w:t>，直，粗针，304不锈钢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58.50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持针钳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14cm，直，粗针，304不锈钢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52.70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持针钳（针持）</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160mm</w:t>
            </w:r>
            <w:r>
              <w:rPr>
                <w:rStyle w:val="9"/>
                <w:lang w:val="en-US" w:eastAsia="zh-CN" w:bidi="ar"/>
              </w:rPr>
              <w:t>，直，粗针，304不锈钢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58.50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冲洗针</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角型0.6mm，304不锈钢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敷料镊</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140mm，直，304不锈钢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12.70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敷料镊</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16cm/无钩，304不锈钢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角膜剪</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304不锈钢，长刃，弯钝头，刃尖至螺丝中心16mm，总长128mm， 交叉处扭哈夫式。</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节育环放置叉</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280mm，直，304不锈钢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可视喉镜</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1.▲摄像头空间分辨率：≥6.35lp/mm，景深5~80mm，视场角：≥60°±15%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2.▲显示屏：≥3英寸电容触摸屏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3.显示器前后转动角度：0°-130°，显示器左右转动角度：0°-270°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4.摄像头内置的LED光源，光照度：＞500LUX，h=30mm(光源距离照度计探头30mm的距离，照度不低于500LUX)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5.图片文件保存格式：JPG,分辨率≥640x480；视频文件保存格式：MP4，分辨率640x480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6.内置锂电池，工作时间≥3小时，充满电时间≤3小时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7.▲软件功能：拍照、录像、图片及视频回放、TypeC接口数据导出，时间设置、语言设置、屏幕亮度设置、待机设置、格式化等功能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8.防雾性能：当温度在20℃~40℃范围变化时，不得产生影响观察的雾层。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9.配备同一厂家的成人款一次性喉镜片，出厂前经过环氧乙烷灭菌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10.标配≥8GSD卡：至少可存储3万张分辨率为640*480，格式为jpg的图片或可存储最短4个小时分辨率为640*480，格式为mp4的视频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脐带剪</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140mm</w:t>
            </w:r>
            <w:r>
              <w:rPr>
                <w:rStyle w:val="9"/>
                <w:lang w:val="en-US" w:eastAsia="zh-CN" w:bidi="ar"/>
              </w:rPr>
              <w:t>，弯，304不锈钢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58.50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枪状镊（鼻用镊）</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16cm枪形有齿 WD，304不锈钢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升降手术器械台车</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高度850×990mm，盘外径：480×785mm，盘内径：400×700mm,高度850×990mm，304不锈钢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手术剪</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18cm，弯尖，304不锈钢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55.60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手术剪</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16cm，弯尖，304不锈钢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51.30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手术剪</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18cm，直圆头，304不锈钢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51.30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手术剪</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14cm/弯尖，304不锈钢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45.80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手术剪</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14cm，直尖，304不锈钢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42.70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手术剪</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14cm，直圆，304不锈钢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42.70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手术剪</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16cm，直圆，304不锈钢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42.70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胸腔镊</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304不锈钢，250×2，直，无损伤</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468.00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眼科剪</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10cm/弯尖，304不锈钢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眼科剪</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10cm，直尖，304不锈钢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51.50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医用镊</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125mm，直,无钩，304不锈钢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整形镊</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14cm无钩 头宽0.8 WD，304不锈钢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整形镊</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14cm有钩 头宽1 WD，304不锈钢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止血带（驱血带）</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止血带宽度为：15cm，长度为100m；外观：松紧带表面平整，无断边胶、漏纬、边沿破损跟污迹、无明显抽丝、断经、断胶、变形等缺陷，橡胶材质。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9.40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止血带（驱血带）</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止血带宽度为：10cm，长度为100m；外观：松紧带表面平整，无断边胶、漏纬、边沿破损跟污迹、无明显抽丝、断经、断胶、变形等缺陷，橡胶材质。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止血钳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220，直，全齿，有钩，304不锈钢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止血钳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180mm</w:t>
            </w:r>
            <w:r>
              <w:rPr>
                <w:rStyle w:val="9"/>
                <w:lang w:val="en-US" w:eastAsia="zh-CN" w:bidi="ar"/>
              </w:rPr>
              <w:t>，弯，全齿，304不锈钢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58.50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止血钳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180mm</w:t>
            </w:r>
            <w:r>
              <w:rPr>
                <w:rStyle w:val="11"/>
                <w:lang w:val="en-US" w:eastAsia="zh-CN" w:bidi="ar"/>
              </w:rPr>
              <w:t>，直，全齿，304不锈钢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58.50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止血钳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14cm，弯，全齿，304不锈钢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52.70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止血钳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14cm，直，全齿</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52.70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止血钳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16cm，直，全齿，304不锈钢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52.70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止血钳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16cm，弯，全齿，304不锈钢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52.70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止血钳（蚊钳）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12.5cm，弯蚊，全齿，304不锈钢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52.70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子宫颈钳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 ，2×3齿，直，304不锈钢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87.00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子宫探针</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280mm，直，带刻度，柔性，304不锈钢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12.50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综合组织剪</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16cm，弯，综合，304不锈钢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55.50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组织剪</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20cm，弯，304不锈钢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55.50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组织剪</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16cm弯，304不锈钢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45.70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18cm，直，304不锈钢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54.30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0" w:hRule="atLeast"/>
        </w:trPr>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组织钳（皮钳）</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16cm直，304不锈钢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bl>
    <w:p>
      <w:pPr>
        <w:numPr>
          <w:ilvl w:val="0"/>
          <w:numId w:val="2"/>
        </w:numPr>
        <w:rPr>
          <w:rFonts w:hint="eastAsia"/>
          <w:lang w:val="en-US" w:eastAsia="zh-CN"/>
        </w:rPr>
      </w:pPr>
      <w:r>
        <w:rPr>
          <w:rFonts w:hint="eastAsia"/>
          <w:lang w:val="en-US" w:eastAsia="zh-CN"/>
        </w:rPr>
        <w:t>包二：万元以下放射类设备需求清单</w:t>
      </w:r>
    </w:p>
    <w:tbl>
      <w:tblPr>
        <w:tblStyle w:val="6"/>
        <w:tblW w:w="909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5"/>
        <w:gridCol w:w="1992"/>
        <w:gridCol w:w="3924"/>
        <w:gridCol w:w="1488"/>
        <w:gridCol w:w="9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参数</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最高限价单价（元）</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不锈钢双联防护屏</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1800mm*1200mm ，铅当量≥0.5mmpb</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9,800.00 </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防辐射巾</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1.防辐射巾规格为400*400mm。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2.铅当量:前面≥0.5mmpb,后面及其他≥0.25mmpb。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3.表面面料为防水指数大于1000的射线防护服专用设计，轻，耐磨，耐用，易清洗，可用酒精擦洗。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4.表面材料超过20种颜色，以便区分，避免交叉污染。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5.铅衣选择对人体无害的材料。</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295.00 </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防辐射巾(儿童型）</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1.防辐射巾规格为300*300mm。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2.铅当量:前面≥0.5mmpb,后面及其他≥0.25mmpb。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3.表面面料为防水指数大于1000的射线防护服专用设计，轻，耐磨，耐用，易清洗，可用酒精擦洗。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4.表面材料超过20种颜色，以便区分，避免交叉污染。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5.铅衣选择对人体无害的材料。</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295.00 </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防辐射帽</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1.铅当量≥0.5mmPb。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2.内部材料采用轻铅防护材料，不脆化硬化、抗老化强，具有高弹性柔软度，抗拉伸性能强。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3.表面材料采用对人体无毒无害防水面料，结实耐用，环保染色，无异味，防水≥2000，防泼水4级，抗皱、抗静电、拒油、拒污。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4.帽尾部紧固调节扣防止脱落。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5.尺寸：按要求定制。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6.颜色:有多种颜色可选。</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1,145.00 </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防辐射帽</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1.防护帽款式为通用型。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2.铅当量:前面≥0.5mmpb,后面及其他≥0.25mmpb。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3.表面面料为防水指数大于1000的射线防护服专用设计，轻，耐磨，耐用，易清洗，可用酒精擦洗。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4.表面材料超过20种颜色，以便区分，避免交叉污染。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6.铅衣选择对人体无害的材料。</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190.00 </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防辐射帽（儿童型）</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1.防护帽款式为儿童通用型。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2.铅当量:前面≥0.5mmpb,后面及其他≥0.25mmpb。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3.表面面料为防水指数大于1000的射线防护服专用设计，轻，耐磨，耐用，易清洗，可用酒精擦洗。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4.表面材料超过20种颜色，以便区分，避免交叉污染。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6.铅衣选择对人体无害的材料。</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190.00 </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防辐射帽围脖连体</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1.铅当量≥0.5mmPb。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2.内部材料采用轻铅防护材料，不脆化硬化、抗老化强，具有高弹性柔软度，抗拉伸性能强。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3.表面材料采用对人体无毒无害防水面料，结实</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耐用，环保染色，无异味，防水≥2000，防泼水4级，抗皱、抗静电、拒油、拒污。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4.防护帽与围领连体,防护效果好,把腮腺也能很好的防护,尼龙粘扣连接。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5.颜色:有多种颜色可选。</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3,240.00 </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防辐射裙</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1.前面铅当量：≥0.5mmPb ，背面铅当量：≥0.25mmPb（袖子≥0.25mmPb）。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2.内部材料采用轻铅防护材料，不脆化硬化、抗老化强，具有高弹性柔软度，抗拉伸性能强。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3.表面材料采用对人体无毒无害防水面料，结实耐用，环保染色，无异味，防水≥2000，防泼水4级，抗皱、抗静电、拒油、拒污。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4.工艺要求：可量身订制，按要求绣字。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5.颜色:有多种颜色可选。</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7,216.00 </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防辐射裙（单面式）</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1.防护衣款式为无袖款式镂空舒适通用型。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2.铅当量:前面≥0.5mmpb,后面及其他≥0.25mmpb。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3.表面面料为防水指数大于1000的射线防护服专用设计，轻，耐磨，耐用，易清洗，可用酒精擦洗。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4.表面材料超过20种颜色，以便区分，避免交叉污染。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5.铅衣选择对人体无害的材料。</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550.00 </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防辐射围脖</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1.铅当量≥0.5mmPb。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2.内部材料采用轻铅防护材料，不脆化硬化、抗老化强，具有高弹性柔软度，抗拉伸性能强。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3.表面材料采用对人体无毒无害防水面料，结实</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耐用，环保染色，无异味，防水≥2000，防泼水4级，抗皱、抗静电、拒油、拒污。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4.尺寸：按要求定制。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5.颜色:有多种颜色可选。</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1,220.00 </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防辐射围脖</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1.防护帽款式为成人大领通用型。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2.铅当量:前面≥0.5mmpb,后面及其他≥0.25mmpb。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3.表面面料为防水指数大于1000的射线防护服专用设计，轻，耐磨，耐用，易清洗，可用酒精擦洗。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4.表面材料超过20种颜色，以便区分，避免交叉污染。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6.铅衣选择对人体无害的材料。</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 </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防辐射围脖（儿童型）</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1.防护帽款式为儿童大领通用型。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2.铅当量:前面≥0.5mmpb,后面及其他≥0.25mmpb。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3.表面面料为防水指数大于1000的射线防护服专用设计，轻，耐磨，耐用，易清洗，可用酒精擦洗。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4.表面材料超过20种颜色，以便区分，避免交叉污染。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6.铅衣选择对人体无害的材料。</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 </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防辐射围脖（直型）</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1.铅当量≥0. 5mmPb.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2.内部材料采用轻铅防护材料，金属微粒分布均匀，保证防护层不游离、不断层、可靠耐用、不脆化硬化、抗老化强，具有高弹性柔软度，抗拉伸性能强。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3.表面材料采用对人体无毒无害防水面料，结实耐用，环保染色，无异味，防水≥2000，防泼水4级，抗皱、抗静电、拒油、拒污。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4.结构：尼龙粘扣连接。                            5.尺寸：高度8cm，长度可根据颈围选S,M,L。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6.颜色:有多种颜色可选</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 </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防辐射衣</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1.连体，上衣跟围裙是连体的；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2.前面铅当量：≥0.5mmPb ，背面铅当量：≥0.25mmPb（袖子≥0.25mmPb）。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3.内部材料采用轻铅防护材料，不脆化硬化、抗老化强，具有高弹性柔软度，抗拉伸性能强。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4.表面材料采用对人体无毒无害防水面料，结实耐用，环保染色，无异味，防水≥2000，防泼水4级，抗皱、抗静电、拒油、拒污。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5.工艺要求：可量身订制，按要求绣字。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6.颜色:有多种颜色可选。</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8,460.00 </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分体防辐射衣</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1.前面铅当量：≥0.5mmPb ，背面铅当量：≥0.25mmPb（袖子≥0.25mmPb）。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2.内部材料采用轻铅防护材料，不脆化硬化、抗老化强，具有高弹性柔软度，抗拉伸性能强。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3.表面材料采用对人体无毒无害防水面料，结实耐用，环保染色，无异味，防水≥2000，防泼水4级，抗皱、抗静电、拒油、拒污。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4.工艺要求：可量身订制，按要求绣字。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5.颜色:有多种颜色可选。</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8,460.00 </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铅背心</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1.防护衣款式为无袖款式镂空舒适通用型。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2.铅当量:前面≥0.5mmpb,后面及其他≥0.25mmpb。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4.表面面料为防水指数大于1000的射线防护服专用设计，耐磨，耐用，易清洗，可用酒精擦洗。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5.表面材料超过20种颜色，避免交叉污染。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6.铅衣选择对人体无害的材料，安全性:无铅粉游离采用优质魔术贴、缝线。</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1,120.00 </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铅屏风</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升降屏风，700mm*1200mm ，铅当量≥0.5mmpb</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9,800.00 </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铅衣架子</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 1000mm*500mm*1500mm，两层撑子固定焊接牢固，可挂5/10件铅衣，脚轮为万向轮，不锈钢材质。</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 </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头颈肩膜</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1.用于头颈肩部位固定。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2.厚度：2.4mm±1mm，均匀网孔分布密度22%、36%等。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3.膜片边缘光滑设计，防割伤。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4.拉伸膜操作时间≥50s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5.膜片硬化后24小时回缩≤5%。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6.软化温度与时间：65℃-70℃时软化时间≤3min。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7.常规型号塑型固化时间：约6分钟。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8.与目前正在使用的体位固定架配套（美式CIVICO/MEDTEC、国产亚克力卡槽式）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9.可用于开口操作。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10.产品为低温热塑材料，主要原料为聚己内酯，可重复使用。</w:t>
            </w:r>
          </w:p>
        </w:tc>
        <w:tc>
          <w:tcPr>
            <w:tcW w:w="1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410.00 </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头膜</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1.用于头部位固定。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2.厚度：2.4mm±1mm，均匀网孔分布密度22%、36%等。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3.膜片边缘光滑设计，防割伤。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4.拉伸膜操作时间≥50s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5.膜片硬化后24小时回缩≤5%。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6.软化温度与时间：65℃-70℃时软化时间≤3min。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7.常规型号塑型固化时间：约6分钟。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8.与目前正在使用的体位固定架配套（美式CIVICO/MEDTEC、国产亚克力卡槽式）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9.可用于开口操作。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10.产品为低温热塑材料，主要原料为聚己内酯，可重复使用。</w:t>
            </w:r>
          </w:p>
        </w:tc>
        <w:tc>
          <w:tcPr>
            <w:tcW w:w="1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157.00 </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胸腹部膜</w:t>
            </w:r>
          </w:p>
        </w:tc>
        <w:tc>
          <w:tcPr>
            <w:tcW w:w="39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1.用于胸腹部位固定。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2.厚度：2.4mm±1mm，均匀网孔分布密度22%、36%等。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3.膜片边缘光滑设计，防割伤。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4.拉伸膜操作时间≥50s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5.膜片硬化后24小时回缩≤5%。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6.软化温度与时间：65℃-70℃时软化时间≤3min。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7.常规型号塑型固化时间：约6分钟。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8.与目前正在使用的体位固定架配套（美式CIVICO/MEDTEC、国产亚克力卡槽式）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9.可用于开口操作。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10.产品为低温热塑材料，主要原料为聚己内酯，可重复使用。</w:t>
            </w:r>
          </w:p>
        </w:tc>
        <w:tc>
          <w:tcPr>
            <w:tcW w:w="1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590.00 </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numPr>
          <w:ilvl w:val="0"/>
          <w:numId w:val="0"/>
        </w:numPr>
        <w:rPr>
          <w:rFonts w:hint="eastAsia"/>
          <w:lang w:val="en-US" w:eastAsia="zh-CN"/>
        </w:rPr>
      </w:pPr>
    </w:p>
    <w:p>
      <w:pPr>
        <w:numPr>
          <w:ilvl w:val="0"/>
          <w:numId w:val="2"/>
        </w:numPr>
        <w:rPr>
          <w:rFonts w:hint="eastAsia"/>
          <w:lang w:val="en-US" w:eastAsia="zh-CN"/>
        </w:rPr>
      </w:pPr>
      <w:r>
        <w:rPr>
          <w:rFonts w:hint="eastAsia"/>
          <w:lang w:val="en-US" w:eastAsia="zh-CN"/>
        </w:rPr>
        <w:t>包三：万元以下其他类小型设备器械需求清单</w:t>
      </w:r>
    </w:p>
    <w:tbl>
      <w:tblPr>
        <w:tblStyle w:val="6"/>
        <w:tblW w:w="925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1"/>
        <w:gridCol w:w="1158"/>
        <w:gridCol w:w="4626"/>
        <w:gridCol w:w="1464"/>
        <w:gridCol w:w="1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参数</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最高限价单价（元）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医用转运车</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1.床身优质碳钢制成，外表静电喷涂。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2.车面为分体结构，平车面板及护栏采用PE材料一次成型，坚实美观；背板采用进口气弹簧作支撑力源，操作简易方便，可升降角度0度至88度，最大承重300KG。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3.该车采用中控刹车系统，采用￠200防尘脚轮。床身升降、倾斜及反倾斜由床体两侧踏板操作，使用方便；床头尾设有中央控制刹车踏板；底罩采用PP材质一体成型，方便清理。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4.升降采用油压杆支撑梁柱设计。配PP护栏、输液架、引流挂钩、可升降导向轮、床垫。两个独立液压泵。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5.通过液压泵控制功能调节：背部摇起角度：0～75°；整体升降：640～960mm；前倾角度：0～15°；后倾角度：0～15°。</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9,900.00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ABS全塑双层治疗车</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整车采用优质ABS工程塑料注塑成型，主板厚度为30mm上主板一体式拉手，四柱结构，均采用高强度ABS工程塑料挤塑成型。不锈钢护栏，防止物品滑落，侧面可配利器盒或挂筒，方便物品存放。配方型储物盒便于不同物品存放。配备一个大抽屉，抽屉内配自由分隔档，可自由存取药品或器械，更适应于临床。车体下面配备两个垃圾桶，悬挂设计，方便取放物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2.外型尺寸：850mm（宽）*520mm（长）*920mm（高）。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3.最大承载：150kg。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4.脚轮配置：四只Ø100mm透明聚氨酯脚轮，其中两只带刹车。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5.外观颜色：主板（上下板）为淡蓝色，立柱主色为灰白色，嵌蓝色装饰条。</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2,600.00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4"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ABS全塑双层治疗车</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整车采用优质ABS工程塑料注塑成型，主板厚度为30mm上主板一体式拉手，四柱结构，均采用高强度ABS工程塑料挤塑成型。不锈钢护栏，防止物品滑落，侧面可配利器盒或挂筒，方便物品存放。配方型储物盒便于不同物品存放。配备一个大抽屉，抽屉内配自由分隔档，可自由存取药品或器械，更适应于临床。车体下面配备两个垃圾桶，悬挂设计，方便取放物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2.外型尺寸：850mm（宽）*520mm（长）*920mm（高）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3.最大承载：150kg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4.脚轮配置：四只Ø100mm透明聚氨酯脚轮，其中两只带刹车。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5.外观颜色：主板（上下板）为淡黄色，立柱主色为深蓝色，嵌黄色装饰条。</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2,600.00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ABS全塑双层治疗车</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整车采用优质ABS工程塑料注塑成型，主板厚度为30mm上主板一体式拉手，四柱结构，均采用高强度ABS工程塑料挤塑成型。不锈钢护栏，防止物品滑落，侧面可配利器盒或挂筒，方便物品存放。配方型储物盒便于不同物品存放。配备一个大抽屉，抽屉内配自由分隔档，可自由存取药品或器械，更适应于临床。车体下面配备两个垃圾桶，悬挂设计，方便取放物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2.外型尺寸：850mm（宽）*520mm（长）*920mm（高）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3.最大承载：150kg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4.脚轮配置：四只Ø100mm透明聚氨酯脚轮，其中两只带刹车。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5.外观颜色：主板（上下板）为淡蓝色， 立柱主色为灰白色，嵌红色装饰条。</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2,600.00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全塑治疗车</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1.规格:83*53*93cm；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2.台面采用ABS 注塑工艺一次成型；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3.双层台面，上下台面三面护栏，一侧扶手，配两只抽屉；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4.静音脚轮，其中两只带刹车功能。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5.托盘间距：47cm。</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980.00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全塑治疗车</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1.规格:83*53*93cm；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2.台面采用ABS 注塑工艺一次成型；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3.双层台面，上下台面三面护栏，一侧扶手，配一只抽屉；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4.静音脚轮，其中两只带刹车功能。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5.托盘间距：47cm。</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980.00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ABS全塑治疗车</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1.规格：71*44.5*95CM;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2.整体由ABS组成，轻便易推动;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3.三层，由一个上面板和两个下面板组成;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4.三层面板每层都带长短护栏，使物品存放更牢固;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5.带把手，推动车子更加方便操作;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6.超静音脚轮，其中两只带刹车功能。</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全塑治疗车</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1.规格：71*44.5*91CM；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2.托盘间距：47CM；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3.整体由ABS组成，轻便易推动；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4.二层，由一个上面板和一个下面板组成；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5.两层面板每层都带长短护栏，使物品存放更牢固；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6.带把手，推动车子更加方便操作；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7.带一个抽屉，可存放更多的物品；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8.超静音脚轮，其中两只带刹车功能；</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全塑治疗车</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1.规格：71*44.5*91CM；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2.托盘间距：47CM；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3.整体由ABS组成，轻便易推动；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4.由一个上面板和一个下面板组成；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5.两层面板每层都带长短护栏，使物品存放更牢固；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6.带把手，推动车子更加方便操作；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7.带两个抽屉，可存放更多的物品；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8.超静音脚轮，其中两只带刹车功能。</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全塑治疗车</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1.规格：60*35*88CM；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2.托盘间距：47CM；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3.整体由ABS组成，轻便易推动；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4.由上一个上面板和一个下面板组成；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5.两层面板每层都带长短护栏，使物品存放更牢固；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6.带把手，推动车子更加方便操作；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7.超静音脚轮，其中两只带刹车功能；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8.带一个抽屉，可存放更多的物品。</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全塑治疗车</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1.规格：60*35*95CM；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2.托盘间距：28CM；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3.整体由ABS组成，轻便易推动；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4.由上一个上面板和两个下面板组成；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5.三层面板每层都带长短护栏，使物品存放更牢固；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6.带把手，推动车子更加方便操作；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7.超静音脚轮，其中两只带刹车功能；</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抢救车</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1.规格：640*480*920mm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2.车体由耐冲击的工程塑料ABS和塑钢材质拼装组成。柱子为防撞钢塑柱。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3.车体内装有五层抽屉，2个小号抽屉，2个中号抽屉，1只大号抽屉。内置分割片，可自由分隔存放不同的药品和物品，抽屉可拆卸清洗消毒，抽拉轻松并有锁定装置，存储更具安全性。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4.超静音脚轮，对角刹车，作业及推动中安静无异音。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5.带有可移动的显示器工作台，方便小型仪器在抢救中使用，带有外接电源，可以扩大抢救车载抢救室的使用范围。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6.带有可伸缩输液架，四爪钩设计，方便快速输液，带有心肺复苏板，氧气瓶托架，针头处理器，杂物箱，中控锁，便捷式精简设备，可为抢救节省时间。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7.标配：显示器平台、输液架、垃圾桶、锐器盒、挂篮、垃圾桶、心肺复苏板。</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轻便妇检床</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1.规格尺寸：L1900×W550mm×H800mm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2.背部升降：0～75°，腿部升降：0～-90°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3.床面活动手柄和脚腕设计，坐标式灵活定位，方便患者的手部及腿部固定。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4.床面下为活动式漏斗，漏斗下方的层板可放置一个污物桶，方便杂物向下排泄，可拆下漏斗进行清洗。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5.床体承载重量≥150Kg,不产生变形。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6.妇检床可手动调节背部及腿部升降功能，背部升降0～75°，腿部倾斜0～-90°。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7.配置一张5公分高密度全海绵+人造皮革。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8.床腿装有塑胶套脚，防止与地面摩擦而产生噪音。</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2,350.00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CR治疗车</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一、规格尺寸：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1、规格尺寸：L1000×W600×H900（mm）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二、功能参数：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1、材质：1.0特厚不锈钢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2、选用优质不锈钢焊接而成，整车抗冲击强，承载强。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3、双层设计，每层下面均焊有支撑管，三面设有不锈钢护栏，保证推行时放置物品的安全。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4、豪华静音包罩脚轮，推动轻盈顺畅，对地面摩擦少，噪音小，耐磨损。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三、配置：豪华静音包罩脚轮4个。</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1,980.00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不锈钢治疗车</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1、规格尺寸：L1200×W860×H460（mm）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二、功能参数：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1、材质：1.0特厚不锈钢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2、治疗车选用优质不锈钢焊接而成，整车抗冲击强，承载强。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3、双层设计，每层下面均焊有支撑管，三面设有不锈钢护栏，保证推行时放置物品的安全。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4、豪华静音包罩脚轮，推动轻盈顺畅，对地面摩擦少，噪音小，耐磨损。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三、配置：豪华静音包罩脚轮4个。</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1,980.00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担架车</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一、规格：1900*600*720mm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二、产品参数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1）担架车采用优质不锈钢管精心加工而成，保证了整体的坚固性。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2）4个普通脚轮。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3）担架车床面采用不锈钢板折弯而成，平整，透气。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4）护栏可上下翻转，翻转的弹簧采用专用弹簧，能持久的保持弹性。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5）上下车体抬动部分，利用平衡工程力学设计，对接容易；并且四角固定部分采用19MM不锈圆管模具成型，强度增加。不管任意方向，都可以轻松对接牢固。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6）床面两边有输液架插孔，不管病人抬动时还是推送时，都可以输液。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7）配置：不锈钢输液架，、黑色防水床垫，四个5寸普通脚轮，1付不钢护栏。</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俯卧位头枕</w:t>
            </w:r>
          </w:p>
        </w:tc>
        <w:tc>
          <w:tcPr>
            <w:tcW w:w="4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尺寸≧25*20*10 材质高分子凝胶</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5,400.00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塑料病历车</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60格带抽</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塑料病历车</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50格带抽</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塑料病历车</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30格无抽</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1,420.00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塑料病历车</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25格带抽</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1,390.00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轮椅</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1.总长116cm，总宽64cm，总高130cm；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2.折叠宽度34cm，靠背高度47cm，座位深度44cm，座位宽度46cm，座位离地面高度53cm，前轮直径20cm，后轮直径61cm；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3.最大载荷110kg；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4.车架：由钢管焊接组合成型，采用可拆式扶手、脚托，可折叠，表面镀铬处理，主架配有防翻后轮，增加安全性。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5.前轮：8英寸PVC轮；配一体冲压成型金属拐臂；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6.后轮：外径24"（610mm），高强度铁轮圈、免充汽后轮，配置镀铬金属手轮；（驱动轮椅用）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7.刹车：配备金属手动驻刹；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8.座靠垫：靠背角度可调节，调整角度90°~180°；配置可单独拆洗U型枕头；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9.扶手：采用活动拆装式扶手，拆卸方便；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10.护板：采用不锈钢护板；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11.脚托：采用可拆式脚托，脚托角度可调节至水平状态；配置高强度铝合金脚踏板，高度可调节；</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轮椅</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1.总长106cm，总宽63cm，总高87cm；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2.折叠宽度24cm，靠背高度45cm，座位深度44cm，座位宽度46cm，座位离地面高度52cm，前轮直径20cm，后轮直径59cm；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3.最大载荷100kg；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4.车架：由钢管焊接组合成型，采用固定式扶手、脚托，可折叠结构，表面镀铬处理。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5.前轮：外径8英寸（20cm）橡胶实心轮，配高强度铝合金前轮叉。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6.后轮：外径24英寸（59cm）免充气胎；配置高强度电镀金属手轮。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刹车：带钢制驻刹，安全可靠。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7.座靠垫：座便板采用加厚海绵座板，带便孔设计，配大容量PVC便桶，前抽拉式，方便护理操作。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8.扶手：固定扶手，配优质PVC扶手垫，配置不锈钢护板；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9.脚托：配置铝合金脚踏板，高度上下可调。</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轮椅</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1.总长106cm，总宽65cm，总高88cm；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2.折叠宽度24cm，靠背高度45cm，座位深度40cm，座位宽度46cm，座位离地面高度50cm，前轮直径20cm，后轮直径59cm；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3.最大载荷100kg；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4.车架：采用固定式扶手、脚托；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5.前轮：为直径8英寸高品质实心橡胶轮胎，高强度金属前叉，采用双轴承加装减震橡胶，转向灵活减少颠簸；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6.后轮：24英寸免充气后轮，配置为28线钢圈、带高强度镀铬钢制手轮（手直接驱动轮椅时使用）。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7.刹车：配备金属手动驻刹，驻车装置制动后不高于座面；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8.座靠垫：座椅及靠背为软座、软靠背,座宽460mm,材料为PVC人造革；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9.扶手：固定扶手，配优质PVC扶手垫、不锈钢护板。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10.脚托：铝合金脚踏板、固定结构，配有小腿带，高度可调。</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单桶污物车</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1.规格：588*428*890mm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2.全优质304不锈钢材；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3.脚踏升降式污物袋自动复位，污物袋为帆布材质，防渗漏、清洗；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4.脚轮要求：四个豪华万向静音轮，其中2只带刹车功能。</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1,278.00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CR晨间护理车（污物车）</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1.规格尺寸：L900×W500×H850（mm）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2.材质：不锈钢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3.左边三层设计，每层下面均焊有支撑管,三面设有不锈钢护栏，保证推行时放置物品的安全。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4.右边配置污物袋，可卸清洗，大容量。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5.静音脚轮，推动轻盈顺畅。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6.配置：静音脚轮4个、污物袋1个。</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医用喷气气垫</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1.性能参数：在 2.7±0.1kPa 气压下输出流量：≥10 L/min，在 1±0.1kPa 气压下流量：≤6 L/min，工作载荷下放置 24 小时压力降：≤5%，最大工作载荷下气垫内压：≥4 kPa，工作时所产生噪声：≤40 dB(A)，工作载荷：150Kg；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2.气垫充气尺寸（长x 宽x 高）：1850x800x80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3.安全类型：II 类。</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970.00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CR婴儿床</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1.规格800*500*700mm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2.车架主体采用优质304不锈钢管弯折、焊接、抛光而成，ABS透明睡盆；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3.床垫是用高密度海绵，透气好，4个带刹高华静音轮。</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ABS送药车</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1.围栏设计，三面防护能有效避免物品掉落,确保安全；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2.整车采用全新ABS注塑成型，具有耐酸、耐腐蚀、抗老化、抗冲击等优点；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3.双层ABS台面设计、灰白色台面灰白色立柱，专用把手方便推动；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4.搭载医用级透明聚氨酯脚轮（∅75），双刹脚轮设计；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5.上下双层大抽屉，内可配分割档或者35孔药盘，方便送药或者存放药品。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6.外型尺寸：71cm*46cm*91cm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7.托盘规格：55cm*41cm，70格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8.最大承载：60kg</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生铁包脚CR输液架（重脚输液架）</w:t>
            </w:r>
          </w:p>
        </w:tc>
        <w:tc>
          <w:tcPr>
            <w:tcW w:w="4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生铁包脚，底座重量不少于15斤可移动，带轮，不锈钢材质。</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氧气瓶推车</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铲板尺寸：25*25cm，车体材料 ：冷轧钢管， 车体总高度： 120cm，脚轮材料 ：橡胶(静音耐磨），支架设计，稳固性高，采用灰胶刹车轮，安全性好</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375.00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软担架</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1.展开尺寸：180*65cm；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2.折叠尺寸：50*25cm；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3.承 重：≤160kg；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4.采用双层加厚牛津布料缝制而成；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5.周边设有8个把手，两头设有2个把手，共计10个把手，把手配置塑料管，适用于山地救援和长距离运送；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6.胸部、腿部设有两条安全绑带，保证病人的安全；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7.可折叠收纳放入手提布包，节省空间，方便携带；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8.可折叠收纳，节省空间，方便携带；</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便携软担架（过床垫）</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帆布，180*70CM</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2"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监护仪</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1.▲医用专业显示屏：≥10寸，分辨率≥800×600，同时观察波形≥10通道；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2.心电、呼吸、无创血压、血氧、体温参数的医用电气安全级别，达到CF级。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3.配置高性能锂电池，电池容量≥4800mAh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4.▲标准配置：心电(ECG)、呼吸(RESP)、无创血压(NBP)、血氧饱和度(SpO2)、灌注指数（PI）、脉率(PR)、双体温(TEMP)；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5.监护的病人类型包括：成人、小儿、新生儿，可根据病人类型自动更改报警设置；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6.显示界面：提供常规界面、大字体、7导联同屏、他床观察等界面；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7.标配心电3/5导；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8.具有监护、手术（滤波）和扩展（诊断）等3种以上的滤波模式；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9.心电扫描速度扫描速度 6.25/12.5/25/50 mm/s；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10.具有起搏检测功能，可检出并滤过起搏器信号，避免被记作正常的QRS波群和心率。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11.▲采用NELLCOR SpO2、FAST SpO2或Masimo SpO2三种金标准血氧技术之一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12.具有灌注指数（PI）显示，指示外周小动脉充盈状态；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13.标配指套式血氧传感器；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14.血氧脉率范围30-300bpm；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15.无创血压监测范围为：收缩压：30-254mmHg、舒张压：10-220mmHg。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16.具有收缩压和舒张压的血压差报警功能；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17.常规使用阻抗法进行呼吸监测。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 4种呼吸导联可以选择RA-LA、RA-LL、LA-RL、LL-RL。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19.无需存储卡或中央站，监护仪存储≥1500组NIBP数据列表、趋势存储回放时间≥1000小时、全息心电波形存储回放时≥120分钟、可存储≥200组报警信息；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20.具备心率变异分析功能。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21.具备动态血压分析功能，可自动统计分析24小时内血压变化，自动显示平均血压、白天和夜间平均血压、血压高于正常百分比等参数，并以柱状图形式显示，为降压药的用量起指示作用。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22.标配通气计算、血液动力学计算、药物浓度计算和氧合计算。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23.可通过有线和无线的方式联入中央监护系统，实现监护仪集中管理。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24.具备HL7数据输出，为EMR/HIS提供联网数据。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25.具备护士呼叫接口和除颤同步输出和USB接口。</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9,800.00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监护仪</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1.具备心电、呼吸、无创血压、血氧饱和度、脉率和体温监测功能。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2.屏幕彩超≥10英寸彩色显示屏。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3.支持同屏显示≥12道波形以同时观察丰富的信息。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4.支持待机模式、夜间模式、演示模式、隐私模式、插管模式、NFC模式。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5.主机配备一个VGA或HDMI接口以及不少于2个USB口，可用于外接条码枪扫描枪、键盘、U盘储存等设备。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6.支持网络流量监控及控制，设定流量限额，以提供更高的网络安全管控，防止恶意软件攻击，支持AES 128位加密和TLS 256 位数据传输加密。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7.在任何滤波模式下均可监测ST值。提供心电ST段分析功能，支持在专门的窗口中分组显示心脏不同位置的ST实时片段和参考片段。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8.在诊断模式下，支持94dB的共模抑制比；在监护、手术模式下，支持不低于105dB的共模抑制比。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9.支持0.67Hz的高通滤波，确保波形有更好的稳定性。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10.支持≥29种心律失常分析，包括房颤分析、肢体低电压，满足心电监护临床应用。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11.QT和QTc实时监测参数测量范围：200～800 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12.无创血压成人测量范围：收缩压25~290mmHg，舒张压10~200 mmHg。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13.无创血压提供手动、自动、连续、序列四种测量模式。自动模式支持自定义设置血压测量间隔，间隔时间支持从1-460分钟内的任意整数数值。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14.具备技术报警和生理报警两个独立的报警灯位置，能够分别显示且同时显示两种报警。</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9,360.00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超声多普勒胎心监测仪</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1.标配配置: 胎心率、胎动、宫缩压力、内置打印机、锂电池，选配功能：双胞胎、胎儿换醒器。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2.超声工作频率：1MHz。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3.超声波束声强：Iob&lt;10mW/cm2。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4.▲胎心率测量范围：30bpm～250bpm，精度：±1bpm。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5.宫缩压力测量范围0-100单位。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6.具有手动胎动和自动胎动标记功能。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7.不小于5.5英寸折叠式液晶屏，0-90°可调，方便观察。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8.隐藏式提手设计，美观大方。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9.位于正前方的打印机纸仓，方便装纸，更利于观察。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10.内置热敏打印机宽度不小于112mm，并支持USB外置打印机。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11.统一传感器接口设计（胎心、宫缩、胎动），探头自动识别，可随意插拔。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12.标配高灵敏度防水探头，可进行水中分娩。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13.内置专家评分功能，包括【KREBS】、【Fischer】、【改良Fischer】、【NST】。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14.具有胎心信号强弱提示，交叉通道验证、双胎迹线分离功能。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15.具有定时监护和定时打印功能，避免超时监护对胎儿造成影响。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16.存储不少于2000份的病例数据，支持U盘导出导入病例；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17.▲可将病历报告生成图片格式保存，方便远程诊断、教学。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18.支持智能电源管理，可定时触发锁屏，待机，关机，节能环保。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19.标配内置锂电池。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20.内置通讯接口，支持有线/无线连接中央监护系统。</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3,600.00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超声多普勒胎音仪</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1.手持式，一手掌握；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2.高亮度LED屏幕显示胎心数字，探头工作状态及探头工作频率自动识别显示；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3.超声工作频率：标配3MHz±10% ，可选配2MHz±10%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4.高灵敏度超声探头，可检测9周小孕周胎儿心率；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5.探头与主机分体设计，探头可更换；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6.超声输出强度：Iob≤8mW/cm2；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7.胎心率检测范围：50-240bpm，心率检测精度：±2bpm；分辨率：1bpm；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8.在探头表面200mm的距离处，灵敏度≥90dB；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9.电源：标配充电电池可在线待机充电，连续工作时间≥10小时；；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10.具有电量低提示功能；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11.无信号1分钟自动关机和探头归位自动关机功能；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12.内置扬声器；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13.具有音频输出接口，可接驳耳机或有音频输入的录音机。</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脉搏血氧仪</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1.显示方式:OLED显示或LED显示，脉搏氧饱和度显示范围为:0%-100%，脉率显示范围为:25bpm-250bpm；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2.测量精度:血氧饱和度在70%-100%段为±2%，小于70%无定义，脉率为25bpm~250bpm，测量误差±1%或±1bpm，二者中较大者；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3.弱灌注情况下的测量性能:在脉搏充盈度为6%时能正确显示血氧饱和度值和脉率值。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4.无手指插入时8秒后自动退出。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5.LED的光源参数：辐射功率红光660±15nm&lt;4mW；红外905/940±20nm&lt;4mW</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注射泵（双泵）</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1.微泵体重模式，具有≥10种单位自动进行换算，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2、注射速率范围：5ml注射器0.1-150ml/h；10ml注射器0.1-300ml/h；20ml注射器0.1-600ml/h；30ml注射器0.1-900ml/h；50ml注射器 0.1-1200ml/h。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3.注射器规格自动识别：5ml 、10ml、20ml、30ml 、50（60）ml规格注射器，支持多种注射器品牌并自动识别注射器规格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4.注射量误差：±2.0%（机械误差±1%）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5.快速推注bolus功能， bolus速度：5ml规格注射器150ml/h；10ml规格注射器300ml/h，其它规格注射器600 ml/h；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6.流速设定范围：0.1～1200ml/h.。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7.注射量总累积量：可显示0.001～99999ml或0.001mg～99999mg。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8.KVO速率：0.1-5 ml/ 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9.≥4.3寸TFT真彩屏幕，中文大字体显示界面，显示屏为折叠式显示屏。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10.可调节压力报警阈，阻塞压力报警可以设置至少八个级别：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11.交直流两用：交流100V～240V，50/60Hz。可充电锂电池：具有电池容量显示，充电10小时以上，可以持续工作3小时以上。</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8,200.00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8"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注射泵（单泵）</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1.屏幕尺寸≥3.5英寸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2.自动识别注射器：规格为5ml 、10ml、20 ml、30 ml、50（60）ml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3.≥8种注射模式可选，支持梯度模式、首剂量模式、序列模式、TIVA模式、微量模式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4.输注速率最大支持2000ml/h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5.阻塞级别：10级可选择，动态显示管路的压力状态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6.触摸屏操作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7.具有手动快进、快速定量快进、自动快进等三种快进方式可选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8.支持配置药物库, 可存储至少2000种药物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9.声音音量等级：可调10级报警音量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10.夜间模式：可自动降低亮度和报警音量，时间段可调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11.界面风格可设置多种主题颜色，以便通过颜色快速识别输注药物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12.具有“按键”放大显示输注速度功能，一键放大输注速度数值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13.内置锂电池，以5ml/h速度注射，可实现工作时间最长不少于20h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14.可联网输注中央监护系统，实现远程集中监护10个科室，并且每个科室可显示50个房间和50个床位的输注信息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15.可联网输注中央监护系统，其具有持续质量改进功能，并新建形成报告，用于统计输注报警事件、药物液量、输注模式等进行统计对比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16.可联网输注中央监护系统，支持显示监护仪数据，并与患者的用药情况进行同屏显示，为临床治疗提供参考</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3,350.00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8"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输液泵（双泵）</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1.输液模式： 流速模式，滴速模式，时间模式，体重模式，剂量模式、药物库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2.适用输液器：适用于普通和泵用一次性使用输液器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3.输液精度：±5%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4.输液速度 ：(0.10～2001.00)ml/h，最小步进0.01ml/h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5.滴速速度：（1～100）d/min，步长为1d/min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6.预置量：(0.10～9999.99) ml，最小步进0.01ml,“0”表示设定为无输液限制量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7.预置输注时间范围： 00h00min～99h59min（时间模式）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8.累积量：0-36000 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9.静脉畅通：具有KVO功能，保持静脉畅通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10.KVO速度 ：（0.10～10.0）ml/h，最小步进应为0.01ml/h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11.快速输注：具有BOLUS快速输液功能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12.BOLUS流速：0.10～2001.00）ml/h，最小步进0.01ml/h，液量 （0，0.10～9999.99）ml，最小步进0.01ml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13.冲洗功能 具备自动冲洗和手动冲洗功能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14.冲洗速度 （0.1～2001.00）ml/h，最小步进为0.1ml/h，冲洗液量 （0，0.10～9999.99）ml，最小步进为 0.01ml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15.气泡检测：超声波气泡检测，5档 25 ,50,100,250,500ul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16.动态压力：具有动态压力显示，实时显示压力信息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17.阻塞压力：13档 （10～130）kPa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18.加温功能：自带加温功能，不需要外置加温模块或者加热器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19.夜间模式 ：启动夜间模式后，屏幕变暗，按键音关闭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20.不少于1600条历史记录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21.声光报警：门未关、气泡、阻塞、输液完成、接近完成、忘记操作、电池供电、电量低、电池耗尽、交流掉电、加热错误、输液管错误、设备异常等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22.性能：防止误关机，药物库，防反转检测功能，双CPU监控，快速给药，按键锁，在线滴定功能：不中断输液情况下可以安全更改速率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23.装夹方式：固定夹可旋转，固定在输液架或者救护车内横杆上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24.具备电池，25ml/h的速度连续工作时间大于5小时</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7,450.00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输液泵（单泵）</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1.输液模式 流速模式，滴速模式，时间模式，体重模式，剂量模式，间断给药模式，梯度模式，切换模式，编程模式，微量模式，混合模式，药物库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2.适用输液器 适用于普通和泵用一次性使用输液器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3.输液精度 ±5%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4.输液速度 (0.10-2001.00)ml/h，最小步进0.01ml/h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5.滴速速度 (1-400)d/min，最小步进1d/min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6.预置量 (0.00～99999.99) ml，最小步进0.01ml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7.累积量 (0.00～99999.99) 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8.KVO速度 (0.10～10.00)ml/h，最小步进应为0.01ml/h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9.BOLUS流速 (0.10～2001.00)ml/h，最小步进0.01ml/h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10.BOLUS预置量 (0.00-100.00)ml，最小步进0.01ml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11.气泡检测 超声波气泡检测，6档 25ul，50ul，100ul，250ul，500ul，800ul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12.阻塞压力 压力检测器，13档 （10-160）kPa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13.动态压力 具有动态压力显示，实时显示压力信息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14.日志 不少于30000条历史记录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15.声光报警 门未关、气泡、阻塞、输液完成、接近完成、忘记操作、电量低、电池耗尽、交流掉电、滴速异常、加温故障、输液管错误、瓶空、定时关机、系统故障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16.夜间模式 具有夜间模式，可调节屏幕亮度</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营养泵</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1.喂养模式：连续喂养模式、间歇喂养模式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2.冲洗功能：自动冲洗功能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3.适用输液器：适用于任何厂家生产的普通专用一次性肠内营养输注器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4.输液精度：±10%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5.输液速度：(1～1200)ml/h，最小步进1ml/h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6.预置量：（0.0，1.0～9999.9）ml，最小步进为0.1ml；“ 0.0 ”表示设定为无喂养限制量。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7.累积量 ：0.0～36000.0 (ml)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8.BOLUS流速 ：（1～1200）ml/h，最小步进为1ml/h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9.BOLUS液量 ：（0.0，1.0～9999.9）ml，最小步进0.1 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10.冲洗速度 ：（700～1200）ml/h，最小步进为1ml/h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11.冲洗液量 ：（0.0，1.0～9999.9）ml，最小步进0.1 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12.阻塞压力：7档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13.KTO：0-30ml/h,最小步进1ml/h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14.≥50000条历史记录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15.声光报警：系统故障、门未关、阻塞、电量低、电池耗尽、专用管错误、未装营养管、电池故障、加热超温、未装加温条、接近完成、喂养完成、交流掉电、忘记操作、待机结束、瓶空。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16.性能：内置滴速传感器检测瓶空，双CPU监控，按键锁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23.电池 ： ≥3000mAh：125ml/h的速度连续工作时间大于10小时</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床单位臭氧消毒机</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1.臭氧浓度：＞1400mg/m³（袋内浓度，提供检测报告，包含变化曲线）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2.臭氧产量：＞5000mg/h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3.臭氧泄漏量：＜0.003mg/m³，提供检测报告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4.臭氧残留量：＜0.016mg/m³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5.噪声：＜50dB(A)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6.消毒时间：1min～99min任选，带自动保存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7.压缩时间：1min～99min任选，带自动保存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8.解析时间：1min～99min任选，带自动保存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9.流量：22L/min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10.输出压力：＞0.01mpa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11.消毒床位数量：1-2床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12.对大肠杆菌杀灭率、金黄色葡萄球菌杀灭对数值≥3</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7,027.00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壁挂式动静态空气净化消毒器</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1.动态工作模式：动态（人机共存）光催化消毒模式，静态臭氧消毒模式。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2.静态臭氧消毒模式时臭氧发生量：2500mg/h(新空气源)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3.光催化网：孔径≥110PPI，孔隙率≥95%，TiO2 纳米级≤15nm。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4.光催化网（光触媒网）材料：TIo2。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5.光催化网（光触媒网）；专利化学覆膜技术。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6.动态光催化工作消毒模式空气中臭氧含量0mg/h。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7.机内紫外线辐照强度最小临界值(距离灯管 1cm 处)≥10000uw/cm。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8.动态光催化消毒时紫外线泄露辐照强度：0.0uw/ 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9.初效过滤器：滤除粉尘、纤维；光催化消毒器：长效动态消毒、灭菌、去污、分解有害气体；活性炭纤维净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化器：吸附、分解有害气体及烟雾。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10.负离子发生器：清新空气, 负离子含量≥6×10</w:t>
            </w:r>
            <w:r>
              <w:rPr>
                <w:rStyle w:val="12"/>
                <w:lang w:val="en-US" w:eastAsia="zh-CN" w:bidi="ar"/>
              </w:rPr>
              <w:t>6</w:t>
            </w:r>
            <w:r>
              <w:rPr>
                <w:rStyle w:val="13"/>
                <w:lang w:val="en-US" w:eastAsia="zh-CN" w:bidi="ar"/>
              </w:rPr>
              <w:t>个。</w:t>
            </w:r>
            <w:r>
              <w:rPr>
                <w:rStyle w:val="13"/>
                <w:lang w:val="en-US" w:eastAsia="zh-CN" w:bidi="ar"/>
              </w:rPr>
              <w:br w:type="textWrapping"/>
            </w:r>
            <w:r>
              <w:rPr>
                <w:rStyle w:val="13"/>
                <w:lang w:val="en-US" w:eastAsia="zh-CN" w:bidi="ar"/>
              </w:rPr>
              <w:t>11.具有程控，遥控和手控功能；按设置程序自动选择消毒模式，消毒时段，每日每种消毒模式可设置 9 个时间</w:t>
            </w:r>
            <w:r>
              <w:rPr>
                <w:rStyle w:val="13"/>
                <w:lang w:val="en-US" w:eastAsia="zh-CN" w:bidi="ar"/>
              </w:rPr>
              <w:br w:type="textWrapping"/>
            </w:r>
            <w:r>
              <w:rPr>
                <w:rStyle w:val="13"/>
                <w:lang w:val="en-US" w:eastAsia="zh-CN" w:bidi="ar"/>
              </w:rPr>
              <w:t>段，自动运行实现无人操作。</w:t>
            </w:r>
            <w:r>
              <w:rPr>
                <w:rStyle w:val="13"/>
                <w:lang w:val="en-US" w:eastAsia="zh-CN" w:bidi="ar"/>
              </w:rPr>
              <w:br w:type="textWrapping"/>
            </w:r>
            <w:r>
              <w:rPr>
                <w:rStyle w:val="13"/>
                <w:lang w:val="en-US" w:eastAsia="zh-CN" w:bidi="ar"/>
              </w:rPr>
              <w:t>12.静音风机：循环送风,循环风量:600m3/h。</w:t>
            </w:r>
            <w:r>
              <w:rPr>
                <w:rStyle w:val="13"/>
                <w:lang w:val="en-US" w:eastAsia="zh-CN" w:bidi="ar"/>
              </w:rPr>
              <w:br w:type="textWrapping"/>
            </w:r>
            <w:r>
              <w:rPr>
                <w:rStyle w:val="13"/>
                <w:lang w:val="en-US" w:eastAsia="zh-CN" w:bidi="ar"/>
              </w:rPr>
              <w:t>13.机内紫外线强度衰减自动报警系统。</w:t>
            </w:r>
            <w:r>
              <w:rPr>
                <w:rStyle w:val="13"/>
                <w:lang w:val="en-US" w:eastAsia="zh-CN" w:bidi="ar"/>
              </w:rPr>
              <w:br w:type="textWrapping"/>
            </w:r>
            <w:r>
              <w:rPr>
                <w:rStyle w:val="13"/>
                <w:lang w:val="en-US" w:eastAsia="zh-CN" w:bidi="ar"/>
              </w:rPr>
              <w:t>14.机内紫外灯管使用寿命≥8000小时。</w:t>
            </w:r>
            <w:r>
              <w:rPr>
                <w:rStyle w:val="13"/>
                <w:lang w:val="en-US" w:eastAsia="zh-CN" w:bidi="ar"/>
              </w:rPr>
              <w:br w:type="textWrapping"/>
            </w:r>
            <w:r>
              <w:rPr>
                <w:rStyle w:val="13"/>
                <w:lang w:val="en-US" w:eastAsia="zh-CN" w:bidi="ar"/>
              </w:rPr>
              <w:t>15.滤网集尘超标和故障自动报警装置。</w:t>
            </w:r>
            <w:r>
              <w:rPr>
                <w:rStyle w:val="13"/>
                <w:lang w:val="en-US" w:eastAsia="zh-CN" w:bidi="ar"/>
              </w:rPr>
              <w:br w:type="textWrapping"/>
            </w:r>
            <w:r>
              <w:rPr>
                <w:rStyle w:val="13"/>
                <w:lang w:val="en-US" w:eastAsia="zh-CN" w:bidi="ar"/>
              </w:rPr>
              <w:t>16.消毒功率：120W，额定频率：50Hz±1Hz。</w:t>
            </w:r>
            <w:r>
              <w:rPr>
                <w:rStyle w:val="13"/>
                <w:lang w:val="en-US" w:eastAsia="zh-CN" w:bidi="ar"/>
              </w:rPr>
              <w:br w:type="textWrapping"/>
            </w:r>
            <w:r>
              <w:rPr>
                <w:rStyle w:val="13"/>
                <w:lang w:val="en-US" w:eastAsia="zh-CN" w:bidi="ar"/>
              </w:rPr>
              <w:t>17.累时：运行累计时间≥70000小时。</w:t>
            </w:r>
            <w:r>
              <w:rPr>
                <w:rStyle w:val="13"/>
                <w:lang w:val="en-US" w:eastAsia="zh-CN" w:bidi="ar"/>
              </w:rPr>
              <w:br w:type="textWrapping"/>
            </w:r>
            <w:r>
              <w:rPr>
                <w:rStyle w:val="13"/>
                <w:lang w:val="en-US" w:eastAsia="zh-CN" w:bidi="ar"/>
              </w:rPr>
              <w:t>18.电脑程序和时钟均有记忆功能,断电后复电重启,无需重新设置,机器按元设定程序运行。</w:t>
            </w:r>
            <w:r>
              <w:rPr>
                <w:rStyle w:val="13"/>
                <w:lang w:val="en-US" w:eastAsia="zh-CN" w:bidi="ar"/>
              </w:rPr>
              <w:br w:type="textWrapping"/>
            </w:r>
            <w:r>
              <w:rPr>
                <w:rStyle w:val="13"/>
                <w:lang w:val="en-US" w:eastAsia="zh-CN" w:bidi="ar"/>
              </w:rPr>
              <w:t>19.适用体积：≤120m</w:t>
            </w:r>
            <w:r>
              <w:rPr>
                <w:rStyle w:val="12"/>
                <w:lang w:val="en-US" w:eastAsia="zh-CN" w:bidi="ar"/>
              </w:rPr>
              <w:t>3</w:t>
            </w:r>
            <w:r>
              <w:rPr>
                <w:rStyle w:val="13"/>
                <w:lang w:val="en-US" w:eastAsia="zh-CN" w:bidi="ar"/>
              </w:rPr>
              <w:t>;使用范围：医院手术室、产房、病房、婴儿室、早产儿室、重症监护病房，一般病房，ICU等医疗医技科室。</w:t>
            </w:r>
            <w:r>
              <w:rPr>
                <w:rStyle w:val="13"/>
                <w:lang w:val="en-US" w:eastAsia="zh-CN" w:bidi="ar"/>
              </w:rPr>
              <w:br w:type="textWrapping"/>
            </w:r>
            <w:r>
              <w:rPr>
                <w:rStyle w:val="13"/>
                <w:lang w:val="en-US" w:eastAsia="zh-CN" w:bidi="ar"/>
              </w:rPr>
              <w:t>20.产品必须具有消毒产品卫生安全评价报告备案证和国家疾控中心相关检验报告，标准配置消毒后能达到卫生部《消毒技术规范》（医院Ⅱ类无菌环境要求即≤200cfu/m</w:t>
            </w:r>
            <w:r>
              <w:rPr>
                <w:rStyle w:val="12"/>
                <w:lang w:val="en-US" w:eastAsia="zh-CN" w:bidi="ar"/>
              </w:rPr>
              <w:t>3</w:t>
            </w:r>
            <w:r>
              <w:rPr>
                <w:rStyle w:val="13"/>
                <w:lang w:val="en-US" w:eastAsia="zh-CN" w:bidi="ar"/>
              </w:rPr>
              <w:t>）。</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壁挂式动静态空气净化消毒器</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1.动态工作模式：动态（人机共存）光催化消毒模式，静态臭氧消毒模式。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2.静态臭氧消毒模式时臭氧发生量：2500mg/h(新空气源)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3.光催化网：孔径≥110PPI，孔隙率≥95%，TiO2 纳米级≤15nm。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4.光催化网（光触媒网）材料：TIo2。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5.光催化网（光触媒网）；专利化学覆膜技术。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6.动态光催化工作消毒模式空气中臭氧含量 0mg/h。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7.机内紫外线辐照强度最小临界值(距离灯管 1cm 处)≥10000uw/cm。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8.动态光催化消毒时紫外线泄露辐照强度：0.0uw/ 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9.初效过滤器：滤除粉尘、纤维；光催化消毒器：长效动态消毒、灭菌、去污、分解有害气体；活性炭纤维净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化器：吸附、分解有害气体及烟雾。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10.负离子发生器：清新空气, 负离子含量≥6×10</w:t>
            </w:r>
            <w:r>
              <w:rPr>
                <w:rStyle w:val="12"/>
                <w:lang w:val="en-US" w:eastAsia="zh-CN" w:bidi="ar"/>
              </w:rPr>
              <w:t>6</w:t>
            </w:r>
            <w:r>
              <w:rPr>
                <w:rStyle w:val="13"/>
                <w:lang w:val="en-US" w:eastAsia="zh-CN" w:bidi="ar"/>
              </w:rPr>
              <w:t>个。</w:t>
            </w:r>
            <w:r>
              <w:rPr>
                <w:rStyle w:val="13"/>
                <w:lang w:val="en-US" w:eastAsia="zh-CN" w:bidi="ar"/>
              </w:rPr>
              <w:br w:type="textWrapping"/>
            </w:r>
            <w:r>
              <w:rPr>
                <w:rStyle w:val="13"/>
                <w:lang w:val="en-US" w:eastAsia="zh-CN" w:bidi="ar"/>
              </w:rPr>
              <w:t>11.具有程控，遥控和手控功能；按设置程序自动选择消毒模式，消毒时段，每日每种消毒模式可设置 9 个时间</w:t>
            </w:r>
            <w:r>
              <w:rPr>
                <w:rStyle w:val="13"/>
                <w:lang w:val="en-US" w:eastAsia="zh-CN" w:bidi="ar"/>
              </w:rPr>
              <w:br w:type="textWrapping"/>
            </w:r>
            <w:r>
              <w:rPr>
                <w:rStyle w:val="13"/>
                <w:lang w:val="en-US" w:eastAsia="zh-CN" w:bidi="ar"/>
              </w:rPr>
              <w:t>段，自动运行实现无人操作。</w:t>
            </w:r>
            <w:r>
              <w:rPr>
                <w:rStyle w:val="13"/>
                <w:lang w:val="en-US" w:eastAsia="zh-CN" w:bidi="ar"/>
              </w:rPr>
              <w:br w:type="textWrapping"/>
            </w:r>
            <w:r>
              <w:rPr>
                <w:rStyle w:val="13"/>
                <w:lang w:val="en-US" w:eastAsia="zh-CN" w:bidi="ar"/>
              </w:rPr>
              <w:t>12.静音风机：循环送风,循环风量:600m3/h。</w:t>
            </w:r>
            <w:r>
              <w:rPr>
                <w:rStyle w:val="13"/>
                <w:lang w:val="en-US" w:eastAsia="zh-CN" w:bidi="ar"/>
              </w:rPr>
              <w:br w:type="textWrapping"/>
            </w:r>
            <w:r>
              <w:rPr>
                <w:rStyle w:val="13"/>
                <w:lang w:val="en-US" w:eastAsia="zh-CN" w:bidi="ar"/>
              </w:rPr>
              <w:t>13.机内紫外线强度衰减自动报警系统。</w:t>
            </w:r>
            <w:r>
              <w:rPr>
                <w:rStyle w:val="13"/>
                <w:lang w:val="en-US" w:eastAsia="zh-CN" w:bidi="ar"/>
              </w:rPr>
              <w:br w:type="textWrapping"/>
            </w:r>
            <w:r>
              <w:rPr>
                <w:rStyle w:val="13"/>
                <w:lang w:val="en-US" w:eastAsia="zh-CN" w:bidi="ar"/>
              </w:rPr>
              <w:t>14.机内紫外灯管使用寿命≥8000小时。</w:t>
            </w:r>
            <w:r>
              <w:rPr>
                <w:rStyle w:val="13"/>
                <w:lang w:val="en-US" w:eastAsia="zh-CN" w:bidi="ar"/>
              </w:rPr>
              <w:br w:type="textWrapping"/>
            </w:r>
            <w:r>
              <w:rPr>
                <w:rStyle w:val="13"/>
                <w:lang w:val="en-US" w:eastAsia="zh-CN" w:bidi="ar"/>
              </w:rPr>
              <w:t>15.滤网集尘超标和故障自动报警装置。</w:t>
            </w:r>
            <w:r>
              <w:rPr>
                <w:rStyle w:val="13"/>
                <w:lang w:val="en-US" w:eastAsia="zh-CN" w:bidi="ar"/>
              </w:rPr>
              <w:br w:type="textWrapping"/>
            </w:r>
            <w:r>
              <w:rPr>
                <w:rStyle w:val="13"/>
                <w:lang w:val="en-US" w:eastAsia="zh-CN" w:bidi="ar"/>
              </w:rPr>
              <w:t>16.消毒功率：120W，额定频率：50Hz±1Hz。</w:t>
            </w:r>
            <w:r>
              <w:rPr>
                <w:rStyle w:val="13"/>
                <w:lang w:val="en-US" w:eastAsia="zh-CN" w:bidi="ar"/>
              </w:rPr>
              <w:br w:type="textWrapping"/>
            </w:r>
            <w:r>
              <w:rPr>
                <w:rStyle w:val="13"/>
                <w:lang w:val="en-US" w:eastAsia="zh-CN" w:bidi="ar"/>
              </w:rPr>
              <w:t>17.累时：运行累计时间≥70000小时。</w:t>
            </w:r>
            <w:r>
              <w:rPr>
                <w:rStyle w:val="13"/>
                <w:lang w:val="en-US" w:eastAsia="zh-CN" w:bidi="ar"/>
              </w:rPr>
              <w:br w:type="textWrapping"/>
            </w:r>
            <w:r>
              <w:rPr>
                <w:rStyle w:val="13"/>
                <w:lang w:val="en-US" w:eastAsia="zh-CN" w:bidi="ar"/>
              </w:rPr>
              <w:t>18.电脑程序和时钟均有记忆功能,断电后复电重启,无需重新设置,机器按元设定程序运行。</w:t>
            </w:r>
            <w:r>
              <w:rPr>
                <w:rStyle w:val="13"/>
                <w:lang w:val="en-US" w:eastAsia="zh-CN" w:bidi="ar"/>
              </w:rPr>
              <w:br w:type="textWrapping"/>
            </w:r>
            <w:r>
              <w:rPr>
                <w:rStyle w:val="13"/>
                <w:lang w:val="en-US" w:eastAsia="zh-CN" w:bidi="ar"/>
              </w:rPr>
              <w:t>19.适用体积：≤90m</w:t>
            </w:r>
            <w:r>
              <w:rPr>
                <w:rStyle w:val="12"/>
                <w:lang w:val="en-US" w:eastAsia="zh-CN" w:bidi="ar"/>
              </w:rPr>
              <w:t>3</w:t>
            </w:r>
            <w:r>
              <w:rPr>
                <w:rStyle w:val="13"/>
                <w:lang w:val="en-US" w:eastAsia="zh-CN" w:bidi="ar"/>
              </w:rPr>
              <w:t>;使用范围：医院手术室、产房、病房、婴儿室、早产儿室、重症监护病房，一般病房，ICU等医疗医技科室。</w:t>
            </w:r>
            <w:r>
              <w:rPr>
                <w:rStyle w:val="13"/>
                <w:lang w:val="en-US" w:eastAsia="zh-CN" w:bidi="ar"/>
              </w:rPr>
              <w:br w:type="textWrapping"/>
            </w:r>
            <w:r>
              <w:rPr>
                <w:rStyle w:val="13"/>
                <w:lang w:val="en-US" w:eastAsia="zh-CN" w:bidi="ar"/>
              </w:rPr>
              <w:t>20.产品必须具有消毒产品卫生安全评价报告备案证和国家疾控中心相关检验报告，标准配置消毒后能达到卫生部《消毒技术规范》（医院Ⅱ类无菌环境要求即≤200cfu/m</w:t>
            </w:r>
            <w:r>
              <w:rPr>
                <w:rStyle w:val="12"/>
                <w:lang w:val="en-US" w:eastAsia="zh-CN" w:bidi="ar"/>
              </w:rPr>
              <w:t>3</w:t>
            </w:r>
            <w:r>
              <w:rPr>
                <w:rStyle w:val="13"/>
                <w:lang w:val="en-US" w:eastAsia="zh-CN" w:bidi="ar"/>
              </w:rPr>
              <w:t>）。</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壁挂式动静态空气净化消毒器</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1.动态工作模式：动态（人机共存）光催化消毒模式，静态臭氧消毒模式。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2.静态臭氧消毒模式时臭氧发生量：2500mg/h(新空气源)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3.光催化网：孔径≥110PPI，孔隙率≥95%，TiO2 纳米级≤15nm。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4.光催化网（光触媒网）材料：TIo2。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5.光催化网（光触媒网）；专利化学覆膜技术。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6.动态光催化工作消毒模式空气中臭氧含量 0mg/h。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7.机内紫外线辐照强度最小临界值(距离灯管 1cm 处)≥10000uw/cm。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8.动态光催化消毒时紫外线泄露辐照强度：0.0uw/ 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9.初效过滤器：滤除粉尘、纤维；光催化消毒器：长效动态消毒、灭菌、去污、分解有害气体；活性炭纤维净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化器：吸附、分解有害气体及烟雾。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10.负离子发生器：清新空气, 负离子含量≥6×10</w:t>
            </w:r>
            <w:r>
              <w:rPr>
                <w:rStyle w:val="12"/>
                <w:lang w:val="en-US" w:eastAsia="zh-CN" w:bidi="ar"/>
              </w:rPr>
              <w:t>6</w:t>
            </w:r>
            <w:r>
              <w:rPr>
                <w:rStyle w:val="13"/>
                <w:lang w:val="en-US" w:eastAsia="zh-CN" w:bidi="ar"/>
              </w:rPr>
              <w:t>个。</w:t>
            </w:r>
            <w:r>
              <w:rPr>
                <w:rStyle w:val="13"/>
                <w:lang w:val="en-US" w:eastAsia="zh-CN" w:bidi="ar"/>
              </w:rPr>
              <w:br w:type="textWrapping"/>
            </w:r>
            <w:r>
              <w:rPr>
                <w:rStyle w:val="13"/>
                <w:lang w:val="en-US" w:eastAsia="zh-CN" w:bidi="ar"/>
              </w:rPr>
              <w:t>11.具有程控，遥控和手控功能；按设置程序自动选择消毒模式，消毒时段，每日每种消毒模式可设置 9 个时间</w:t>
            </w:r>
            <w:r>
              <w:rPr>
                <w:rStyle w:val="13"/>
                <w:lang w:val="en-US" w:eastAsia="zh-CN" w:bidi="ar"/>
              </w:rPr>
              <w:br w:type="textWrapping"/>
            </w:r>
            <w:r>
              <w:rPr>
                <w:rStyle w:val="13"/>
                <w:lang w:val="en-US" w:eastAsia="zh-CN" w:bidi="ar"/>
              </w:rPr>
              <w:t>段，自动运行实现无人操作。</w:t>
            </w:r>
            <w:r>
              <w:rPr>
                <w:rStyle w:val="13"/>
                <w:lang w:val="en-US" w:eastAsia="zh-CN" w:bidi="ar"/>
              </w:rPr>
              <w:br w:type="textWrapping"/>
            </w:r>
            <w:r>
              <w:rPr>
                <w:rStyle w:val="13"/>
                <w:lang w:val="en-US" w:eastAsia="zh-CN" w:bidi="ar"/>
              </w:rPr>
              <w:t>12.静音风机：循环送风,循环风量:600m3/h。</w:t>
            </w:r>
            <w:r>
              <w:rPr>
                <w:rStyle w:val="13"/>
                <w:lang w:val="en-US" w:eastAsia="zh-CN" w:bidi="ar"/>
              </w:rPr>
              <w:br w:type="textWrapping"/>
            </w:r>
            <w:r>
              <w:rPr>
                <w:rStyle w:val="13"/>
                <w:lang w:val="en-US" w:eastAsia="zh-CN" w:bidi="ar"/>
              </w:rPr>
              <w:t>13.机内紫外线强度衰减自动报警系统。</w:t>
            </w:r>
            <w:r>
              <w:rPr>
                <w:rStyle w:val="13"/>
                <w:lang w:val="en-US" w:eastAsia="zh-CN" w:bidi="ar"/>
              </w:rPr>
              <w:br w:type="textWrapping"/>
            </w:r>
            <w:r>
              <w:rPr>
                <w:rStyle w:val="13"/>
                <w:lang w:val="en-US" w:eastAsia="zh-CN" w:bidi="ar"/>
              </w:rPr>
              <w:t>14.机内紫外灯管使用寿命≥8000小时。</w:t>
            </w:r>
            <w:r>
              <w:rPr>
                <w:rStyle w:val="13"/>
                <w:lang w:val="en-US" w:eastAsia="zh-CN" w:bidi="ar"/>
              </w:rPr>
              <w:br w:type="textWrapping"/>
            </w:r>
            <w:r>
              <w:rPr>
                <w:rStyle w:val="13"/>
                <w:lang w:val="en-US" w:eastAsia="zh-CN" w:bidi="ar"/>
              </w:rPr>
              <w:t>15.滤网集尘超标和故障自动报警装置。</w:t>
            </w:r>
            <w:r>
              <w:rPr>
                <w:rStyle w:val="13"/>
                <w:lang w:val="en-US" w:eastAsia="zh-CN" w:bidi="ar"/>
              </w:rPr>
              <w:br w:type="textWrapping"/>
            </w:r>
            <w:r>
              <w:rPr>
                <w:rStyle w:val="13"/>
                <w:lang w:val="en-US" w:eastAsia="zh-CN" w:bidi="ar"/>
              </w:rPr>
              <w:t>16.消毒功率：120W，额定频率：50Hz±1Hz。</w:t>
            </w:r>
            <w:r>
              <w:rPr>
                <w:rStyle w:val="13"/>
                <w:lang w:val="en-US" w:eastAsia="zh-CN" w:bidi="ar"/>
              </w:rPr>
              <w:br w:type="textWrapping"/>
            </w:r>
            <w:r>
              <w:rPr>
                <w:rStyle w:val="13"/>
                <w:lang w:val="en-US" w:eastAsia="zh-CN" w:bidi="ar"/>
              </w:rPr>
              <w:t>17.累时：运行累计时间≥70000小时。</w:t>
            </w:r>
            <w:r>
              <w:rPr>
                <w:rStyle w:val="13"/>
                <w:lang w:val="en-US" w:eastAsia="zh-CN" w:bidi="ar"/>
              </w:rPr>
              <w:br w:type="textWrapping"/>
            </w:r>
            <w:r>
              <w:rPr>
                <w:rStyle w:val="13"/>
                <w:lang w:val="en-US" w:eastAsia="zh-CN" w:bidi="ar"/>
              </w:rPr>
              <w:t>18.电脑程序和时钟均有记忆功能,断电后复电重启,无需重新设置,机器按元设定程序运行。</w:t>
            </w:r>
            <w:r>
              <w:rPr>
                <w:rStyle w:val="13"/>
                <w:lang w:val="en-US" w:eastAsia="zh-CN" w:bidi="ar"/>
              </w:rPr>
              <w:br w:type="textWrapping"/>
            </w:r>
            <w:r>
              <w:rPr>
                <w:rStyle w:val="13"/>
                <w:lang w:val="en-US" w:eastAsia="zh-CN" w:bidi="ar"/>
              </w:rPr>
              <w:t>19.适用体积：≤70m</w:t>
            </w:r>
            <w:r>
              <w:rPr>
                <w:rStyle w:val="12"/>
                <w:lang w:val="en-US" w:eastAsia="zh-CN" w:bidi="ar"/>
              </w:rPr>
              <w:t>3</w:t>
            </w:r>
            <w:r>
              <w:rPr>
                <w:rStyle w:val="13"/>
                <w:lang w:val="en-US" w:eastAsia="zh-CN" w:bidi="ar"/>
              </w:rPr>
              <w:t>;使用范围：医院手术室、产房、病房、婴儿室、早产儿室、重症监护病房，一般病房，ICU等医疗医技科室。</w:t>
            </w:r>
            <w:r>
              <w:rPr>
                <w:rStyle w:val="13"/>
                <w:lang w:val="en-US" w:eastAsia="zh-CN" w:bidi="ar"/>
              </w:rPr>
              <w:br w:type="textWrapping"/>
            </w:r>
            <w:r>
              <w:rPr>
                <w:rStyle w:val="13"/>
                <w:lang w:val="en-US" w:eastAsia="zh-CN" w:bidi="ar"/>
              </w:rPr>
              <w:t>20.产品必须具有消毒产品卫生安全评价报告备案证和国家疾控中心相关检验报告，标准配置消毒后能达到卫生部《消毒技术规范》（医院Ⅱ类无菌环境要求即≤200cfu/m</w:t>
            </w:r>
            <w:r>
              <w:rPr>
                <w:rStyle w:val="12"/>
                <w:lang w:val="en-US" w:eastAsia="zh-CN" w:bidi="ar"/>
              </w:rPr>
              <w:t>3</w:t>
            </w:r>
            <w:r>
              <w:rPr>
                <w:rStyle w:val="13"/>
                <w:lang w:val="en-US" w:eastAsia="zh-CN" w:bidi="ar"/>
              </w:rPr>
              <w:t>）。</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壁挂式动态空气净化消毒器</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1.动态工作模式：动态（人机共存）光催化消毒模式，静态臭氧消毒模式。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2.静态臭氧消毒模式时臭氧发生量：2500mg/h(新空气源)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3.光催化网：孔径≥110PPI，孔隙率≥95%，TiO2 纳米级≤15nm。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4.光催化网（光触媒网）材料：TIo2。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5.光催化网（光触媒网）；专利化学覆膜技术。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6.动态光催化工作消毒模式空气中臭氧含量 0mg/h。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7.机内紫外线辐照强度最小临界值(距离灯管 1cm 处)≥10000uw/cm。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8.动态光催化消毒时紫外线泄露辐照强度：0.0uw/ 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9.初效过滤器：滤除粉尘、纤维；光催化消毒器：长效动态消毒、灭菌、去污、分解有害气体；活性炭纤维净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化器：吸附、分解有害气体及烟雾。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10.负离子发生器：清新空气, 负离子含量≥6×10</w:t>
            </w:r>
            <w:r>
              <w:rPr>
                <w:rStyle w:val="12"/>
                <w:lang w:val="en-US" w:eastAsia="zh-CN" w:bidi="ar"/>
              </w:rPr>
              <w:t>6</w:t>
            </w:r>
            <w:r>
              <w:rPr>
                <w:rStyle w:val="13"/>
                <w:lang w:val="en-US" w:eastAsia="zh-CN" w:bidi="ar"/>
              </w:rPr>
              <w:t>个。</w:t>
            </w:r>
            <w:r>
              <w:rPr>
                <w:rStyle w:val="13"/>
                <w:lang w:val="en-US" w:eastAsia="zh-CN" w:bidi="ar"/>
              </w:rPr>
              <w:br w:type="textWrapping"/>
            </w:r>
            <w:r>
              <w:rPr>
                <w:rStyle w:val="13"/>
                <w:lang w:val="en-US" w:eastAsia="zh-CN" w:bidi="ar"/>
              </w:rPr>
              <w:t>11.具有程控，遥控和手控功能；按设置程序自动选择消毒模式，消毒时段，每日每种消毒模式可设置 9 个时间</w:t>
            </w:r>
            <w:r>
              <w:rPr>
                <w:rStyle w:val="13"/>
                <w:lang w:val="en-US" w:eastAsia="zh-CN" w:bidi="ar"/>
              </w:rPr>
              <w:br w:type="textWrapping"/>
            </w:r>
            <w:r>
              <w:rPr>
                <w:rStyle w:val="13"/>
                <w:lang w:val="en-US" w:eastAsia="zh-CN" w:bidi="ar"/>
              </w:rPr>
              <w:t>段，自动运行实现无人操作。</w:t>
            </w:r>
            <w:r>
              <w:rPr>
                <w:rStyle w:val="13"/>
                <w:lang w:val="en-US" w:eastAsia="zh-CN" w:bidi="ar"/>
              </w:rPr>
              <w:br w:type="textWrapping"/>
            </w:r>
            <w:r>
              <w:rPr>
                <w:rStyle w:val="13"/>
                <w:lang w:val="en-US" w:eastAsia="zh-CN" w:bidi="ar"/>
              </w:rPr>
              <w:t>12.静音风机：循环送风,循环风量:600m3/h。</w:t>
            </w:r>
            <w:r>
              <w:rPr>
                <w:rStyle w:val="13"/>
                <w:lang w:val="en-US" w:eastAsia="zh-CN" w:bidi="ar"/>
              </w:rPr>
              <w:br w:type="textWrapping"/>
            </w:r>
            <w:r>
              <w:rPr>
                <w:rStyle w:val="13"/>
                <w:lang w:val="en-US" w:eastAsia="zh-CN" w:bidi="ar"/>
              </w:rPr>
              <w:t>13.机内紫外线强度衰减自动报警系统。</w:t>
            </w:r>
            <w:r>
              <w:rPr>
                <w:rStyle w:val="13"/>
                <w:lang w:val="en-US" w:eastAsia="zh-CN" w:bidi="ar"/>
              </w:rPr>
              <w:br w:type="textWrapping"/>
            </w:r>
            <w:r>
              <w:rPr>
                <w:rStyle w:val="13"/>
                <w:lang w:val="en-US" w:eastAsia="zh-CN" w:bidi="ar"/>
              </w:rPr>
              <w:t>14.机内紫外灯管使用寿命≥8000小时。</w:t>
            </w:r>
            <w:r>
              <w:rPr>
                <w:rStyle w:val="13"/>
                <w:lang w:val="en-US" w:eastAsia="zh-CN" w:bidi="ar"/>
              </w:rPr>
              <w:br w:type="textWrapping"/>
            </w:r>
            <w:r>
              <w:rPr>
                <w:rStyle w:val="13"/>
                <w:lang w:val="en-US" w:eastAsia="zh-CN" w:bidi="ar"/>
              </w:rPr>
              <w:t>15.滤网集尘超标和故障自动报警装置。</w:t>
            </w:r>
            <w:r>
              <w:rPr>
                <w:rStyle w:val="13"/>
                <w:lang w:val="en-US" w:eastAsia="zh-CN" w:bidi="ar"/>
              </w:rPr>
              <w:br w:type="textWrapping"/>
            </w:r>
            <w:r>
              <w:rPr>
                <w:rStyle w:val="13"/>
                <w:lang w:val="en-US" w:eastAsia="zh-CN" w:bidi="ar"/>
              </w:rPr>
              <w:t>16.消毒功率：120W，额定频率：50Hz±1Hz。</w:t>
            </w:r>
            <w:r>
              <w:rPr>
                <w:rStyle w:val="13"/>
                <w:lang w:val="en-US" w:eastAsia="zh-CN" w:bidi="ar"/>
              </w:rPr>
              <w:br w:type="textWrapping"/>
            </w:r>
            <w:r>
              <w:rPr>
                <w:rStyle w:val="13"/>
                <w:lang w:val="en-US" w:eastAsia="zh-CN" w:bidi="ar"/>
              </w:rPr>
              <w:t>17.累时：运行累计时间≥70000小时。</w:t>
            </w:r>
            <w:r>
              <w:rPr>
                <w:rStyle w:val="13"/>
                <w:lang w:val="en-US" w:eastAsia="zh-CN" w:bidi="ar"/>
              </w:rPr>
              <w:br w:type="textWrapping"/>
            </w:r>
            <w:r>
              <w:rPr>
                <w:rStyle w:val="13"/>
                <w:lang w:val="en-US" w:eastAsia="zh-CN" w:bidi="ar"/>
              </w:rPr>
              <w:t>18.电脑程序和时钟均有记忆功能,断电后复电重启,无需重新设置,机器按元设定程序运行。</w:t>
            </w:r>
            <w:r>
              <w:rPr>
                <w:rStyle w:val="13"/>
                <w:lang w:val="en-US" w:eastAsia="zh-CN" w:bidi="ar"/>
              </w:rPr>
              <w:br w:type="textWrapping"/>
            </w:r>
            <w:r>
              <w:rPr>
                <w:rStyle w:val="13"/>
                <w:lang w:val="en-US" w:eastAsia="zh-CN" w:bidi="ar"/>
              </w:rPr>
              <w:t>19.适用体积：≤50m</w:t>
            </w:r>
            <w:r>
              <w:rPr>
                <w:rStyle w:val="12"/>
                <w:lang w:val="en-US" w:eastAsia="zh-CN" w:bidi="ar"/>
              </w:rPr>
              <w:t>3</w:t>
            </w:r>
            <w:r>
              <w:rPr>
                <w:rStyle w:val="13"/>
                <w:lang w:val="en-US" w:eastAsia="zh-CN" w:bidi="ar"/>
              </w:rPr>
              <w:t>;使用范围：医院手术室、产房、病房、婴儿室、早产儿室、重症监护病房，一般病房，ICU等医疗医技科室。</w:t>
            </w:r>
            <w:r>
              <w:rPr>
                <w:rStyle w:val="13"/>
                <w:lang w:val="en-US" w:eastAsia="zh-CN" w:bidi="ar"/>
              </w:rPr>
              <w:br w:type="textWrapping"/>
            </w:r>
            <w:r>
              <w:rPr>
                <w:rStyle w:val="13"/>
                <w:lang w:val="en-US" w:eastAsia="zh-CN" w:bidi="ar"/>
              </w:rPr>
              <w:t>20.产品必须具有消毒产品卫生安全评价报告备案证和国家疾控中心相关检验报告，标准配置消毒后能达到卫生部《消毒技术规范》（医院Ⅱ类无菌环境要求即≤200cfu/m</w:t>
            </w:r>
            <w:r>
              <w:rPr>
                <w:rStyle w:val="12"/>
                <w:lang w:val="en-US" w:eastAsia="zh-CN" w:bidi="ar"/>
              </w:rPr>
              <w:t>3</w:t>
            </w:r>
            <w:r>
              <w:rPr>
                <w:rStyle w:val="13"/>
                <w:lang w:val="en-US" w:eastAsia="zh-CN" w:bidi="ar"/>
              </w:rPr>
              <w:t>）。</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2,600.00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手携式压力蒸汽灭菌器</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1.容积：≥18L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2.功率：2.0KW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3.灭菌室尺寸：270X250mm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4.超压自泄0.145-0165Mpa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5.最高工作温度126℃-128℃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6.双刻度二类读数压力表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7.自胀式密封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8.带旋转定时60分钟,手动调节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9.低水位时自动切断加热电源并报警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10.全不锈钢材料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11.电热加热方式</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空气净化消毒装置</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1.安装于风机盘管风口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2.适配风量（m³/h）：510010%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3.使用体积（m³）：300±10%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4.离子管尺寸（mm）：350±10%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5.离子管使用寿命≥17000小时</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6,200.00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紫外线消毒车</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1.主要由底座、箱体、灯臂组成；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2.型式为移动式；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3.灯臂长度为915mm±2mm, 灯臂调节角度为：0-180︒。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4.该消毒车的紫外线杀菌灯辐射紫外主波长为253.7nm，通过辐射紫外线杀灭细菌，破坏微生物DNA使病原微生物灭活，从而达到消毒、杀菌的目的。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5.可杀灭化脓性球菌、肠道致病菌、细菌芽孢及医院感染常见细菌。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6.主要杀菌因子：紫外线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7.紫外线辐射强度应不低于100㎼/㎠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8.紫外线杀菌灯规格及数量：30W /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9.定时范围：0-120分钟，其最大定时误差&lt;5min；</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589.00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紫外线光管</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1.功率：40W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2.管径：23mm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3.管流：340Ma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4.紫外线辐照强度：≥135μw/c㎡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5.灯长：1199mm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6.有效寿命：≥1000H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7.采用石英玻璃管材，辐射紫外线主波长为 253.7nm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8.该产品能有效杀灭大肠杆菌、金黄色葡萄球带、白色葡萄球菌、枯草杆菌黑色变种芽抱。</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紫外线灯管</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1.功率：30W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2.管径：19mm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3.管流：340Ma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4.紫外线辐照强度：≥100μw/c㎡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5.灯长：894mm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6.有效寿命：≥1000H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7.采用石英玻璃管材，辐射紫外线主波长为 253.7nm。该产品能有效杀灭大肠杆菌、金黄色葡萄球带、白色葡萄球菌、枯草杆菌黑色变种芽抱。广泛适用于医疗卫生、制药、食品加工业和生物研究等单位，作为一般物体表面及空气消毒。</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便携式吸引器</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1.采用负压泵作负压源，无油雾污染。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2.采用交流、外接直流和机内电池三种供电方式，其中机内电池在充足情况下可连续使用30分钟以上，并可反复充电，在病人转运过程中使用可直接接在救护车等交通工具的点烟器（DC12V）上。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3.采用恒压限流充电，可间断累加充电，有电池量分段指示。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4.通过管路上的负压调节阀控制吸引时所需要的负压值，并由面板上的真空表来显示。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5.具有墙挂式结构，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6.极限负压值：≥0.08MPa (600mmHg)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7.负压调节范围：0.02MPa(150mmHg)～极限负压值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8.抽气速率：≥20 L/min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9.贮液瓶：≥1000mL（PC塑料）</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电动吸引器（无油）</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1.采用无油润滑真空泵，抽气速率高、负压上升快，无油雾污染，泵体无需日常维护和保养;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2.设备后部的槽型板内可放置脚踏开关及电源线等；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3.设有溢流保护装置，可防止液体进入中间管道；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4.负压调节系统可根据临床需要作无级调压；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5.标准配置为玻璃贮液瓶，可根据需要改为PC塑料瓶；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6.采用工程塑料和金属相结合的外形结构，拉杆可摆动；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7.极限负压值：≥0.09MPa(680mmHg)；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8.负压调节范围:0.02Mpa(150mmHg)～极限负压值；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10.瞬时抽气速率：≥32L/Min；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11.贮液瓶：2500mL×2(玻璃)；</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无油电动吸引器</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1.产品结构主要由活塞泵、真空表、负压调节阀、空气过滤器、贮液瓶、脚踏开关等部件组成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2.工作原理：采用无油润滑活塞泵，无油雾污染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3.吸引泵：活塞泵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4.极限负压值：≥0.09MPa（760mmHg）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5.负压调节范围：0.02MPa-极限负压值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6.抽气速率：≥20L/min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7.贮液瓶容量：2500mL/只，2只一组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8.工作制：间隙加载的连续运行，最长连续工作时间30分钟,持续率50%。</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手持式压力泵</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由压力表（表盘及面板保护圈组成）、充气手柄及附件（连接管）组成。气囊测压表为弹簧管机械指针式压力表，连接管为PVC材料，面板保护圈为橡胶材料。</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检眼镜</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1.光阑：大光阑、小光阑、裂隙、中心网格、无赤滤片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2.屈光度补偿：-35D~+20D共24种屈光度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3.照明光源：3.5V/2.8w 微型卤钨灯泡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4.最大照度：≥80Lx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5.显色指数：≥90%</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高速涡轮牙钻手机</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1.自动安全过载保护系统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2.防尘罩开关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3.脚踏开关开/关(SFP27)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4.变速控制脚踏板(FS60)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5.最大转速40000rpm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6.喷水方式：单点喷水；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7.转速范围：390-485krpm；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8.水流量：*50mL/min；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9.雾化气统量;：21.5L/min；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10.径向跳动：＜003mm；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11.噪音：≤68dB</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骨髓活检穿刺针</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304不锈钢，2.7*35mm</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冷光单孔手术灯</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1.灯构造：移动立式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2.电 源V/Hz：220 / 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3.输入功率，VA：30；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4.色 温，k：3000~6000；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5.照 度，lx：≥12000；显色指数：85~100；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6.包含底座、灯体（含灯头和立柱）和手柄3部分。</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输血输液加压袋</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1.由袋体、三通阀、导管、压力表或柱式压力计、球囊、挂钩组成。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2.适用于急诊科、手术室等临床各科室的紧急输血、输液及各种有创动脉压监测。</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8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电子血压计</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1.电源：DC6V5号碱性电池4节(LR6)电源适配器(AC 220V/50Hz)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2.显示方式：数字式液晶显示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3.测量方式：示波法检测方式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4.测量范围：静态压力测量范围(0.0~37.3)kPa((0~280)mmHg)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5.脉搏测量范围：(30~160)次/分血压测量范围：收缩压至少应满足(8.0~30.7)kPa((60~230)mmHg)；舒张压至少应满足(5.3~17.3)kPa((40~130)mmHg)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6.准确度：静态压力示值最大允许误差：±0.4 kPa(±3mmHg)，脉搏误差：±5%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7.可测量的上臂周长：约20cm~34cm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8.运行模式：连续运行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9.加压方式：急速排气阀开放式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10.压力检测：半导体压力传感器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11.脉搏检测：半导体压力传感器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12使用期限：≥5年或10000次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管道清洗刷（日本）</w:t>
            </w:r>
          </w:p>
        </w:tc>
        <w:tc>
          <w:tcPr>
            <w:tcW w:w="4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材质：不锈钢，尼龙材质刷毛</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全自动腕式电子血压计</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1.电源：d.c.3.0V(1.5VAAA于电池2节)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2.量测范围：收缩压(8.0~34.0)kPa/(60255)mmHg，舒张压(5.3~26.7kPa/(40~200mmHg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3.显示范围：(0-39.9)Pa/(0-299)mmHg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4.脉率：(40~200)次/分钟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5.腕式袖带尺寸：13.5cm~19.5cm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6.使用期限：≥5年</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438.00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台式成人血压计</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1.测量范围（两种刻度）：0~40kPa(0~300mmHg)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2.示值形式：汞柱式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3.最小分度值：0.5kPa(2mmHg)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臂带形式：尼式，搭扣式</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118.00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经皮穿刺针（环甲膜）</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304不锈钢、2.4*41mm</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经皮穿刺针（环甲膜）</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304不锈钢、3.0*41mm</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皮肤组织钻孔器（环甲膜）</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304不锈钢、12F 4.0*41mm</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皮肤组织钻孔器（环甲膜）</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304不锈钢、16F 4.8*48mm</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急救箱</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铝合金订做，42*30*14cm，用在急救车上，内部有6个分区，分别放置各种急救用品，背面加固放置注射安瓿瓶用的弹力带</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人体称（体重秤）</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1.称量范围：5kg-120kg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2.计量单位：kg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3.分度值:500g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4.身高测量:70-190cm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5.分度值:0.5cm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6.材质：全金属</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375.00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鼓膜通气管</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不锈钢、哑铃型 大号</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麻醉咽喉镜</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普通成人型，配置一个手柄+三个镜片</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麻醉咽喉镜</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普通儿童型</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光纤喉镜</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1.可更换光纤导管设计，可拆卸，便于清洁，无残留。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2.光纤线束前端的光照强度不小于7001x。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3.可C高温高压进行3000次以上消毒。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4.配置一个手柄+三个镜片。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5.适用于成人。</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光纤喉镜</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1.可更换光纤导管设计，可拆卸，便于清洁，无残留。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2.光纤线束前端的光照强度不小于7001x。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3.可C高温高压进行3000次以上消毒。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4.配置一个手柄+三个镜片。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5.适用于儿童。</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医疗废液收集装置（吸痰表）</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与插入体内的引流导管相连接，用于手术室医疗废液、洗胃机洗胃时医疗废液、吸痰机痰液、妇科预期用途:冲洗液以及各种引流手术引流液体的收集</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软性内镜清洗刷</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1.规格：Ø1.8x1000mm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2.刷头直径：Ø1.8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3.工作长度mm：1000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4.工作钳道：≥Ø2.0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5.多应用于支气管镜用</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牙挺（阻生型）</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牙科专用050-7480  2.5mm</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81</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牙挺（阻生型）</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牙科专用050-7280 2.5mm</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82</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台式儿童血压计</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1.测量范围（两种刻度）：0~20kPa(0~150mmHg)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2.示值形式：汞柱式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3.最小分度值：0.5kPa(2mmHg)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臂带形式：尼式，搭扣式</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83</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手术反光灯</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生铁脚架，不锈钢立柱，颈部可多方位调节，以便医生使用。</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84</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牙挺</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牙科专用，弯头（用于后牙)，3mm</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85</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牙挺</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牙科专用，弯头（用于后牙)，3.5mm</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86</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牙根尖挺</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牙科专用，1mm</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87</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急救箱</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铝合金材质，14寸（32*19*21CM）</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128.00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88</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铝合金出诊箱</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16寸：外型尺寸：375*215*225mm</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148.00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89</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墙式氧气吸入器（高压氧）</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由氧气输出接口、安全阀、氧气压力表、流量管、流量调节阀、潮化瓶等组成；5型插头</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128.00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90</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三叉气管套管</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7MM</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105.00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91</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三叉气管套管</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8MM</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105.00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92</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氧气袋</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1.氧气袋充入13.3 kPa压缩空气，在室温下放置 12小时后，剩余压力应不低于9.3 kPa；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2.氧气袋的爆破压力应不低于 39.2 kPa。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3.使用压力：10.6kPa，容量50L。</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93</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水门汀充填器</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牙科专用</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94</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经皮穿刺针（骨穿针）</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1.2*30mm</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95</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经皮穿刺针（骨穿针）</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1.6*30mm</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96</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额镜</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80镜面</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97</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叩诊锤（CR）</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不锈钢带尺</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98</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听诊器</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1.弹簧片的硬度应在HR15N82.9~88.4范围内。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2.双用（双听），耳环的弹力应适宜，当二耳塞拉开相距140mm时，其弹值应在1.372~1.960N范围内。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3.耳环的弹性应良好，当二耳塞拉开相距300mm时，回复后其变形距离不大于10mm。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4.三通导管应用外径为Φ8.5±0.5mm，内径为Φ5mm软聚氯乙烯管或外径为Φ10±0.6mm、内径为Φ5mm的乳胶管制成，总长为480~580mm。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5.听诊器各零部件应有良好的互换性。</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99</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腰椎穿刺针</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0.9*80mm</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100</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体温计</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玻璃、水银</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101</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大器械盒</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548mm×248mm×90mm冲孔筐（倒角型），带盖，304不锈钢</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3,427.27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102</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专用清洁油</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配蛇牌脑钻用</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103</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专用润滑油</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配蛇牌脑钻用</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104</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鼻窦内窥镜消毒盒</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280*70*50，304不锈钢</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1,020.00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105</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清洁剂</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配西山力钻钻头用</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890.00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106</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Style w:val="13"/>
                <w:lang w:val="en-US" w:eastAsia="zh-CN" w:bidi="ar"/>
              </w:rPr>
              <w:t>打磨机</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1.功率：65W；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2.最高转速35000转/min；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3.最大扭矩：280gf.cm；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4.输入电源：AC220V，50-60Hz；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5.最大电流：3A，输出电压：0~32V；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6.保险功率：220V，2A。</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107</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带硅胶器械盒</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290mm*155mm*28mm，304不锈钢</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704.00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108</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编网筐</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340mm*250mm*70mm无盖编织网筐，304不锈钢</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504.00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109</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消毒盒</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耐高温,250mmx150mmx27mm，不锈钢</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CR换药碗</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304材质16cm，不锈钢</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111</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CR换药碗</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碗口径大小为16cm，不锈钢</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112</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不锈钢弯盆</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中号，不锈钢</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113</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CR换药碗</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碗口径大小为14cm，不锈钢</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114</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CR药杯</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药杯容量为50ml，不锈钢</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115</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腹腔镜消毒盒</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550mm*250mm*100mm，不锈钢</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116</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CR药杯</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药杯容量为40ml，不锈钢</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117</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验光镜片箱</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由球镜片、柱子镜片、棱镜片、辅助镜片一共合计267片，玻璃</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2,550.00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118</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显微镜浸油</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液体，480CC，23°C时的折射率：F线（486.1 nm）–1.5238,e线（546.1 nm）–1.5180,D线（589.3 nm）–1.5150,C线（656.3 nm）–1.5115</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119</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（CR)医疗废液收集装置</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双架，不锈钢</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（CR)医疗废液收集装置</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单架，不锈钢</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121</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视力表灯箱</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1.普通侧开门款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2.规定视力表的标准检查范围为2.5m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3.光照度应达到200~700Lx，上下左右照度误差不大于0.8%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(220+22) V，频率(50+1)4、电源电压:HZ。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5.输入功率: S60VA+15%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6.材质: 铝合金亚克力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7.光源: LED光源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8.产品规格: 59*26x7.5cm</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122</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（塑料）药盘</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白色塑料，可调整格数隔片，最多可调整到48格</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123</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除颤仪导电膏</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≥250g/支，用于除颤仪</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124</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CR储槽</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圆柱形带盖，槽低直径为23cm，不锈钢</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158.00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125</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铝合金出诊箱</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14寸：外型尺寸mm：350*185x215，包装尺寸cm：60x46.5*37，毛重GW：10kg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净重N.W：9kg，铝合金</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138.00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126</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除颤仪导电膏（电极糊）</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100G，液体</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127</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手机润滑油</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330ML，液体</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128</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CR有孔方盒（消毒盒）</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30.5*21.0*5.0cm，不锈钢</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129</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CR有孔方盒（消毒盒）</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20CM*13CM（9寸），不锈钢</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130</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CR方盘</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36*27cm，不锈钢</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131</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CR方盘</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40*30*4.8cm，不锈钢</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132</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CR方盒（消毒盒）</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9寸，无孔不锈钢盒</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133</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连体试管架</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16*50孔，用于实验室用，适合管径小于1.6mm的试管或者离心管,塑料材质</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134</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CR方盘</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27*20cm（深）,不锈钢</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135</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塑料多功能试管架</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50孔（15ml）双层带硅胶垫子，硅胶垫可拆卸，适用15m离心管或更小管径的离心管</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136</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塑料病历夹</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加厚A4型，32*23cm，选用100％优质ABS原料注塑成型</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26.60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137</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玻璃量杯</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加厚玻璃材质，容量为100ml</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138</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胶单</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双面,胶质，宽1.2m</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139</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CR方盘</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20CM*27CM（浅）,不锈钢</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140</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CR圆盅（油膏盅）</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10CM,不锈钢</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141</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离心管盒</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用于1.5ml子弹头离心管,塑料</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142</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不锈钢弯盆</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大号,不锈钢</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143</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酒精灯</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加厚玻璃材质，酒精容量为150ml配有棉质灯芯</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144</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酒精灯</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加厚玻璃材质，酒精容量为250ml配有棉质灯芯</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145</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塑料量杯</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塑料材质，最大刻度1000ml</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146</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砂轮</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1*10,静态硬质硅酸盐砂轮</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147</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水温计</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0-100°C,玻璃</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148</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塑料量杯</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塑料材质，最大刻度100ml,塑料</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149</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洗耳球</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中#,胶质</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150</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止血带</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(内径x外径):5mmx7mm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20米/50条</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151</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CR压舌板</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16CM,不锈钢</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152</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玻璃试管</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12*100MM,玻璃</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0.80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153</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负压引流器（真空桶）</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1200ML,塑料</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154</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人体定位袋（真空定位垫）</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材质：由尼龙面料、聚苯乙烯发泡颗粒密闭焊接而成；180*100CM</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155</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人体定位袋（真空定位垫）</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材质：由尼龙面料、聚苯乙烯发泡颗粒密闭焊接而成；150*100CM</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1,840.00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156</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人体定位袋（真空定位垫）</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材质：由尼龙面料、聚苯乙烯发泡颗粒密闭焊接而成；120*80CM</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1,380.00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157</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脑电图导线</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1.配套现有的视频脑电图EEG-1200C使用；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2.火棉胶及导电膏的电极头，导联线的长度为1.5米并带屏蔽线，抗干扰能力强，可屏蔽被检测者身上周围的干扰</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3,300.00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158</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脑电图导线</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配套科室现有的彩色数字脑电图仪NT9200-16D使用；鳄鱼夹+导联线。</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159</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血氧延长线</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监护仪通用配件，8芯，测试范围精准在：70%-100%</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一体式血氧饱和度探头</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配套科室现有的飞利浦金科威监护仪GS20使用；5芯；测试范围精准在：70%-100%</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161</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一体式血氧饱和度探头</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配套科室现有的飞利浦金科威监护仪GS20使用；6芯；测试范围精准在：70%-100%</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162</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血氧探头</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配套科室现有的宝莱特监护仪M6使用；测试范围精准在：70%-100%</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163</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血氧探头</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配套科室现有的监护仪M8000使用；测试范围精准在：70%-100%</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164</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一体式心电导联线（五导）</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配套科室现有的飞利浦监护仪MP5使用</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165</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导联线（盆底治疗仪用）</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配套科室现有的盆底治疗仪Magneuro 60F使用</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191.50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166</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心电导联线</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配套科室现有的宝莱特监护仪M6使用</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167</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一体式心电导联线</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配套科室现有的飞利浦金科威监护仪GS20使用</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168</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分体血氧探头</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配套科室现有的飞利浦金科威监护仪GS20使用</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169</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心电图电极夹</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配套科室现有心电图机使用</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170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电子血压计袖带</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电子血压计配件</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171</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硅质面罩（呼吸球囊）</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成人呼吸球囊配件、硅胶</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172</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监护仪血压袖带</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监护仪通用配件，成人、双管</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173</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监护仪血压袖带</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监护仪通用配件、成人、单管</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174</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监护仪血压袖带</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监护仪通用配件，儿童、单管</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175</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监护仪血压袖带</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监护仪通用配件，儿童、双管</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176</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监护仪血压袖带</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监护仪通用配件，婴儿、单管</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177</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小儿袖带</w:t>
            </w:r>
          </w:p>
        </w:tc>
        <w:tc>
          <w:tcPr>
            <w:tcW w:w="4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监护仪通用配件，儿童</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178</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氧气面罩（呼吸球囊）</w:t>
            </w:r>
          </w:p>
        </w:tc>
        <w:tc>
          <w:tcPr>
            <w:tcW w:w="4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儿童呼吸球囊配件</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179</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氧气面罩（呼吸球囊）</w:t>
            </w:r>
          </w:p>
        </w:tc>
        <w:tc>
          <w:tcPr>
            <w:tcW w:w="4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成人呼吸球囊配件</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180</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储气袋</w:t>
            </w:r>
          </w:p>
        </w:tc>
        <w:tc>
          <w:tcPr>
            <w:tcW w:w="4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成人呼吸球囊配件</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181</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塑料负压瓶</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1L，用于设备带吸氧装置</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182</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塑料负压瓶（吸痰瓶）</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2.5L，用于设备带吸痰装置</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183</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台式血压计袖带</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水银血压计配件，成人</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184</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心电图吸球</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心电图机配件</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185</w:t>
            </w:r>
          </w:p>
        </w:tc>
        <w:tc>
          <w:tcPr>
            <w:tcW w:w="11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血压计胶球</w:t>
            </w:r>
          </w:p>
        </w:tc>
        <w:tc>
          <w:tcPr>
            <w:tcW w:w="4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水银血压计配件</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 </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bl>
    <w:p>
      <w:pPr>
        <w:numPr>
          <w:ilvl w:val="0"/>
          <w:numId w:val="0"/>
        </w:numPr>
        <w:rPr>
          <w:rFonts w:hint="eastAsia"/>
          <w:lang w:val="en-US" w:eastAsia="zh-CN"/>
        </w:rPr>
      </w:pPr>
    </w:p>
    <w:p>
      <w:pPr>
        <w:numPr>
          <w:ilvl w:val="0"/>
          <w:numId w:val="2"/>
        </w:numPr>
        <w:ind w:left="0" w:leftChars="0" w:firstLine="0" w:firstLineChars="0"/>
        <w:rPr>
          <w:rFonts w:hint="eastAsia"/>
          <w:lang w:val="en-US" w:eastAsia="zh-CN"/>
        </w:rPr>
      </w:pPr>
      <w:r>
        <w:rPr>
          <w:rFonts w:hint="eastAsia"/>
          <w:lang w:val="en-US" w:eastAsia="zh-CN"/>
        </w:rPr>
        <w:t>包四：万元以下检验及低温类设备需求清单</w:t>
      </w:r>
    </w:p>
    <w:tbl>
      <w:tblPr>
        <w:tblStyle w:val="6"/>
        <w:tblW w:w="889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1003"/>
        <w:gridCol w:w="4704"/>
        <w:gridCol w:w="1428"/>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4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参数</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最高限价单价（元）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8道可调移液器</w:t>
            </w:r>
          </w:p>
        </w:tc>
        <w:tc>
          <w:tcPr>
            <w:tcW w:w="4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1.不同的色彩标记不同的量程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2.耐腐蚀性及抗老化性材质，使用寿命长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3.可快速设置和锁定移液量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4.下端细长，适用于深瓶移液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5.管嘴连件部分可高温高压消毒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6.使用方便，可在实验室自行校准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7.通道数：8，量程：50-300μl，增量：5μl，测量体积：50-300μl，不准确性：±4.6%-±1.0%，不精确性1.50%-0.20%，颜色：紫，适用吸头：300μl。</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8道可调移液器</w:t>
            </w:r>
          </w:p>
        </w:tc>
        <w:tc>
          <w:tcPr>
            <w:tcW w:w="4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1.兼容市面通用吸头，8 道或 12 道适合标准 96 孔板，量程手动可调。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2.容量允许误差和测试重复性指标满足相关要求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3.可拆卸式管嘴连件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4.通道数：8，量程：0.5-10ul</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8道可调移液器</w:t>
            </w:r>
          </w:p>
        </w:tc>
        <w:tc>
          <w:tcPr>
            <w:tcW w:w="4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1.不同的色彩标记不同的量程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2.强耐腐蚀性及抗老化性材质，使用寿命长。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3.可快速设置和锁定移液量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4.下端细长，适用于深瓶移液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5.管嘴连件部分可高温高压消毒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6.使用方便，可在实验室自行校准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7.通道数：8，量程：5-50μl，增量：0.5μl，测量体积：5-50μl，不准确性：±5.0%-±1.5%，*不精确性2.00%-0.70%，颜色：红，适用吸头：200&amp;300μl。</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单道可调移液器</w:t>
            </w:r>
          </w:p>
        </w:tc>
        <w:tc>
          <w:tcPr>
            <w:tcW w:w="4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1.连续可调0.2-2ul；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2.液量微调设计：所显示的数字后带微量刻度尺，移液量有指针指示，可根据指针进行微量调节。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3.不同色彩标记不同的量程，易于辨识，可配合同样颜色标记的吸头配合使用；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4.小量程的移液器为双活塞设计，增加50%吹出能力，大大降低挂壁和残留，提高了移液器的精准度.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5.黑色背景，白色超大数字显示；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6.双控按钮设计，顶部旋转式按钮帽确保流畅稳定的移液，底部液量调节按钮用于精细的移液操作，有效预防移液中间的误操作。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7.量程调节器具有卡子设计，齿轮咬合紧密，液量准确.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8.吸头连杆及相关组件可进行高温高压灭菌，并可整支紫外线灭菌；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9.量程0.2-2µl 增量0.002µl，体积0.2/1/2µl，准确度±12/±4.0/±2.5%，精确度10/3.5/2CV%，颜色Pink，标配套枪头10µl。</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单道可调移液器</w:t>
            </w:r>
          </w:p>
        </w:tc>
        <w:tc>
          <w:tcPr>
            <w:tcW w:w="4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1.连续可调10-100ul；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2.液量微调设计：所显示的数字后带微量刻度尺，移液量有指针指示，可根据指针进行微量调节。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3.不同色彩标记不同的量程，易于辨识，可配合同样颜色标记的吸头配合使用；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4.小量程的移液器为双活塞设计，增加50%吹出能力，大大降低挂壁和残留，提高了移液器的精准度.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5.黑色背景，白色超大数字显示；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6.双控按钮设计，顶部旋转式按钮帽确保流畅稳定的移液，底部液量调节按钮用于精细的移液操作，有效预防移液中间的误操作。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7.量程调节器具有卡子设计，齿轮咬合紧密，液量准确.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8.吸头连杆及相关组件可进行高温高压灭菌，并可整支紫外线灭菌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9.量程10-100µl,增量0.2µl，体积10/50/100µl，准确度±3.0/±1.2/±0.8%，精确度1.0/0.4/0.2CV%，颜色Yellow，标配套枪头200µl/250µl。</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单道可调移液器</w:t>
            </w:r>
          </w:p>
        </w:tc>
        <w:tc>
          <w:tcPr>
            <w:tcW w:w="4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1.不同的色彩标记不同的量程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2.强耐腐蚀性及抗老化性材质，使用寿命长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3.可快速设置和锁定移液量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4.下端细长，适用于深瓶移液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5.管嘴连件部分可高温高压消毒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6.使用方便，可在实验室自行校准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7.通道数：1，量程：0.5-10μl，增量：0.1μl，测量体积：1μl-10μl，不准确性：±2.5%-±1.0% ，不精确性1.5%-0.8%，颜色：红/黄，适用吸头：10μl。</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单道可调移液器</w:t>
            </w:r>
          </w:p>
        </w:tc>
        <w:tc>
          <w:tcPr>
            <w:tcW w:w="4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1.不同的色彩标记不同的量程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2.强耐腐蚀性及抗老化性材质，使用寿命长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3.可快速设置和锁定移液量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4.下端细长，适用于深瓶移液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5.管嘴连件部分可高温高压消毒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6.使用方便，可在实验室自行校准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7.通道数：1，量程：100-1000μl，增量：5.0μl，测量体积：100-1000μl，不准确性：±1.5%-±0.5%，不精确性0.60%-0.20%，颜色：紫/青绿， 适用吸头：1000μl。</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单道可调移液器</w:t>
            </w:r>
          </w:p>
        </w:tc>
        <w:tc>
          <w:tcPr>
            <w:tcW w:w="4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1.不同的色彩标记不同的量程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2.强耐腐蚀性及抗老化性材质，使用寿命长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3.可快速设置和锁定移液量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4.下端细长，适用于深瓶移液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5.管嘴连件部分可高温高压消毒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6.使用方便，可在实验室自行校准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7.通道数：1，量程：20-200μl，增量：1.0μl，测量体积：20-200μ，不准确性：±3.00%-±0.6%，不精确性1.50%-0.20%，颜色：粉/绿，适用吸头：200&amp;300μl</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单道可调移液器</w:t>
            </w:r>
          </w:p>
        </w:tc>
        <w:tc>
          <w:tcPr>
            <w:tcW w:w="4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1.不同的色彩标记不同的量程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2.强耐腐蚀性及抗老化性材质，使用寿命长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3.可快速设置和锁定移液量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4.下端细长，适用于深瓶移液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5.管嘴连件部分可高温高压消毒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6.使用方便，可在实验室自行校准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7.通道数：8，量程：5-50μl，增量：0.5μl，测量体积：5-50μl，不准确性：±5.0%-±1.5%，不精确性2.00%-0.70%，颜色：红，适用吸头：200&amp;300μl。</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单道移液器</w:t>
            </w:r>
          </w:p>
        </w:tc>
        <w:tc>
          <w:tcPr>
            <w:tcW w:w="4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1.数字视窗，所设定量程一目了然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2.量程范围1000ul；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3.使用附件工具，能方便快捷地进行校准和维修；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4.精确的分液，每支移液器都按EN/ISO8655标准进行校准；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5.下半支可高温高压消毒。</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单道移液器</w:t>
            </w:r>
          </w:p>
        </w:tc>
        <w:tc>
          <w:tcPr>
            <w:tcW w:w="4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1.数字视窗，所设定量程一目了然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2.量程范围100ul；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3.使用附件工具，能方便快捷地进行校准和维修；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4.精确的分液，每支移液器都按EN/ISO8655标准进行校准；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5.下半支可高温高压消毒。</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单道移液器</w:t>
            </w:r>
          </w:p>
        </w:tc>
        <w:tc>
          <w:tcPr>
            <w:tcW w:w="4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1.数字视窗，所设定量程一目了然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2.量程范围10ul；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3.使用附件工具，能方便快捷地进行校准和维修；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4.精确的分液，每支移液器都按EN/ISO8655标准进行校准；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5.下半支可高温高压消毒。</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分液器</w:t>
            </w:r>
          </w:p>
        </w:tc>
        <w:tc>
          <w:tcPr>
            <w:tcW w:w="4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1.具有极强的化学耐受性；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2.整支高温消毒灭菌；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3.回流阀设计，减少试剂的浪费，并在非工作状态下，防滴漏；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4.6种规格适配器，涵盖了0.5-100mL容量范围；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5.最大耐压500mbar，最大耐粘性500mm 2 /s，最大耐液体温度为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40℃，最大耐液体密度2.2g/cm 3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6.伸缩吸液管，可适配不同规格的试剂瓶。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7.量程范围mL：1.0-10.0，刻度mL：0.2，准确度A≤±：0.5%/50 μL，偏差系数CV≤：0.2% /20μL。</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病理刀片</w:t>
            </w:r>
          </w:p>
        </w:tc>
        <w:tc>
          <w:tcPr>
            <w:tcW w:w="4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特殊不锈钢，尺寸0.25*8*80mm，低剖面，用于病理切片设备</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8"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低速离心机</w:t>
            </w:r>
          </w:p>
        </w:tc>
        <w:tc>
          <w:tcPr>
            <w:tcW w:w="4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1.最高转速 4000rpm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2.最大相对离心力 2432×g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3.转头容量 12×15ml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4.转速精度 ±10rpm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5.噪音 ＜55dB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6.定时范围 1sec–99min59sec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7.全钢制结构，铝合金角转头，轻巧耐用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8.磁感应门锁，电动开门，确保安全操作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9.直流无刷无级调速电机驱动，运行噪音低免维护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10.微电脑控制，液晶显示，转速、离心力相互设定</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复合式洗眼器</w:t>
            </w:r>
          </w:p>
        </w:tc>
        <w:tc>
          <w:tcPr>
            <w:tcW w:w="4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1.主体材质：304 不锈钢；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2.水压：0.2MPa-0.8MPa；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3.洗眼球阀 1 秒内启动；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4.冲淋装置水流为 120-180 升/分。</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固定式混匀仪</w:t>
            </w:r>
          </w:p>
        </w:tc>
        <w:tc>
          <w:tcPr>
            <w:tcW w:w="4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1.振荡方式：圆周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2.周转直径[mm] ：4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3.电机输入功率[W] ：58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4.电机输出功率[W] ：10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5.允许连续运转时间 ：100%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6.速度范围 [rpm] ：0-3000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7.转速显示：刻度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8.运行方式：连续运转/点动</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经皮黄疸仪</w:t>
            </w:r>
          </w:p>
        </w:tc>
        <w:tc>
          <w:tcPr>
            <w:tcW w:w="4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1.检测方法：采用蓝、绿光比较方法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2.显示方法： LCD 3位数字显示屏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3.读取方法： 通过新生儿前额可直接测定经皮胆红素值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4.平均值计算： 可自动计算2-5次测量的平均值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5.测量范围：0.0mg/dL～32.0mg/dL或0.0</w:t>
            </w:r>
            <w:r>
              <w:rPr>
                <w:rFonts w:ascii="Calibri" w:hAnsi="Calibri" w:eastAsia="宋体" w:cs="Calibri"/>
                <w:i w:val="0"/>
                <w:iCs w:val="0"/>
                <w:color w:val="000000"/>
                <w:kern w:val="0"/>
                <w:sz w:val="22"/>
                <w:szCs w:val="22"/>
                <w:u w:val="none"/>
                <w:lang w:val="en-US" w:eastAsia="zh-CN" w:bidi="ar"/>
              </w:rPr>
              <w:t>μ</w:t>
            </w:r>
            <w:r>
              <w:rPr>
                <w:rStyle w:val="14"/>
                <w:lang w:val="en-US" w:eastAsia="zh-CN" w:bidi="ar"/>
              </w:rPr>
              <w:t>mol/L～544</w:t>
            </w:r>
            <w:r>
              <w:rPr>
                <w:rFonts w:ascii="Calibri" w:hAnsi="Calibri" w:eastAsia="宋体" w:cs="Calibri"/>
                <w:i w:val="0"/>
                <w:iCs w:val="0"/>
                <w:color w:val="000000"/>
                <w:kern w:val="0"/>
                <w:sz w:val="22"/>
                <w:szCs w:val="22"/>
                <w:u w:val="none"/>
                <w:lang w:val="en-US" w:eastAsia="zh-CN" w:bidi="ar"/>
              </w:rPr>
              <w:t>μ</w:t>
            </w:r>
            <w:r>
              <w:rPr>
                <w:rStyle w:val="14"/>
                <w:lang w:val="en-US" w:eastAsia="zh-CN" w:bidi="ar"/>
              </w:rPr>
              <w:t>mol/L</w:t>
            </w:r>
            <w:r>
              <w:rPr>
                <w:rStyle w:val="14"/>
                <w:lang w:val="en-US" w:eastAsia="zh-CN" w:bidi="ar"/>
              </w:rPr>
              <w:br w:type="textWrapping"/>
            </w:r>
            <w:r>
              <w:rPr>
                <w:rStyle w:val="14"/>
                <w:lang w:val="en-US" w:eastAsia="zh-CN" w:bidi="ar"/>
              </w:rPr>
              <w:t>6.测量误差：±1.5 mg/dL或±25.5</w:t>
            </w:r>
            <w:r>
              <w:rPr>
                <w:rFonts w:ascii="Calibri" w:hAnsi="Calibri" w:eastAsia="宋体" w:cs="Calibri"/>
                <w:i w:val="0"/>
                <w:iCs w:val="0"/>
                <w:color w:val="000000"/>
                <w:kern w:val="0"/>
                <w:sz w:val="22"/>
                <w:szCs w:val="22"/>
                <w:u w:val="none"/>
                <w:lang w:val="en-US" w:eastAsia="zh-CN" w:bidi="ar"/>
              </w:rPr>
              <w:t>μ</w:t>
            </w:r>
            <w:r>
              <w:rPr>
                <w:rStyle w:val="14"/>
                <w:lang w:val="en-US" w:eastAsia="zh-CN" w:bidi="ar"/>
              </w:rPr>
              <w:t>mol/L</w:t>
            </w:r>
            <w:r>
              <w:rPr>
                <w:rStyle w:val="14"/>
                <w:lang w:val="en-US" w:eastAsia="zh-CN" w:bidi="ar"/>
              </w:rPr>
              <w:br w:type="textWrapping"/>
            </w:r>
            <w:r>
              <w:rPr>
                <w:rStyle w:val="14"/>
                <w:lang w:val="en-US" w:eastAsia="zh-CN" w:bidi="ar"/>
              </w:rPr>
              <w:t>7.测量单位：mg/dL、umol/L可一键式转换</w:t>
            </w:r>
            <w:r>
              <w:rPr>
                <w:rStyle w:val="14"/>
                <w:lang w:val="en-US" w:eastAsia="zh-CN" w:bidi="ar"/>
              </w:rPr>
              <w:br w:type="textWrapping"/>
            </w:r>
            <w:r>
              <w:rPr>
                <w:rStyle w:val="14"/>
                <w:lang w:val="en-US" w:eastAsia="zh-CN" w:bidi="ar"/>
              </w:rPr>
              <w:t xml:space="preserve">8.光源：氙闪光灯 </w:t>
            </w:r>
            <w:r>
              <w:rPr>
                <w:rStyle w:val="14"/>
                <w:lang w:val="en-US" w:eastAsia="zh-CN" w:bidi="ar"/>
              </w:rPr>
              <w:br w:type="textWrapping"/>
            </w:r>
            <w:r>
              <w:rPr>
                <w:rStyle w:val="14"/>
                <w:lang w:val="en-US" w:eastAsia="zh-CN" w:bidi="ar"/>
              </w:rPr>
              <w:t>9.电源：AA1.5v X 2电池</w:t>
            </w:r>
            <w:r>
              <w:rPr>
                <w:rStyle w:val="14"/>
                <w:lang w:val="en-US" w:eastAsia="zh-CN" w:bidi="ar"/>
              </w:rPr>
              <w:br w:type="textWrapping"/>
            </w:r>
            <w:r>
              <w:rPr>
                <w:rStyle w:val="14"/>
                <w:lang w:val="en-US" w:eastAsia="zh-CN" w:bidi="ar"/>
              </w:rPr>
              <w:t>10.开启准备时间：小于12秒</w:t>
            </w:r>
            <w:r>
              <w:rPr>
                <w:rStyle w:val="14"/>
                <w:lang w:val="en-US" w:eastAsia="zh-CN" w:bidi="ar"/>
              </w:rPr>
              <w:br w:type="textWrapping"/>
            </w:r>
            <w:r>
              <w:rPr>
                <w:rStyle w:val="14"/>
                <w:lang w:val="en-US" w:eastAsia="zh-CN" w:bidi="ar"/>
              </w:rPr>
              <w:t>11.存储功能：可以存储20个最近的测量结果，并可以循环查看存储数据；</w:t>
            </w:r>
            <w:r>
              <w:rPr>
                <w:rStyle w:val="14"/>
                <w:lang w:val="en-US" w:eastAsia="zh-CN" w:bidi="ar"/>
              </w:rPr>
              <w:br w:type="textWrapping"/>
            </w:r>
            <w:r>
              <w:rPr>
                <w:rStyle w:val="14"/>
                <w:lang w:val="en-US" w:eastAsia="zh-CN" w:bidi="ar"/>
              </w:rPr>
              <w:t>12.校验盘：对白色屏显示00或01，对黄色屏显示20±1</w:t>
            </w:r>
            <w:r>
              <w:rPr>
                <w:rStyle w:val="14"/>
                <w:lang w:val="en-US" w:eastAsia="zh-CN" w:bidi="ar"/>
              </w:rPr>
              <w:br w:type="textWrapping"/>
            </w:r>
            <w:r>
              <w:rPr>
                <w:rStyle w:val="14"/>
                <w:lang w:val="en-US" w:eastAsia="zh-CN" w:bidi="ar"/>
              </w:rPr>
              <w:t>13.重量≤0.175kg</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9,450.00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离心机</w:t>
            </w:r>
          </w:p>
        </w:tc>
        <w:tc>
          <w:tcPr>
            <w:tcW w:w="4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1.电源保险管 PPTC/自恢复保险丝/无需更换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2.电机 DC24V/直流永磁电机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3.最高转速 7000rpm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4.最大相对离心力 2650Xg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5.噪音 ≤45dB</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离心机（整板、带转子）</w:t>
            </w:r>
          </w:p>
        </w:tc>
        <w:tc>
          <w:tcPr>
            <w:tcW w:w="4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1.配有多款管架、适配器，一次性可分离32根15ml尖底试管、16根50ml尖底试管、64根7ml/5ml真空采血管，适用于临床检测、化验分析等所有项目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2.微机控制、直流无刷电机驱动、无碳刷、免维护电机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3.自动计算及设置离心力RCF值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4.采用特殊减震器，具有自动平衡功能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5.全钢制外壳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6.倒计时时间小于一分钟以秒显示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7.电子门锁运行时门盖不能打开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8.最高转速：5000r/min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9.最大相对离心力：4390×g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10.最大容量：4×250ml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11.转速精度：±30r/min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12.定时范围：1min～99min</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9,800.00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漩涡混合器</w:t>
            </w:r>
          </w:p>
        </w:tc>
        <w:tc>
          <w:tcPr>
            <w:tcW w:w="4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1.转速: 2800转/分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2.工作方式: 连续、点触、调速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3.工作台: 碗型、平板型可调换</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血糖仪</w:t>
            </w:r>
          </w:p>
        </w:tc>
        <w:tc>
          <w:tcPr>
            <w:tcW w:w="4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1.检测范围：1.1-33.3mmol/L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2.血样类型：新鲜毛细血管全血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3.血样量：luL(微升)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4.血容积比:30%~60%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5.检测时间:&lt;105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6.记忆组数：250组测量结果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7.自动关机：15秒-3分钟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8.校正标准;血浆矫正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9.屏幕：生物学设计高清液晶大屏，大字体，护照不刺眼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10.自带退试条键：用手轻轻一推即可完成退条，避免因触碰血液造成二次感染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11.电池寿命：2节7号电池，能测量约2000次</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医用冰箱（低温箱）</w:t>
            </w:r>
          </w:p>
        </w:tc>
        <w:tc>
          <w:tcPr>
            <w:tcW w:w="4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1.样式：立式，单门。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2.有效容积（L）：≥270。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3.精确控温：高清晰数码温度显示，高精度微电脑温度控制系统，箱体内温度-10℃~-25℃范围内任意设定，显示精度1℃。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4.每层有蒸发器，确保箱内温度均匀性。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5.发泡层厚度为100mm，高效锁冷。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6.保温材料：无CFC聚氨酯发泡保温层，环保无污染。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7.制冷剂：无氟环保制冷剂，稳定可靠，不易燃易爆。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8.内部结构：7个ABS抽屉，分类存储，耐腐蚀，强度大耐冲击。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9.声光报警系统：高低温报警、箱内传感器故障报警、开门报警等多重保障，全面保障样本安全。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10.运行保护：开机延时、停机间隔等保护功能，确保运行可靠。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11.箱体材质：箱体采用优质钢板，经过防腐磷化、静电喷涂工艺处理，表面色泽柔和。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12.内胆材料：喷涂铝板内胆，经久耐用、便于清洁。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13.左侧标配一个测试孔，方便监测箱内温度。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14.温度均匀性：箱内温度均匀性≤3℃。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15.箱体配锁，确保箱内样本安全。</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9,800.00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医用冰箱（冷藏箱）</w:t>
            </w:r>
          </w:p>
        </w:tc>
        <w:tc>
          <w:tcPr>
            <w:tcW w:w="4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1.样式：立式，单门。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2.有效容积(L)：≥260。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3.高亮度数码显示，在2～8℃范围内任意设定，温度显示精度0.1℃。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4.双层透明保温玻璃门，门体配锁，底部带有调整脚。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5.箱体材料为优质结构钢板，防腐磷化喷涂工艺；内壁为HIPS工程塑料。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6.电加热玻璃门，门体防凝露设计，80%湿度环境下无凝露。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7.后背外挂式高效冷凝器，内藏式蒸发器，制冷迅速。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8.箱内横排配有LED照明功能。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9.3个优质钢丝浸塑搁架+1个储存吊框，存取物品更方便，且易于清洗。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10.左侧标配1个测试孔，方便测试箱内温度。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11.采用高效压缩机，无氟环保制冷剂，节能高效。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12.控温：高精度电脑温度控制系统；箱体内置精密温度传感器，控温精确稳定；智能控制风扇强制冷气循环系统，确保箱体内部温度均匀性。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13.具备声光报警功能：具有高温报警、低温报警、开门、传感器故障报警等多种声光报警功能。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14.门开风扇电机停止运行，门关风扇电机自动开始运行。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15.冷凝水自动蒸发，操作简便，无需手动倒水。</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7,800.00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医用冷藏箱</w:t>
            </w:r>
          </w:p>
        </w:tc>
        <w:tc>
          <w:tcPr>
            <w:tcW w:w="4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1.样式：立式，单门。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2.有效容积：≥330L。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3.高亮度数码显示，在2～8℃范围内任意设定，温度显示精度0.1℃。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4.双层透明保温玻璃门，电加热门体防凝露设计，80%湿度环境下无凝露。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5.箱体配锁，防止随意开启。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6.底部配置4个万向脚轮（带锁止功能），方便箱体移动安放。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7.箱体材料为优质结构钢板，防腐磷化喷涂工艺，内壁为喷涂铝板材质。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8.箱内横排配有LED照明功能。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9.5个优质钢丝浸塑搁架。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10.左侧标配1个测试孔，方便用户监控箱内温度。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11.控温：高精度电脑温度控制系统；箱体内置精密温度传感器，控温精确稳定；智能控制风扇强制冷气循环系统，确保箱体内部温度均匀性。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12.具备声光报警功能：具有高温报警、低温报警、传感器故障报警、开门报警等多种声光报警功能。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13.门开风扇电机停止运行，门关风扇电机自动开始运行。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14.冷凝水自动蒸发，操作简便，无需手动倒水。</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8,300.00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医用冷藏箱</w:t>
            </w:r>
          </w:p>
        </w:tc>
        <w:tc>
          <w:tcPr>
            <w:tcW w:w="4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1.微电脑控制，冷藏、冷冻温度双显示。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2.冷藏温度：2℃~8℃，冷冻温度：-10℃~-26℃可调。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3.冷藏室风冷设计，确保温度恒定。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4.有效容积（L）：≥208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5.搁架/篮筐（个）：3/1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6.多种故障报警：高低温报警、传感器故障报警、冷藏室开门报警。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7.两种报警方式：声音蜂鸣报警、数码闪烁报警。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8.保护功能：开机延时、停机间隔、传感器故障比例开停安全运行模式等。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9.无氟发泡、无氟制冷剂。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10.冷藏室风冷设计，确保温度恒定。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11.LCD液晶显示。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12.冷藏室内配置浸塑钢丝搁架，冷冻室内配置透明抽屉。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13.安全门锁设计，防止随意开启，单独锁住冷藏、冷冻室。</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6,450.00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移液器三角支架</w:t>
            </w:r>
          </w:p>
        </w:tc>
        <w:tc>
          <w:tcPr>
            <w:tcW w:w="4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同时悬挂单道和多道移液器≥7支</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移液器支架</w:t>
            </w:r>
          </w:p>
        </w:tc>
        <w:tc>
          <w:tcPr>
            <w:tcW w:w="4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整体材质为塑料，可以同时放置≥5支移液器</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震荡仪（旋涡混合器）</w:t>
            </w:r>
          </w:p>
        </w:tc>
        <w:tc>
          <w:tcPr>
            <w:tcW w:w="4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1.运行方式：圆周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2.周转直径：3.6mm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3.额定速度：2600rpm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4.运行模式：连续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5.可应用于对离心管、试管、烧瓶等容器内标本的混匀。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6.高性能、低噪音交流电机，确保混匀迅速、彻底。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7.易清洗且耐磨。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8.根据操作者手压力度，可自动调节振荡速度。</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numPr>
          <w:ilvl w:val="0"/>
          <w:numId w:val="0"/>
        </w:numPr>
        <w:ind w:leftChars="0"/>
        <w:rPr>
          <w:rFonts w:hint="eastAsia"/>
          <w:lang w:val="en-US" w:eastAsia="zh-CN"/>
        </w:rPr>
      </w:pPr>
    </w:p>
    <w:p>
      <w:pPr>
        <w:numPr>
          <w:ilvl w:val="0"/>
          <w:numId w:val="2"/>
        </w:numPr>
        <w:ind w:left="0" w:leftChars="0" w:firstLine="0" w:firstLineChars="0"/>
        <w:rPr>
          <w:rFonts w:hint="default"/>
          <w:lang w:val="en-US" w:eastAsia="zh-CN"/>
        </w:rPr>
      </w:pPr>
      <w:r>
        <w:rPr>
          <w:rFonts w:hint="eastAsia"/>
          <w:lang w:val="en-US" w:eastAsia="zh-CN"/>
        </w:rPr>
        <w:t>包五：万元以下康复类设备需求清单</w:t>
      </w:r>
    </w:p>
    <w:tbl>
      <w:tblPr>
        <w:tblStyle w:val="6"/>
        <w:tblW w:w="889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6"/>
        <w:gridCol w:w="1157"/>
        <w:gridCol w:w="4656"/>
        <w:gridCol w:w="1416"/>
        <w:gridCol w:w="11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参数</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最高限价单价（元）</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空气波压力循环治疗仪</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1.≥5.7英寸触摸液晶显示屏，显示直观，操作简便；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2.4种空气波治疗模式可供选择；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3.可同时连接2个4腔的治疗气囊；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4.空气波压强在5-25kpa 范围内连续可调；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5.治疗时间0-99min 连续可调；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6.特制的充气气泵，噪声低，振动小，充气速度快；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7.可提供上肢气囊、下肢气囊等多种气囊选配；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8.叠加式四层结构气囊，无挤压死角造成的体液滞留；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9.封闭式气囊，气囊向内侧单向挤压；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10.断电保护功能功能：仪器在突然断电时自动泄压保护。</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8,600.00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电脑中频电疗机</w:t>
            </w:r>
          </w:p>
        </w:tc>
        <w:tc>
          <w:tcPr>
            <w:tcW w:w="4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1.预设99个专家治疗处方，存贮在电脑中，在治疗过程中使患者有多次的推、拿、按、敲、拨、振颤、抖动等多种脉冲动作的全过程感受。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2.输出由低频调制的中频电流，频率高、电阻小。既有低频电的特征，又有中频电疗的治疗机理。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3.局部治疗，穴位治疗、手脚反射疗法，针对不同疾病灵活掌握配合使用。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4.输出频率：低频调整范围：1/8-150HZ，中频裂纹范围：1-10KHz。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5.输出波形：低频调制波/中频载波。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6.调制方式：连续调制/交替调制。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7.最大输出电流： 100m A±10%（负载500Ω）。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8.输出电流调节：按键递增或递减200档（每档0.5mA）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9.输出通道：两组4通道，可同步或异步工作。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10.存储容量：24K字节，内存大于99个处方</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电动康复机（上下肢脚踏车）</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1.用途：用于下肢关节活动、肌力及协调功能训练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2.显示窗口：时间、距离、卡路里、速度、心率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3.静音双向皮带传动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4.舒适双色PU座垫，座垫调节管可垂直前后可调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5.最大使用者承重力100kg，座垫额定载荷：135kg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3,130.00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电磁波治疗仪</w:t>
            </w:r>
          </w:p>
        </w:tc>
        <w:tc>
          <w:tcPr>
            <w:tcW w:w="4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1.双头立式；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2.电压：220v,频率：50Hz；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3.电磁波长范围：2μm-25μm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4.治疗板使用寿命：1000小时。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电磁波治疗仪</w:t>
            </w:r>
          </w:p>
        </w:tc>
        <w:tc>
          <w:tcPr>
            <w:tcW w:w="4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1.单头立式；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2.电压：220v,频率：50Hz；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3.电磁波长范围：2μm-25μm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4.治疗板使用寿命：1000小时。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330.00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医用牵引椅（颈椎牵引椅）</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1.颈椎牵引力：0～200N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2.颈椎牵引行程：0～500mm，允差±20mm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3.微动开关控制电动颈椎牵引机；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4.通过微动开关可控制牵引行程；牵引力、牵引时间均由医患自定。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5.患者与医务人员均可控制牵引力大小，操作方便；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6.牵引力采用管形测力计显示拉力；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7.采用蜗轮蜗杆减速电机为动力源，点动开关，操作方便；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8.颈椎牵引曲度可以调节；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9.适用于颈椎牵引。</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盆底肌肉康复器</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1.6种规格：22±2g、35±2g、49±2g、61±2g、71±2g、79±2g。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2.妇科盆底康复仪配套用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3.硅胶材质柔韧舒适</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349.00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盆底肌肉治疗头</w:t>
            </w:r>
          </w:p>
        </w:tc>
        <w:tc>
          <w:tcPr>
            <w:tcW w:w="4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1.频率：10Hz和50 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2.脉宽：200 μs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3.输出强度：0-60 mA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4.持续时间：2秒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5.间隔时间：2秒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6.工作时间：20分钟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7.通讯方式：无线连接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8.妇科盆底康复仪配套用</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349.00 </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电针机治疗仪（低频脉冲治疗仪）</w:t>
            </w:r>
          </w:p>
        </w:tc>
        <w:tc>
          <w:tcPr>
            <w:tcW w:w="4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1.电源:内置电源 (AC220V土22V50Hz 或DC6V)4 节2号电池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2.输出波形为连续波、疏密波、断续波3 种波形，可选择。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3.连续波频率范围:08Hz~100Hz 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4.疏密波、断续波波形输出频率范围:10~26次/分钟可调波宽:正脉冲 300us30%;负脉冲 200us30%。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5.输出电压正脉冲峰值 90V (1KΩ负载)，输出电压负脉冲峰值 40V (1KΩ负载)，输出脉冲路数:5 路独立输出。</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330.00 </w:t>
            </w:r>
          </w:p>
        </w:tc>
        <w:tc>
          <w:tcPr>
            <w:tcW w:w="11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医用助行器（站立式 有轮）</w:t>
            </w:r>
          </w:p>
        </w:tc>
        <w:tc>
          <w:tcPr>
            <w:tcW w:w="4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1.折叠宽度10cm，前轮4寸PP+PVC脚轮；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2.最大载荷90kg；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3.主架：6061高强度加粗铝合金材料，管直径为25mm，厚度为1.2mm；表面4.采用氧化处理；可折叠式结构，使用和储运方便。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5.脚管：采用6061加粗加厚高强度铝合金材料，管直径为28mm，管厚度为1.2mm；表面采用氧化处理；高度可调，带8档位高度调节孔。后脚垫材质为耐磨、有弹性、表面摩擦系数较高的防滑橡胶材料；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6.把手：采用泡棉握把，手感舒适，防滑性能好；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7.站立式；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8.性能：支撑体重，保持站立平衡，帮助患者双手支撑进行连续步态行走训练。前面两个支撑腿装有轮子，使用时，推动或提起助行器的后支肢前移。</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210.00 </w:t>
            </w:r>
          </w:p>
        </w:tc>
        <w:tc>
          <w:tcPr>
            <w:tcW w:w="11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颈椎牵引器</w:t>
            </w:r>
          </w:p>
        </w:tc>
        <w:tc>
          <w:tcPr>
            <w:tcW w:w="4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外形尺寸：240*275*180mm，充气式</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85.00 </w:t>
            </w:r>
          </w:p>
        </w:tc>
        <w:tc>
          <w:tcPr>
            <w:tcW w:w="11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扣式圆形电极</w:t>
            </w:r>
          </w:p>
        </w:tc>
        <w:tc>
          <w:tcPr>
            <w:tcW w:w="4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32*32MM，配套使用科室现有的吞咽电刺激治疗仪使用</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c>
          <w:tcPr>
            <w:tcW w:w="11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bl>
    <w:p>
      <w:pPr>
        <w:numPr>
          <w:ilvl w:val="0"/>
          <w:numId w:val="0"/>
        </w:numPr>
        <w:ind w:leftChars="0"/>
        <w:rPr>
          <w:rFonts w:hint="default"/>
          <w:lang w:val="en-US" w:eastAsia="zh-CN"/>
        </w:rPr>
      </w:pPr>
    </w:p>
    <w:p>
      <w:pPr>
        <w:numPr>
          <w:ilvl w:val="0"/>
          <w:numId w:val="2"/>
        </w:numPr>
        <w:ind w:left="0" w:leftChars="0" w:firstLine="0" w:firstLineChars="0"/>
        <w:rPr>
          <w:rFonts w:hint="default"/>
          <w:lang w:val="en-US" w:eastAsia="zh-CN"/>
        </w:rPr>
      </w:pPr>
      <w:r>
        <w:rPr>
          <w:rFonts w:hint="eastAsia"/>
          <w:lang w:val="en-US" w:eastAsia="zh-CN"/>
        </w:rPr>
        <w:t>包六：万元腔镜类器械及配件需求清单</w:t>
      </w:r>
    </w:p>
    <w:tbl>
      <w:tblPr>
        <w:tblStyle w:val="6"/>
        <w:tblW w:w="891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1"/>
        <w:gridCol w:w="1536"/>
        <w:gridCol w:w="4090"/>
        <w:gridCol w:w="1668"/>
        <w:gridCol w:w="8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参数</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最高限价单价（元）</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子宫大抓钳</w:t>
            </w:r>
          </w:p>
        </w:tc>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 10mm±2mm,工作长度 420mm±2mm。材质：医用不锈钢的材料制造，配套宫腔镜系统OTV-S7使用。</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2,035.00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抓钳</w:t>
            </w:r>
          </w:p>
        </w:tc>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 5mm±2mm,工作长度 330mm±2mm。材质：医用不锈钢的材料制造，配套腹腔镜系统CV-190、德国STORZ、WA50012A使用。</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2,200.00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吸引器</w:t>
            </w:r>
          </w:p>
        </w:tc>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 5mm±2mm,工作长度 330mm±2mm。材质：医用不锈钢的材料制造，配套宫腔镜系统OTV-S7使用。</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2,880.00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无创抓钳</w:t>
            </w:r>
          </w:p>
        </w:tc>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 5mm±2mm,工作长度 330mm±2mm。材质：医用不锈钢的材料制造，配套腹腔镜系统CV-190、德国STORZ、WA50012A使用。</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1,840.00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胃抓钳</w:t>
            </w:r>
          </w:p>
        </w:tc>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 5mm±2mm,工作长度 330mm±2mm。材质：医用不锈钢的材料制造，腹腔镜系统CV-190、德国STORZ、WA50012A使用。</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1,840.00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弯分离钳</w:t>
            </w:r>
          </w:p>
        </w:tc>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 5mm±2mm,工作长度 330mm±2mm。材质：医用不锈钢的材料制造，配套腹腔镜系统CV-190、德国STORZ、WA50012A使用。</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2,100.00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弯分离钳</w:t>
            </w:r>
          </w:p>
        </w:tc>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 10mm±2mm,工作长度 330mm±2mm。材质：医用不锈钢的材料制造，配套腹腔镜系统CV-190、德国STORZ、WA50012A使用。</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1,840.00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推结器</w:t>
            </w:r>
          </w:p>
        </w:tc>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 5mm±2mm,工作长度 330mm±2mm。材质：医用不锈钢的材料制造，配套腹腔镜系统CV-190、德国STORZ、WA50012A使用。</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776.00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钛夹钳</w:t>
            </w:r>
          </w:p>
        </w:tc>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 10mm±2mm,工作长度 330mm±2mm。材质：医用不锈钢的材料制造，配套腹腔镜系统CV-190、德国STORZ、WA50012A使用。</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3,528.00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双开直剪刀</w:t>
            </w:r>
          </w:p>
        </w:tc>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 5mm±2mm,工作长度 330mm±2mm。材质：医用不锈钢的材料制造，配套腹腔镜系统CV-190、德国STORZ、WA50012A使用。</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1,695.00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双开弯剪刀</w:t>
            </w:r>
          </w:p>
        </w:tc>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 5.mm±2mm,工作长度 330mm±2mm。材质：医用不锈钢的材料制造，配套腹腔镜系统CV-190、德国STORZ、WA50012A使用。</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1,695.00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双极电凝线</w:t>
            </w:r>
          </w:p>
        </w:tc>
        <w:tc>
          <w:tcPr>
            <w:tcW w:w="4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与配套宫腔镜系统OTV-S7配套使用，3000MM</w:t>
            </w:r>
          </w:p>
        </w:tc>
        <w:tc>
          <w:tcPr>
            <w:tcW w:w="1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1,050.00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双极电凝钳</w:t>
            </w:r>
          </w:p>
        </w:tc>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 5mm±2mm,工作长度 330mm±2mm。材质：医用不锈钢的材料制造；弯头，配套宫腔电切镜（日本）A4674A</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8,180.00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双极电凝钳</w:t>
            </w:r>
          </w:p>
        </w:tc>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 5mm±2mm,工作长度 330mm±2mm。材质：医用不锈钢的材料制造；直头，配套宫腔电切镜（日本）A4674A使用。</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4,457.00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鼠牙抓钳</w:t>
            </w:r>
          </w:p>
        </w:tc>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 5mm±2mm,工作长度 330mm±2mm。材质：医用不锈钢的材料制造，配套腹腔镜系统CV-190、德国STORZ、WA50012A使用。</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1,995.00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输尿管抓钳</w:t>
            </w:r>
          </w:p>
        </w:tc>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 5mm±2mm,工作长度 330mm±2mm。材质：医用不锈钢的材料制造，配套腹腔镜系统CV-190、德国STORZ、WA50012A使用。</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2,100.00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输尿管夹持钳</w:t>
            </w:r>
          </w:p>
        </w:tc>
        <w:tc>
          <w:tcPr>
            <w:tcW w:w="4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220mm，弯，1×2齿，配套输尿管肾镜（精囊镜）SN-II使用。</w:t>
            </w:r>
          </w:p>
        </w:tc>
        <w:tc>
          <w:tcPr>
            <w:tcW w:w="1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720.00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输卵管抓钳</w:t>
            </w:r>
          </w:p>
        </w:tc>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 5mm±2mm,工作长度 330mm±2mm。材质：医用不锈钢的材料制造，配套腹腔镜系统CV-190、德国STORZ、WA50012A使用。</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1,695.00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施夹器（101.113B)</w:t>
            </w:r>
          </w:p>
        </w:tc>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 5mm±2mm,工作长度 330mm±2mm。材质：医用不锈钢的材料制造，配套腹腔镜系统CV-190、德国STORZ、WA50012A使用。</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4,850.00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施夹器（101.113A）</w:t>
            </w:r>
          </w:p>
        </w:tc>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 10mm±2mm,工作长度 330mm±2mm。材质：医用不锈钢的材料制造，配套腹腔镜系统CV-190、德国STORZ、WA50012A使用。</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4,850.00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施夹器（101.113）</w:t>
            </w:r>
          </w:p>
        </w:tc>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 10mm±2mm,工作长度 330mm±2mm。材质：医用不锈钢的材料制造，配套腹腔镜系统CV-190、德国STORZ、WA50012A使用。</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4,850.00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金手指抓钳</w:t>
            </w:r>
          </w:p>
        </w:tc>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 5mm±2mm，长度 460mm±2mm，配套腹腔镜系统CV-190、德国STORZ、WA50012A使用。</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6,800.00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剪刀</w:t>
            </w:r>
          </w:p>
        </w:tc>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 2.8mm±2mm,工作长度 280mm±2mm。材质：医用不锈钢的材料制造；弯，配套腹腔镜系统CV-190、德国STORZ、WA50012A使用。</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1,841.00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剪刀</w:t>
            </w:r>
          </w:p>
        </w:tc>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 2.8mm±2mm,工作长度 280mm±2mm。材质：医用不锈钢的材料制造；直，配套腹腔镜系统CV-190、德国STORZ、WA50012A使用。</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1,841.00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剪刀</w:t>
            </w:r>
          </w:p>
        </w:tc>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 5mm±2mm,工作长度 330mm±2mm。材质：医用不锈钢的材料制造，配套腹腔镜系统CV-190、德国STORZ、WA50012A使用。</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1,695.00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肌瘤钻</w:t>
            </w:r>
          </w:p>
        </w:tc>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 10mm±2mm,工作长度420mm±2mm。材质：医用不锈钢的材料制造，配套腹腔镜系统CV-190、德国STORZ、WA50012A使用。</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1,200.00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腹腔镜内窥镜</w:t>
            </w:r>
          </w:p>
        </w:tc>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 5mm±2mm,工作长度 290mm±2mm。材质：医用不锈钢的材料制造；30°，配套耳鼻喉高清内窥镜系统TH110使用。</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9,500.00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电钩</w:t>
            </w:r>
          </w:p>
        </w:tc>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 5mm±2mm,工作长度 330mm±2mm。材质：医用不锈钢的材料制造，配套腹腔镜系统CV-190、德国STORZ、WA50012A使用。</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电铲</w:t>
            </w:r>
          </w:p>
        </w:tc>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 5mm±2mm,工作长度 330mm±2mm。材质：医用不锈钢的材料制造，配套腹腔镜系统CV-190、德国STORZ、WA50012A使用。</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800.00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电棒</w:t>
            </w:r>
          </w:p>
        </w:tc>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 5mm±2mm,工作长度 330mm±2mm。材质：医用不锈钢的材料制造，配套腹腔镜系统CV-190、德国STORZ、WA50012A使用。</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胆囊抓钳</w:t>
            </w:r>
          </w:p>
        </w:tc>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 5mm±2mm,工作长度 330mm±2mm。材质：医用不锈钢的材料制造，配套腹腔镜系统CV-190、德国STORZ、WA50012A使用。</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单极电凝线</w:t>
            </w:r>
          </w:p>
        </w:tc>
        <w:tc>
          <w:tcPr>
            <w:tcW w:w="4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与腔镜器械配套使用；3000mm，配套宫腔镜系统OTV-S7使用。</w:t>
            </w:r>
          </w:p>
        </w:tc>
        <w:tc>
          <w:tcPr>
            <w:tcW w:w="1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1,018.00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粗齿固定抓钳</w:t>
            </w:r>
          </w:p>
        </w:tc>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 5mm±2mm,工作长度 330mm±2mm。材质：医用不锈钢的材料制造，配套腹腔镜系统CV-190、德国STORZ、WA50012A使用。</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1,995.00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冲吸管（冲洗管）</w:t>
            </w:r>
          </w:p>
        </w:tc>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 5mm±2mm,工作长度 330mm±2mm。材质：医用不锈钢的材料制造，配套宫腔镜系统OTV-S7使用。</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2,325.00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持针钳</w:t>
            </w:r>
          </w:p>
        </w:tc>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 2.8mm±2mm,定做工作长度 450mm±2mm，配套腹腔镜系统CV-190、德国STORZ、WA50012A使用。</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2,810.00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肠钳</w:t>
            </w:r>
          </w:p>
        </w:tc>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 5mm±2mm,工作长度 330mm±2mm。材质：医用不锈钢的材料制造，配套腹腔镜系统CV-190、德国STORZ、WA50012A使用。</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1,840.00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鼻窦内窥镜</w:t>
            </w:r>
          </w:p>
        </w:tc>
        <w:tc>
          <w:tcPr>
            <w:tcW w:w="4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4*175MM；70°，配套耳鼻喉高清内窥镜系统TH110使用。</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7,947.50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鼻窦镜</w:t>
            </w:r>
          </w:p>
        </w:tc>
        <w:tc>
          <w:tcPr>
            <w:tcW w:w="4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4.0*175mm；70°，配套耳鼻喉高清内窥镜系统TH110使用。</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7,947.50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O型持针钳</w:t>
            </w:r>
          </w:p>
        </w:tc>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 5mm±2mm,工作长度 330mm±2mm。材质：医用不锈钢的材料制造；弯头，配套腹腔镜系统CV-190、德国STORZ、WA50012A使用。</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2,810.00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A型持针钳</w:t>
            </w:r>
          </w:p>
        </w:tc>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 5mm±2mm,工作长度 330mm±2mm。材质：医用不锈钢的材料制造，配套腹腔镜系统CV-190、德国STORZ、WA50012A使用。</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2,790.00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0型持针钳</w:t>
            </w:r>
          </w:p>
        </w:tc>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 5mm±2mm,工作长度 330mm±2mm。材质：医用不锈钢的材料制造；直头，配套腹腔镜系统CV-190、德国STORZ、WA50012A使用。</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2,810.00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光纤保护镜（滤光镜）</w:t>
            </w:r>
          </w:p>
        </w:tc>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玻璃，配套钬激光治疗机（以色列）Power Sui te 100w使用。</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4,300.00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灌注管路（膨宫管）</w:t>
            </w:r>
          </w:p>
        </w:tc>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硅胶，配套医用灌注泵JRG-1使用。</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冷光源灯泡（带座米泡）</w:t>
            </w:r>
          </w:p>
        </w:tc>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12V-50W，配套氙灯冷光源300W/KG-301E\JRL-I型使用。</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w:t>
            </w:r>
          </w:p>
        </w:tc>
        <w:tc>
          <w:tcPr>
            <w:tcW w:w="4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材质：石英光纤，石英光纤一般是指由掺杂石英芯和掺杂石英包层组成的光纤，目前通信用光纤绝大多数是石英光纤，可重复使用，配套钬激光治疗机（以色列）Power Sui te 100w使用。</w:t>
            </w:r>
          </w:p>
        </w:tc>
        <w:tc>
          <w:tcPr>
            <w:tcW w:w="1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7,600.00 </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w:t>
            </w:r>
          </w:p>
        </w:tc>
        <w:tc>
          <w:tcPr>
            <w:tcW w:w="4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材质：石英光纤，石英光纤一般是指由掺杂石英芯和掺杂石英包层组成的光纤，目前通信用光纤绝大多数是石英光纤，可重复使用，配套钬激光治疗机（以色列）Power Sui te 100w使用。</w:t>
            </w:r>
          </w:p>
        </w:tc>
        <w:tc>
          <w:tcPr>
            <w:tcW w:w="1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 </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导光束</w:t>
            </w:r>
          </w:p>
        </w:tc>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 4mm±2mm,工作长度 2500mm±2mm。材质：医用不锈钢的材料制造，配套腹腔镜用摄像光源系统（GIMI)使用。</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1,173.00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冲击杆（碎石杆）</w:t>
            </w:r>
          </w:p>
        </w:tc>
        <w:tc>
          <w:tcPr>
            <w:tcW w:w="4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不锈钢1.4mm，配套腔内气压弹道碎石机（杭州）ELE使用。</w:t>
            </w:r>
          </w:p>
        </w:tc>
        <w:tc>
          <w:tcPr>
            <w:tcW w:w="1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900.00 </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冲击杆（碎石杆）</w:t>
            </w:r>
          </w:p>
        </w:tc>
        <w:tc>
          <w:tcPr>
            <w:tcW w:w="4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不锈钢1.6mm，配套腔内气压弹道碎石机（杭州）ELE使用。</w:t>
            </w:r>
          </w:p>
        </w:tc>
        <w:tc>
          <w:tcPr>
            <w:tcW w:w="1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900.00 </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颅骨铣刀</w:t>
            </w:r>
          </w:p>
        </w:tc>
        <w:tc>
          <w:tcPr>
            <w:tcW w:w="4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不锈钢，颅骨钻配件，配套手术动力装置（重庆西山）DK-N-MP使用。</w:t>
            </w:r>
          </w:p>
        </w:tc>
        <w:tc>
          <w:tcPr>
            <w:tcW w:w="1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750.00 </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气腹管</w:t>
            </w:r>
          </w:p>
        </w:tc>
        <w:tc>
          <w:tcPr>
            <w:tcW w:w="4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硅胶；9.8mm，腔镜配套设备（气腹机）。</w:t>
            </w:r>
          </w:p>
        </w:tc>
        <w:tc>
          <w:tcPr>
            <w:tcW w:w="1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 </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医用内窥镜冷光源</w:t>
            </w:r>
          </w:p>
        </w:tc>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1.电源电压 :220V 50Hz；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2.功率: ≤250VA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LED灯额定功率：≤80VA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光通量：100lm(上限不计)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灯工作寿命:≥20000h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色温:3000K~7000K</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照度:≥1800000LX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光显色指数:Ra≥90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配套腹腔镜用摄像光源系统（GIMI)使用</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6,500.00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水瓶</w:t>
            </w:r>
          </w:p>
        </w:tc>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全长 :630mm,水瓶 :69mm（不包括挂钩和连接器支架）,体积 ：约 230 mL，配套胃肠镜（富士）EG-590WR、EC-590WM4、E-590WM使用。</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2,650.00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送水瓶</w:t>
            </w:r>
          </w:p>
        </w:tc>
        <w:tc>
          <w:tcPr>
            <w:tcW w:w="4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全长 630 mm，外径 72 mm(挂钩和连接器座除外)，容量 约230 mL，配套胃肠镜（富士）EG-590WR、EC-590WM4、E-590WM使用。</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2,500.00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rPr>
          <w:rFonts w:hint="default"/>
          <w:lang w:val="en-US" w:eastAsia="zh-CN"/>
        </w:rPr>
      </w:pPr>
    </w:p>
    <w:p/>
    <w:p>
      <w:pPr>
        <w:jc w:val="center"/>
        <w:rPr>
          <w:b/>
          <w:sz w:val="36"/>
        </w:rPr>
      </w:pPr>
    </w:p>
    <w:p>
      <w:pPr>
        <w:jc w:val="center"/>
        <w:rPr>
          <w:b/>
          <w:sz w:val="36"/>
        </w:rPr>
      </w:pPr>
      <w:r>
        <w:rPr>
          <w:b/>
          <w:sz w:val="36"/>
        </w:rPr>
        <w:t>第三章 响应供应商须知</w:t>
      </w:r>
    </w:p>
    <w:p>
      <w:pPr>
        <w:spacing w:line="360" w:lineRule="auto"/>
        <w:ind w:firstLine="422" w:firstLineChars="200"/>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w:t>
      </w:r>
      <w:r>
        <w:rPr>
          <w:rFonts w:hint="eastAsia" w:ascii="宋体" w:hAnsi="宋体" w:cs="宋体"/>
          <w:lang w:val="en-US" w:eastAsia="zh-CN"/>
        </w:rPr>
        <w:t>响应文件</w:t>
      </w:r>
      <w:r>
        <w:rPr>
          <w:rFonts w:hint="eastAsia" w:ascii="宋体" w:hAnsi="宋体" w:cs="宋体"/>
        </w:rPr>
        <w:t>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ind w:firstLine="422" w:firstLineChars="200"/>
        <w:rPr>
          <w:rFonts w:ascii="宋体" w:hAnsi="宋体" w:cs="宋体"/>
          <w:b/>
          <w:bCs/>
        </w:rPr>
      </w:pPr>
      <w:r>
        <w:rPr>
          <w:rFonts w:hint="eastAsia" w:ascii="宋体" w:hAnsi="宋体" w:cs="宋体"/>
          <w:b/>
          <w:bCs/>
        </w:rPr>
        <w:t>2.响应文件的的封装和标记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2.1响应供应商应将响应文件单独密封包装，封口处须加盖</w:t>
      </w:r>
      <w:r>
        <w:rPr>
          <w:rFonts w:hint="eastAsia" w:ascii="宋体" w:hAnsi="宋体" w:cs="宋体"/>
          <w:lang w:eastAsia="zh-CN"/>
        </w:rPr>
        <w:t>响应供应商</w:t>
      </w:r>
      <w:r>
        <w:rPr>
          <w:rFonts w:hint="eastAsia" w:ascii="宋体" w:hAnsi="宋体" w:cs="宋体"/>
        </w:rPr>
        <w:t>单位公章。</w:t>
      </w:r>
    </w:p>
    <w:p>
      <w:pPr>
        <w:spacing w:line="360" w:lineRule="auto"/>
        <w:ind w:firstLine="420" w:firstLineChars="200"/>
        <w:rPr>
          <w:rFonts w:hint="eastAsia" w:ascii="宋体" w:hAnsi="宋体" w:eastAsia="宋体" w:cs="宋体"/>
          <w:bCs/>
          <w:lang w:eastAsia="zh-CN"/>
        </w:rPr>
      </w:pPr>
      <w:r>
        <w:rPr>
          <w:rFonts w:hint="eastAsia" w:ascii="宋体" w:hAnsi="宋体" w:cs="宋体"/>
          <w:bCs/>
        </w:rPr>
        <w:t>2.2响应文件采用胶装式装订，装订应牢固、不易拆散和换页，不得采用活页装订</w:t>
      </w:r>
      <w:r>
        <w:rPr>
          <w:rFonts w:hint="eastAsia" w:ascii="宋体" w:hAnsi="宋体" w:cs="宋体"/>
          <w:bCs/>
          <w:lang w:eastAsia="zh-CN"/>
        </w:rPr>
        <w:t>。</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响应文件正本每一页加盖单位公章并加盖骑缝章</w:t>
      </w:r>
      <w:r>
        <w:rPr>
          <w:rFonts w:hint="eastAsia" w:ascii="宋体" w:hAnsi="宋体" w:cs="宋体"/>
          <w:szCs w:val="24"/>
        </w:rPr>
        <w:t>。</w:t>
      </w:r>
    </w:p>
    <w:p>
      <w:pPr>
        <w:spacing w:line="360" w:lineRule="auto"/>
        <w:ind w:firstLine="422" w:firstLineChars="200"/>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w:t>
      </w:r>
      <w:r>
        <w:rPr>
          <w:rFonts w:hint="eastAsia" w:ascii="宋体" w:hAnsi="宋体" w:cs="宋体"/>
          <w:lang w:val="en-US" w:eastAsia="zh-CN"/>
        </w:rPr>
        <w:t>询价</w:t>
      </w:r>
      <w:r>
        <w:rPr>
          <w:rFonts w:hint="eastAsia" w:ascii="宋体" w:hAnsi="宋体" w:cs="宋体"/>
        </w:rPr>
        <w:t>项目的事项，包括任何与本招标文件所列明的有关的特殊困难充分了解。</w:t>
      </w:r>
    </w:p>
    <w:p>
      <w:pPr>
        <w:spacing w:line="360" w:lineRule="auto"/>
        <w:ind w:firstLine="422" w:firstLineChars="200"/>
        <w:rPr>
          <w:rFonts w:ascii="宋体" w:hAnsi="宋体" w:cs="宋体"/>
          <w:b/>
        </w:rPr>
      </w:pPr>
      <w:r>
        <w:rPr>
          <w:rFonts w:hint="eastAsia" w:ascii="宋体" w:hAnsi="宋体" w:cs="宋体"/>
          <w:b/>
        </w:rPr>
        <w:t>4.响应文件的递交</w:t>
      </w:r>
    </w:p>
    <w:p>
      <w:pPr>
        <w:pStyle w:val="4"/>
        <w:tabs>
          <w:tab w:val="left" w:pos="1260"/>
        </w:tabs>
        <w:spacing w:line="360" w:lineRule="auto"/>
        <w:ind w:firstLine="420"/>
        <w:jc w:val="left"/>
        <w:rPr>
          <w:rFonts w:hAnsi="宋体" w:cs="宋体"/>
          <w:sz w:val="21"/>
        </w:rPr>
      </w:pPr>
      <w:r>
        <w:rPr>
          <w:rFonts w:hint="eastAsia" w:hAnsi="宋体" w:cs="宋体"/>
          <w:sz w:val="21"/>
        </w:rPr>
        <w:t>所有响应文件应于项目公告的截止时间前递交到采购人指定地点，否则采购人有权拒收其响应文件。</w:t>
      </w:r>
    </w:p>
    <w:p>
      <w:pPr>
        <w:ind w:firstLine="422" w:firstLineChars="200"/>
        <w:rPr>
          <w:b/>
          <w:sz w:val="36"/>
        </w:rPr>
      </w:pPr>
      <w:r>
        <w:rPr>
          <w:rFonts w:hint="eastAsia" w:hAnsi="宋体" w:cs="宋体"/>
          <w:b/>
          <w:bCs/>
          <w:sz w:val="21"/>
        </w:rPr>
        <w:t>5</w:t>
      </w:r>
      <w:r>
        <w:rPr>
          <w:rFonts w:hAnsi="宋体" w:cs="宋体"/>
          <w:b/>
          <w:bCs/>
          <w:sz w:val="21"/>
        </w:rPr>
        <w:t>.</w:t>
      </w:r>
      <w:r>
        <w:rPr>
          <w:rFonts w:hint="eastAsia" w:hAnsi="宋体"/>
          <w:b/>
          <w:bCs/>
          <w:sz w:val="21"/>
        </w:rPr>
        <w:t xml:space="preserve"> </w:t>
      </w:r>
      <w:r>
        <w:rPr>
          <w:rFonts w:hint="eastAsia" w:hAnsi="宋体" w:cs="宋体"/>
          <w:b/>
          <w:bCs/>
          <w:sz w:val="21"/>
        </w:rPr>
        <w:t>本文件的解释权归采购人所有</w:t>
      </w:r>
      <w:r>
        <w:rPr>
          <w:rFonts w:hint="eastAsia" w:hAnsi="宋体" w:cs="宋体"/>
          <w:sz w:val="21"/>
        </w:rPr>
        <w:t>。</w:t>
      </w:r>
      <w:r>
        <w:rPr>
          <w:rFonts w:hAnsi="宋体" w:cs="仿宋"/>
          <w:b/>
          <w:spacing w:val="100"/>
          <w:w w:val="110"/>
          <w:kern w:val="0"/>
          <w:sz w:val="44"/>
          <w:szCs w:val="44"/>
        </w:rPr>
        <w:br w:type="page"/>
      </w:r>
    </w:p>
    <w:p>
      <w:pPr>
        <w:pStyle w:val="4"/>
        <w:tabs>
          <w:tab w:val="left" w:pos="1260"/>
        </w:tabs>
        <w:spacing w:line="680" w:lineRule="auto"/>
        <w:ind w:firstLine="0" w:firstLineChars="0"/>
        <w:jc w:val="center"/>
        <w:rPr>
          <w:rFonts w:hint="eastAsia" w:hAnsi="宋体" w:cs="仿宋"/>
          <w:b/>
          <w:spacing w:val="100"/>
          <w:w w:val="110"/>
          <w:kern w:val="0"/>
          <w:sz w:val="44"/>
          <w:szCs w:val="44"/>
          <w:lang w:val="en-US" w:eastAsia="zh-CN"/>
        </w:rPr>
      </w:pPr>
      <w:r>
        <w:rPr>
          <w:rFonts w:hint="eastAsia" w:hAnsi="宋体" w:cs="仿宋"/>
          <w:b/>
          <w:spacing w:val="100"/>
          <w:w w:val="110"/>
          <w:kern w:val="0"/>
          <w:sz w:val="44"/>
          <w:szCs w:val="44"/>
          <w:lang w:val="en-US" w:eastAsia="zh-CN"/>
        </w:rPr>
        <w:t>第四章响应文件</w:t>
      </w:r>
    </w:p>
    <w:p>
      <w:pPr>
        <w:pStyle w:val="4"/>
        <w:tabs>
          <w:tab w:val="left" w:pos="1260"/>
        </w:tabs>
        <w:spacing w:line="680" w:lineRule="auto"/>
        <w:ind w:firstLine="0" w:firstLineChars="0"/>
        <w:jc w:val="center"/>
        <w:rPr>
          <w:rFonts w:hint="eastAsia" w:hAnsi="宋体" w:cs="仿宋"/>
          <w:b/>
          <w:spacing w:val="100"/>
          <w:w w:val="110"/>
          <w:kern w:val="0"/>
          <w:sz w:val="44"/>
          <w:szCs w:val="44"/>
          <w:lang w:val="en-US" w:eastAsia="zh-CN"/>
        </w:rPr>
      </w:pPr>
    </w:p>
    <w:p>
      <w:pPr>
        <w:pStyle w:val="4"/>
        <w:tabs>
          <w:tab w:val="left" w:pos="1260"/>
        </w:tabs>
        <w:spacing w:line="680" w:lineRule="auto"/>
        <w:ind w:firstLine="0" w:firstLineChars="0"/>
        <w:jc w:val="center"/>
        <w:rPr>
          <w:rFonts w:hint="eastAsia" w:hAnsi="宋体" w:cs="仿宋"/>
          <w:b/>
          <w:spacing w:val="100"/>
          <w:w w:val="110"/>
          <w:kern w:val="0"/>
          <w:sz w:val="44"/>
          <w:szCs w:val="44"/>
          <w:lang w:val="en-US" w:eastAsia="zh-CN"/>
        </w:rPr>
      </w:pPr>
    </w:p>
    <w:p>
      <w:pPr>
        <w:pStyle w:val="4"/>
        <w:tabs>
          <w:tab w:val="left" w:pos="1260"/>
        </w:tabs>
        <w:spacing w:line="680" w:lineRule="auto"/>
        <w:ind w:firstLine="0" w:firstLineChars="0"/>
        <w:jc w:val="center"/>
        <w:rPr>
          <w:rFonts w:hint="eastAsia" w:hAnsi="宋体" w:cs="仿宋"/>
          <w:b/>
          <w:spacing w:val="100"/>
          <w:w w:val="110"/>
          <w:kern w:val="0"/>
          <w:sz w:val="44"/>
          <w:szCs w:val="44"/>
          <w:lang w:val="en-US" w:eastAsia="zh-CN"/>
        </w:rPr>
      </w:pPr>
    </w:p>
    <w:p>
      <w:pPr>
        <w:pStyle w:val="4"/>
        <w:tabs>
          <w:tab w:val="left" w:pos="1260"/>
        </w:tabs>
        <w:spacing w:line="680" w:lineRule="auto"/>
        <w:ind w:firstLine="0" w:firstLineChars="0"/>
        <w:jc w:val="center"/>
        <w:rPr>
          <w:rFonts w:hint="eastAsia" w:hAnsi="宋体" w:cs="仿宋"/>
          <w:b/>
          <w:spacing w:val="100"/>
          <w:w w:val="110"/>
          <w:kern w:val="0"/>
          <w:sz w:val="44"/>
          <w:szCs w:val="44"/>
          <w:lang w:val="en-US" w:eastAsia="zh-CN"/>
        </w:rPr>
      </w:pPr>
    </w:p>
    <w:p>
      <w:pPr>
        <w:pStyle w:val="4"/>
        <w:tabs>
          <w:tab w:val="left" w:pos="1260"/>
        </w:tabs>
        <w:spacing w:line="680" w:lineRule="auto"/>
        <w:ind w:firstLine="0" w:firstLineChars="0"/>
        <w:jc w:val="center"/>
        <w:rPr>
          <w:rFonts w:hint="eastAsia" w:hAnsi="宋体" w:cs="仿宋"/>
          <w:b/>
          <w:spacing w:val="100"/>
          <w:w w:val="110"/>
          <w:kern w:val="0"/>
          <w:sz w:val="44"/>
          <w:szCs w:val="44"/>
          <w:lang w:val="en-US" w:eastAsia="zh-CN"/>
        </w:rPr>
      </w:pPr>
    </w:p>
    <w:p>
      <w:pPr>
        <w:pStyle w:val="4"/>
        <w:tabs>
          <w:tab w:val="left" w:pos="1260"/>
        </w:tabs>
        <w:spacing w:line="680" w:lineRule="auto"/>
        <w:ind w:firstLine="0" w:firstLineChars="0"/>
        <w:jc w:val="center"/>
        <w:rPr>
          <w:rFonts w:hint="eastAsia" w:hAnsi="宋体" w:cs="仿宋"/>
          <w:b/>
          <w:spacing w:val="100"/>
          <w:w w:val="110"/>
          <w:kern w:val="0"/>
          <w:sz w:val="44"/>
          <w:szCs w:val="44"/>
          <w:lang w:val="en-US" w:eastAsia="zh-CN"/>
        </w:rPr>
      </w:pPr>
    </w:p>
    <w:p>
      <w:pPr>
        <w:pStyle w:val="4"/>
        <w:tabs>
          <w:tab w:val="left" w:pos="1260"/>
        </w:tabs>
        <w:spacing w:line="680" w:lineRule="auto"/>
        <w:ind w:firstLine="0" w:firstLineChars="0"/>
        <w:jc w:val="center"/>
        <w:rPr>
          <w:rFonts w:hint="eastAsia" w:hAnsi="宋体" w:cs="仿宋"/>
          <w:b/>
          <w:spacing w:val="100"/>
          <w:w w:val="110"/>
          <w:kern w:val="0"/>
          <w:sz w:val="44"/>
          <w:szCs w:val="44"/>
          <w:lang w:val="en-US" w:eastAsia="zh-CN"/>
        </w:rPr>
      </w:pPr>
    </w:p>
    <w:p>
      <w:pPr>
        <w:pStyle w:val="4"/>
        <w:tabs>
          <w:tab w:val="left" w:pos="1260"/>
        </w:tabs>
        <w:spacing w:line="680" w:lineRule="auto"/>
        <w:ind w:firstLine="0" w:firstLineChars="0"/>
        <w:jc w:val="center"/>
        <w:rPr>
          <w:rFonts w:hint="eastAsia" w:hAnsi="宋体" w:cs="仿宋"/>
          <w:b/>
          <w:spacing w:val="100"/>
          <w:w w:val="110"/>
          <w:kern w:val="0"/>
          <w:sz w:val="44"/>
          <w:szCs w:val="44"/>
          <w:lang w:val="en-US" w:eastAsia="zh-CN"/>
        </w:rPr>
      </w:pPr>
    </w:p>
    <w:p>
      <w:pPr>
        <w:pStyle w:val="4"/>
        <w:tabs>
          <w:tab w:val="left" w:pos="1260"/>
        </w:tabs>
        <w:spacing w:line="680" w:lineRule="auto"/>
        <w:ind w:firstLine="0" w:firstLineChars="0"/>
        <w:jc w:val="center"/>
        <w:rPr>
          <w:rFonts w:hint="eastAsia" w:hAnsi="宋体" w:cs="仿宋"/>
          <w:b/>
          <w:spacing w:val="100"/>
          <w:w w:val="110"/>
          <w:kern w:val="0"/>
          <w:sz w:val="44"/>
          <w:szCs w:val="44"/>
          <w:lang w:val="en-US" w:eastAsia="zh-CN"/>
        </w:rPr>
      </w:pPr>
    </w:p>
    <w:p>
      <w:pPr>
        <w:pStyle w:val="4"/>
        <w:tabs>
          <w:tab w:val="left" w:pos="1260"/>
        </w:tabs>
        <w:spacing w:line="680" w:lineRule="auto"/>
        <w:ind w:firstLine="0" w:firstLineChars="0"/>
        <w:jc w:val="center"/>
        <w:rPr>
          <w:rFonts w:hint="eastAsia" w:hAnsi="宋体" w:cs="仿宋"/>
          <w:b/>
          <w:spacing w:val="100"/>
          <w:w w:val="110"/>
          <w:kern w:val="0"/>
          <w:sz w:val="44"/>
          <w:szCs w:val="44"/>
          <w:lang w:val="en-US" w:eastAsia="zh-CN"/>
        </w:rPr>
      </w:pPr>
    </w:p>
    <w:p>
      <w:pPr>
        <w:pStyle w:val="4"/>
        <w:tabs>
          <w:tab w:val="left" w:pos="1260"/>
        </w:tabs>
        <w:spacing w:line="680" w:lineRule="auto"/>
        <w:ind w:firstLine="0" w:firstLineChars="0"/>
        <w:jc w:val="center"/>
        <w:rPr>
          <w:rFonts w:hint="eastAsia" w:hAnsi="宋体" w:cs="仿宋"/>
          <w:b/>
          <w:spacing w:val="100"/>
          <w:w w:val="110"/>
          <w:kern w:val="0"/>
          <w:sz w:val="44"/>
          <w:szCs w:val="44"/>
          <w:lang w:val="en-US" w:eastAsia="zh-CN"/>
        </w:rPr>
      </w:pPr>
    </w:p>
    <w:p>
      <w:pPr>
        <w:pStyle w:val="4"/>
        <w:tabs>
          <w:tab w:val="left" w:pos="1260"/>
        </w:tabs>
        <w:spacing w:line="680" w:lineRule="auto"/>
        <w:ind w:firstLine="0" w:firstLineChars="0"/>
        <w:jc w:val="center"/>
        <w:rPr>
          <w:rFonts w:hint="eastAsia" w:hAnsi="宋体" w:cs="仿宋"/>
          <w:b/>
          <w:spacing w:val="100"/>
          <w:w w:val="110"/>
          <w:kern w:val="0"/>
          <w:sz w:val="44"/>
          <w:szCs w:val="44"/>
          <w:lang w:val="en-US" w:eastAsia="zh-CN"/>
        </w:rPr>
      </w:pPr>
    </w:p>
    <w:p>
      <w:pPr>
        <w:pStyle w:val="4"/>
        <w:tabs>
          <w:tab w:val="left" w:pos="1260"/>
        </w:tabs>
        <w:spacing w:line="680" w:lineRule="auto"/>
        <w:ind w:firstLine="0" w:firstLineChars="0"/>
        <w:jc w:val="center"/>
        <w:rPr>
          <w:rFonts w:hint="eastAsia" w:hAnsi="宋体" w:cs="仿宋"/>
          <w:b/>
          <w:spacing w:val="100"/>
          <w:w w:val="110"/>
          <w:kern w:val="0"/>
          <w:sz w:val="44"/>
          <w:szCs w:val="44"/>
          <w:lang w:val="en-US" w:eastAsia="zh-CN"/>
        </w:rPr>
      </w:pPr>
    </w:p>
    <w:p>
      <w:pPr>
        <w:pStyle w:val="4"/>
        <w:tabs>
          <w:tab w:val="left" w:pos="1260"/>
        </w:tabs>
        <w:spacing w:line="680" w:lineRule="auto"/>
        <w:ind w:firstLine="0" w:firstLineChars="0"/>
        <w:jc w:val="center"/>
        <w:rPr>
          <w:rFonts w:hint="eastAsia" w:hAnsi="宋体" w:cs="仿宋"/>
          <w:b/>
          <w:spacing w:val="100"/>
          <w:w w:val="110"/>
          <w:kern w:val="0"/>
          <w:sz w:val="44"/>
          <w:szCs w:val="44"/>
          <w:lang w:val="en-US" w:eastAsia="zh-CN"/>
        </w:rPr>
      </w:pPr>
    </w:p>
    <w:p>
      <w:pPr>
        <w:pStyle w:val="4"/>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kern w:val="0"/>
          <w:sz w:val="44"/>
          <w:szCs w:val="44"/>
        </w:rPr>
        <w:t>响应文件</w:t>
      </w:r>
    </w:p>
    <w:p>
      <w:pPr>
        <w:pStyle w:val="4"/>
        <w:spacing w:line="680" w:lineRule="auto"/>
        <w:ind w:firstLine="482"/>
        <w:jc w:val="center"/>
        <w:rPr>
          <w:rFonts w:hAnsi="宋体" w:cs="仿宋"/>
          <w:b/>
          <w:szCs w:val="24"/>
        </w:rPr>
      </w:pPr>
    </w:p>
    <w:p>
      <w:pPr>
        <w:pStyle w:val="3"/>
        <w:spacing w:line="440" w:lineRule="auto"/>
        <w:ind w:firstLine="0" w:firstLineChars="0"/>
        <w:rPr>
          <w:rFonts w:ascii="宋体" w:hAnsi="宋体" w:eastAsia="宋体" w:cs="仿宋"/>
          <w:b/>
          <w:sz w:val="24"/>
          <w:szCs w:val="24"/>
        </w:rPr>
      </w:pPr>
    </w:p>
    <w:p>
      <w:pPr>
        <w:pStyle w:val="3"/>
        <w:spacing w:line="440" w:lineRule="auto"/>
        <w:ind w:firstLine="0" w:firstLineChars="0"/>
        <w:rPr>
          <w:rFonts w:ascii="宋体" w:hAnsi="宋体" w:eastAsia="宋体" w:cs="仿宋"/>
          <w:b/>
          <w:sz w:val="24"/>
          <w:szCs w:val="24"/>
        </w:rPr>
      </w:pPr>
    </w:p>
    <w:p>
      <w:pPr>
        <w:pStyle w:val="3"/>
        <w:spacing w:line="440" w:lineRule="auto"/>
        <w:ind w:firstLine="1687" w:firstLineChars="700"/>
        <w:rPr>
          <w:rFonts w:ascii="宋体" w:hAnsi="宋体" w:eastAsia="宋体" w:cs="仿宋"/>
          <w:b/>
          <w:sz w:val="24"/>
          <w:szCs w:val="24"/>
        </w:rPr>
      </w:pPr>
      <w:r>
        <w:rPr>
          <w:rFonts w:hint="eastAsia" w:ascii="宋体" w:hAnsi="宋体" w:eastAsia="宋体" w:cs="仿宋"/>
          <w:b/>
          <w:sz w:val="24"/>
          <w:szCs w:val="24"/>
        </w:rPr>
        <w:t>采购项目名称</w:t>
      </w:r>
      <w:r>
        <w:rPr>
          <w:rFonts w:hint="eastAsia" w:ascii="宋体" w:hAnsi="宋体" w:eastAsia="宋体" w:cs="仿宋"/>
          <w:sz w:val="24"/>
          <w:szCs w:val="24"/>
        </w:rPr>
        <w:t>：</w:t>
      </w:r>
      <w:r>
        <w:rPr>
          <w:rFonts w:hint="eastAsia" w:ascii="宋体" w:hAnsi="宋体" w:eastAsia="宋体" w:cs="仿宋"/>
          <w:b/>
          <w:sz w:val="24"/>
          <w:szCs w:val="24"/>
        </w:rPr>
        <w:t xml:space="preserve"> </w:t>
      </w:r>
    </w:p>
    <w:p>
      <w:pPr>
        <w:pStyle w:val="4"/>
        <w:spacing w:line="440" w:lineRule="auto"/>
        <w:ind w:firstLine="1687" w:firstLineChars="700"/>
        <w:rPr>
          <w:rFonts w:hAnsi="宋体" w:cs="仿宋"/>
          <w:b/>
          <w:szCs w:val="24"/>
        </w:rPr>
      </w:pPr>
      <w:r>
        <w:rPr>
          <w:rFonts w:hint="eastAsia" w:hAnsi="宋体" w:cs="仿宋"/>
          <w:b/>
          <w:szCs w:val="24"/>
          <w:lang w:val="en-US" w:eastAsia="zh-CN"/>
        </w:rPr>
        <w:t>包组号</w:t>
      </w:r>
      <w:r>
        <w:rPr>
          <w:rFonts w:hint="eastAsia" w:hAnsi="宋体" w:cs="仿宋"/>
          <w:b/>
          <w:szCs w:val="24"/>
        </w:rPr>
        <w:t>：</w:t>
      </w:r>
      <w:r>
        <w:rPr>
          <w:rFonts w:hAnsi="宋体" w:cs="仿宋"/>
          <w:b/>
          <w:szCs w:val="24"/>
        </w:rPr>
        <w:t xml:space="preserve"> </w:t>
      </w:r>
    </w:p>
    <w:p>
      <w:pPr>
        <w:pStyle w:val="4"/>
        <w:spacing w:line="440" w:lineRule="auto"/>
        <w:ind w:firstLine="723" w:firstLineChars="300"/>
        <w:rPr>
          <w:rFonts w:hAnsi="宋体" w:cs="仿宋"/>
          <w:b/>
          <w:szCs w:val="24"/>
        </w:rPr>
      </w:pPr>
    </w:p>
    <w:p>
      <w:pPr>
        <w:pStyle w:val="4"/>
        <w:spacing w:line="440" w:lineRule="auto"/>
        <w:ind w:firstLine="723" w:firstLineChars="300"/>
        <w:rPr>
          <w:rFonts w:hAnsi="宋体" w:cs="仿宋"/>
          <w:b/>
          <w:szCs w:val="24"/>
        </w:rPr>
      </w:pPr>
    </w:p>
    <w:p>
      <w:pPr>
        <w:pStyle w:val="4"/>
        <w:spacing w:line="440" w:lineRule="auto"/>
        <w:ind w:firstLine="723" w:firstLineChars="300"/>
        <w:rPr>
          <w:rFonts w:hAnsi="宋体" w:cs="仿宋"/>
          <w:b/>
          <w:szCs w:val="24"/>
        </w:rPr>
      </w:pPr>
    </w:p>
    <w:p>
      <w:pPr>
        <w:pStyle w:val="4"/>
        <w:spacing w:line="440" w:lineRule="auto"/>
        <w:ind w:firstLine="723" w:firstLineChars="300"/>
        <w:rPr>
          <w:rFonts w:hAnsi="宋体" w:cs="仿宋"/>
          <w:b/>
          <w:szCs w:val="24"/>
        </w:rPr>
      </w:pPr>
    </w:p>
    <w:p>
      <w:pPr>
        <w:pStyle w:val="4"/>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2" w:name="_Toc202254105"/>
      <w:bookmarkStart w:id="3" w:name="_Toc28330"/>
      <w:bookmarkStart w:id="4" w:name="_Toc202252034"/>
      <w:bookmarkStart w:id="5" w:name="_Toc395800947"/>
      <w:bookmarkStart w:id="6" w:name="_Toc202819878"/>
      <w:bookmarkStart w:id="7" w:name="_Toc202251075"/>
      <w:bookmarkStart w:id="8" w:name="_Toc202251700"/>
      <w:bookmarkStart w:id="9" w:name="_Toc202816996"/>
      <w:bookmarkStart w:id="10" w:name="_Toc202820351"/>
      <w:r>
        <w:rPr>
          <w:rFonts w:hint="eastAsia" w:ascii="宋体" w:hAnsi="宋体" w:cs="仿宋"/>
          <w:b/>
          <w:bCs/>
        </w:rPr>
        <w:t>资料表（目录）</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vAlign w:val="center"/>
          </w:tcPr>
          <w:p>
            <w:pPr>
              <w:spacing w:line="360" w:lineRule="auto"/>
              <w:jc w:val="center"/>
              <w:rPr>
                <w:rFonts w:ascii="宋体" w:hAnsi="宋体" w:cs="仿宋"/>
                <w:b/>
                <w:szCs w:val="21"/>
              </w:rPr>
            </w:pPr>
            <w:r>
              <w:rPr>
                <w:rFonts w:hint="eastAsia" w:ascii="宋体" w:hAnsi="宋体" w:cs="仿宋"/>
                <w:b/>
                <w:szCs w:val="21"/>
              </w:rPr>
              <w:t>评审分项</w:t>
            </w:r>
          </w:p>
        </w:tc>
        <w:tc>
          <w:tcPr>
            <w:tcW w:w="4493" w:type="dxa"/>
            <w:vAlign w:val="center"/>
          </w:tcPr>
          <w:p>
            <w:pPr>
              <w:spacing w:line="360" w:lineRule="auto"/>
              <w:jc w:val="center"/>
              <w:rPr>
                <w:rFonts w:ascii="宋体" w:hAnsi="宋体" w:cs="仿宋"/>
                <w:b/>
                <w:szCs w:val="21"/>
              </w:rPr>
            </w:pPr>
            <w:r>
              <w:rPr>
                <w:rFonts w:hint="eastAsia" w:ascii="宋体" w:hAnsi="宋体" w:cs="仿宋"/>
                <w:b/>
                <w:szCs w:val="21"/>
              </w:rPr>
              <w:t>评审细则</w:t>
            </w:r>
          </w:p>
        </w:tc>
        <w:tc>
          <w:tcPr>
            <w:tcW w:w="2021" w:type="dxa"/>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三、商务方案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11" w:name="_Toc32684"/>
      <w:r>
        <w:rPr>
          <w:rFonts w:hint="eastAsia" w:ascii="宋体" w:hAnsi="宋体" w:cs="仿宋"/>
          <w:b/>
        </w:rPr>
        <w:t>一、资格性文件</w:t>
      </w:r>
      <w:bookmarkEnd w:id="2"/>
      <w:bookmarkEnd w:id="3"/>
      <w:bookmarkEnd w:id="4"/>
      <w:bookmarkEnd w:id="5"/>
      <w:bookmarkEnd w:id="6"/>
      <w:bookmarkEnd w:id="7"/>
      <w:bookmarkEnd w:id="8"/>
      <w:bookmarkEnd w:id="9"/>
      <w:bookmarkEnd w:id="10"/>
      <w:bookmarkEnd w:id="11"/>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采购货物及服务的采购邀请，我方代表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技术方案：</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4"/>
        <w:ind w:firstLine="0" w:firstLineChars="0"/>
        <w:rPr>
          <w:rFonts w:hAnsi="宋体"/>
          <w:b/>
          <w:bCs/>
          <w:sz w:val="21"/>
        </w:rPr>
      </w:pPr>
    </w:p>
    <w:p>
      <w:pPr>
        <w:pStyle w:val="4"/>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4445" t="4445" r="18415" b="14605"/>
                <wp:wrapNone/>
                <wp:docPr id="4"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eI4wW2AAAAAoBAAAPAAAAAAAAAAEAIAAAACIAAABkcnMvZG93bnJl&#10;di54bWxQSwECFAAUAAAACACHTuJAsqKS6zYCAACJBAAADgAAAAAAAAABACAAAAAnAQAAZHJzL2Uy&#10;b0RvYy54bWxQSwUGAAAAAAYABgBZAQAAz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5080" t="4445" r="14605" b="14605"/>
                <wp:wrapNone/>
                <wp:docPr id="3"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O9zJj1wAAAAkBAAAPAAAAAAAAAAEAIAAAACIAAABkcnMvZG93bnJl&#10;di54bWxQSwECFAAUAAAACACHTuJAhjJCzjcCAACJBAAADgAAAAAAAAABACAAAAAmAQAAZHJzL2Uy&#10;b0RvYy54bWxQSwUGAAAAAAYABgBZAQAAz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4"/>
        <w:ind w:firstLine="422"/>
        <w:rPr>
          <w:rFonts w:hAnsi="宋体"/>
          <w:b/>
          <w:bCs/>
          <w:sz w:val="21"/>
        </w:rPr>
      </w:pPr>
    </w:p>
    <w:p>
      <w:pPr>
        <w:pStyle w:val="15"/>
        <w:ind w:firstLine="480"/>
        <w:rPr>
          <w:rFonts w:ascii="宋体" w:hAnsi="宋体"/>
        </w:rPr>
      </w:pPr>
      <w:r>
        <w:rPr>
          <w:rFonts w:hint="eastAsia" w:ascii="宋体" w:hAnsi="宋体" w:cs="宋体"/>
        </w:rPr>
        <w:br w:type="page"/>
      </w:r>
    </w:p>
    <w:p>
      <w:pPr>
        <w:pStyle w:val="15"/>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4"/>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4445" t="4445" r="18415" b="14605"/>
                <wp:wrapNone/>
                <wp:docPr id="2"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eI4wW2AAAAAoBAAAPAAAAAAAAAAEAIAAAACIA&#10;AABkcnMvZG93bnJldi54bWxQSwECFAAUAAAACACHTuJAfCcpHEICAACHBAAADgAAAAAAAAABACAA&#10;AAAnAQAAZHJzL2Uyb0RvYy54bWxQSwUGAAAAAAYABgBZAQAA2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5080" t="4445" r="14605" b="1460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73MmPXAAAACQEAAA8AAAAAAAAAAQAgAAAAIgAA&#10;AGRycy9kb3ducmV2LnhtbFBLAQIUABQAAAAIAIdO4kADLDzEQgIAAIcEAAAOAAAAAAAAAAEAIAAA&#10;ACYBAABkcnMvZTJvRG9jLnhtbFBLBQYAAAAABgAGAFkBAADa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4"/>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ind w:firstLine="422" w:firstLineChars="200"/>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rPr>
        <w:t xml:space="preserve"> </w:t>
      </w:r>
      <w:r>
        <w:rPr>
          <w:rFonts w:ascii="宋体" w:hAnsi="宋体" w:cs="仿宋"/>
          <w:u w:val="single"/>
        </w:rPr>
        <w:t xml:space="preserve">          </w:t>
      </w:r>
      <w:r>
        <w:rPr>
          <w:rFonts w:hint="eastAsia" w:ascii="宋体" w:hAnsi="宋体" w:cs="仿宋"/>
          <w:u w:val="single"/>
        </w:rPr>
        <w:t>项目</w:t>
      </w:r>
      <w:r>
        <w:rPr>
          <w:rFonts w:hint="eastAsia" w:ascii="宋体" w:hAnsi="宋体" w:cs="仿宋"/>
        </w:rPr>
        <w:t>采购邀请，本签字人愿意参加报价，提供需求文件中规定的货物及服务，并证明提交的下列文件和说明是准确的和真实的。</w:t>
      </w:r>
    </w:p>
    <w:p>
      <w:pPr>
        <w:spacing w:line="360" w:lineRule="auto"/>
        <w:ind w:firstLine="480"/>
        <w:rPr>
          <w:rFonts w:hint="eastAsia" w:ascii="宋体" w:hAnsi="宋体" w:cs="仿宋"/>
          <w:snapToGrid w:val="0"/>
          <w:kern w:val="0"/>
        </w:rPr>
      </w:pPr>
      <w:r>
        <w:rPr>
          <w:rFonts w:hint="eastAsia" w:ascii="宋体" w:hAnsi="宋体" w:cs="仿宋"/>
          <w:snapToGrid w:val="0"/>
          <w:kern w:val="0"/>
        </w:rPr>
        <w:t>1.供应商必须是具有独立承担民事责任能力的在中华人民共和国境内注册的法人或其他组织，投标时提交有效的营业执照（或事业法人登记证等相关证明）副本复印件。</w:t>
      </w:r>
    </w:p>
    <w:p>
      <w:pPr>
        <w:spacing w:line="360" w:lineRule="auto"/>
        <w:ind w:firstLine="480"/>
        <w:rPr>
          <w:rFonts w:hint="eastAsia" w:ascii="宋体" w:hAnsi="宋体" w:cs="仿宋"/>
          <w:snapToGrid w:val="0"/>
          <w:kern w:val="0"/>
        </w:rPr>
      </w:pPr>
      <w:r>
        <w:rPr>
          <w:rFonts w:hint="eastAsia" w:ascii="宋体" w:hAnsi="宋体" w:cs="仿宋"/>
          <w:snapToGrid w:val="0"/>
          <w:kern w:val="0"/>
          <w:lang w:val="en-US" w:eastAsia="zh-CN"/>
        </w:rPr>
        <w:t>2</w:t>
      </w:r>
      <w:r>
        <w:rPr>
          <w:rFonts w:hint="eastAsia" w:ascii="宋体" w:hAnsi="宋体" w:cs="仿宋"/>
          <w:snapToGrid w:val="0"/>
          <w:kern w:val="0"/>
        </w:rPr>
        <w:t>.具有履行合同所必需的设备和专业技术能力（提供声明函，格式自拟）；</w:t>
      </w:r>
    </w:p>
    <w:p>
      <w:pPr>
        <w:spacing w:line="360" w:lineRule="auto"/>
        <w:ind w:firstLine="480"/>
        <w:rPr>
          <w:rFonts w:hint="eastAsia" w:ascii="宋体" w:hAnsi="宋体" w:cs="仿宋"/>
          <w:snapToGrid w:val="0"/>
          <w:kern w:val="0"/>
        </w:rPr>
      </w:pPr>
      <w:r>
        <w:rPr>
          <w:rFonts w:hint="eastAsia" w:ascii="宋体" w:hAnsi="宋体" w:cs="仿宋"/>
          <w:snapToGrid w:val="0"/>
          <w:kern w:val="0"/>
          <w:lang w:val="en-US" w:eastAsia="zh-CN"/>
        </w:rPr>
        <w:t>3</w:t>
      </w:r>
      <w:r>
        <w:rPr>
          <w:rFonts w:hint="eastAsia" w:ascii="宋体" w:hAnsi="宋体" w:cs="仿宋"/>
          <w:snapToGrid w:val="0"/>
          <w:kern w:val="0"/>
        </w:rPr>
        <w:t>.参加政府采购活动前三年内，在经营活动中没有重大违法记录（提供声明函，格式自拟）；</w:t>
      </w:r>
    </w:p>
    <w:p>
      <w:pPr>
        <w:spacing w:line="360" w:lineRule="auto"/>
        <w:ind w:firstLine="480"/>
        <w:rPr>
          <w:rFonts w:hint="eastAsia" w:ascii="宋体" w:hAnsi="宋体" w:cs="仿宋"/>
          <w:snapToGrid w:val="0"/>
          <w:kern w:val="0"/>
        </w:rPr>
      </w:pPr>
      <w:r>
        <w:rPr>
          <w:rFonts w:hint="eastAsia" w:ascii="宋体" w:hAnsi="宋体" w:cs="仿宋"/>
          <w:snapToGrid w:val="0"/>
          <w:kern w:val="0"/>
          <w:lang w:val="en-US" w:eastAsia="zh-CN"/>
        </w:rPr>
        <w:t>4</w:t>
      </w:r>
      <w:r>
        <w:rPr>
          <w:rFonts w:hint="eastAsia" w:ascii="宋体" w:hAnsi="宋体" w:cs="仿宋"/>
          <w:snapToGrid w:val="0"/>
          <w:kern w:val="0"/>
        </w:rPr>
        <w:t xml:space="preserve">.未被列入“信用中国”网站(www.creditchina.gov.cn)“记录失信被执行人或重大税收违法案件当事人名单或政府采购严重违法失信行为”记录名单（截图打印）； </w:t>
      </w:r>
    </w:p>
    <w:p>
      <w:pPr>
        <w:spacing w:line="360" w:lineRule="auto"/>
        <w:ind w:firstLine="480"/>
        <w:rPr>
          <w:rFonts w:hint="eastAsia" w:ascii="宋体" w:hAnsi="宋体" w:cs="仿宋"/>
          <w:snapToGrid w:val="0"/>
          <w:kern w:val="0"/>
        </w:rPr>
      </w:pPr>
      <w:r>
        <w:rPr>
          <w:rFonts w:hint="eastAsia" w:ascii="宋体" w:hAnsi="宋体" w:cs="仿宋"/>
          <w:snapToGrid w:val="0"/>
          <w:kern w:val="0"/>
          <w:lang w:val="en-US" w:eastAsia="zh-CN"/>
        </w:rPr>
        <w:t>5</w:t>
      </w:r>
      <w:r>
        <w:rPr>
          <w:rFonts w:hint="eastAsia" w:ascii="宋体" w:hAnsi="宋体" w:cs="仿宋"/>
          <w:snapToGrid w:val="0"/>
          <w:kern w:val="0"/>
        </w:rPr>
        <w:t>.本项目不接受联合体，不允许对本项目进行分包和转包（提供书面声明函）。</w:t>
      </w:r>
    </w:p>
    <w:p>
      <w:pPr>
        <w:spacing w:line="360" w:lineRule="auto"/>
        <w:ind w:firstLine="480"/>
        <w:rPr>
          <w:rFonts w:hint="eastAsia" w:ascii="宋体" w:hAnsi="宋体" w:cs="仿宋"/>
          <w:snapToGrid w:val="0"/>
          <w:kern w:val="0"/>
        </w:rPr>
      </w:pPr>
      <w:r>
        <w:rPr>
          <w:rFonts w:hint="eastAsia" w:ascii="宋体" w:hAnsi="宋体" w:cs="仿宋"/>
          <w:snapToGrid w:val="0"/>
          <w:kern w:val="0"/>
          <w:lang w:val="en-US" w:eastAsia="zh-CN"/>
        </w:rPr>
        <w:t>6.</w:t>
      </w:r>
      <w:r>
        <w:rPr>
          <w:rFonts w:hint="eastAsia" w:ascii="宋体" w:hAnsi="宋体" w:cs="仿宋"/>
          <w:snapToGrid w:val="0"/>
          <w:kern w:val="0"/>
        </w:rPr>
        <w:t>本项目特定的资格要求</w:t>
      </w:r>
    </w:p>
    <w:p>
      <w:pPr>
        <w:spacing w:line="360" w:lineRule="auto"/>
        <w:ind w:firstLine="480"/>
        <w:rPr>
          <w:rFonts w:hint="eastAsia" w:ascii="宋体" w:hAnsi="宋体" w:cs="仿宋"/>
          <w:snapToGrid w:val="0"/>
          <w:kern w:val="0"/>
          <w:lang w:val="en-US" w:eastAsia="zh-CN"/>
        </w:rPr>
      </w:pPr>
      <w:r>
        <w:rPr>
          <w:rFonts w:hint="eastAsia" w:ascii="宋体" w:hAnsi="宋体" w:cs="仿宋"/>
          <w:snapToGrid w:val="0"/>
          <w:kern w:val="0"/>
          <w:lang w:val="en-US" w:eastAsia="zh-CN"/>
        </w:rPr>
        <w:t>投标人须具备《医疗器械生产企业许可证》或《医疗器械经营企业许可证》或《第二类医疗器械经营备案凭证》。</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2" w:name="_Toc202816997"/>
      <w:bookmarkStart w:id="13" w:name="_Toc202251701"/>
      <w:bookmarkStart w:id="14" w:name="_Toc202819879"/>
      <w:bookmarkStart w:id="15" w:name="_Toc395800949"/>
      <w:bookmarkStart w:id="16" w:name="_Toc202251076"/>
      <w:bookmarkStart w:id="17" w:name="_Toc202820352"/>
      <w:bookmarkStart w:id="18" w:name="_Toc202252035"/>
      <w:bookmarkStart w:id="19" w:name="_Toc31980"/>
      <w:bookmarkStart w:id="20" w:name="_Toc202254106"/>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bookmarkStart w:id="21" w:name="_Toc202254107"/>
      <w:bookmarkStart w:id="22" w:name="_Toc202819880"/>
      <w:bookmarkStart w:id="23" w:name="_Toc395800950"/>
      <w:bookmarkStart w:id="24" w:name="_Toc202252036"/>
      <w:bookmarkStart w:id="25" w:name="_Toc202251077"/>
      <w:bookmarkStart w:id="26" w:name="_Toc202251702"/>
      <w:bookmarkStart w:id="27" w:name="_Toc4426"/>
      <w:bookmarkStart w:id="28" w:name="_Toc202820353"/>
      <w:bookmarkStart w:id="29" w:name="_Toc29676"/>
      <w:bookmarkStart w:id="30" w:name="_Toc202816998"/>
    </w:p>
    <w:p>
      <w:pPr>
        <w:widowControl/>
        <w:jc w:val="left"/>
        <w:rPr>
          <w:rFonts w:hint="eastAsia" w:ascii="宋体" w:hAnsi="宋体" w:cs="仿宋"/>
          <w:b/>
        </w:rPr>
      </w:pPr>
    </w:p>
    <w:p>
      <w:pPr>
        <w:spacing w:line="360" w:lineRule="auto"/>
        <w:jc w:val="center"/>
        <w:outlineLvl w:val="1"/>
        <w:rPr>
          <w:rFonts w:ascii="宋体" w:hAnsi="宋体" w:cs="仿宋"/>
          <w:b/>
          <w:bCs/>
        </w:rPr>
      </w:pPr>
      <w:r>
        <w:rPr>
          <w:rFonts w:hint="eastAsia" w:ascii="宋体" w:hAnsi="宋体" w:cs="仿宋"/>
          <w:b/>
        </w:rPr>
        <w:t>二、技术部分</w:t>
      </w:r>
      <w:bookmarkEnd w:id="21"/>
      <w:bookmarkEnd w:id="22"/>
      <w:bookmarkEnd w:id="23"/>
      <w:bookmarkEnd w:id="24"/>
      <w:bookmarkEnd w:id="25"/>
      <w:bookmarkEnd w:id="26"/>
      <w:bookmarkEnd w:id="27"/>
      <w:bookmarkEnd w:id="28"/>
      <w:bookmarkEnd w:id="29"/>
      <w:bookmarkEnd w:id="30"/>
    </w:p>
    <w:p>
      <w:pPr>
        <w:ind w:firstLine="482"/>
        <w:rPr>
          <w:rFonts w:ascii="宋体" w:hAnsi="宋体" w:cs="仿宋"/>
          <w:b/>
          <w:bCs/>
        </w:rPr>
      </w:pPr>
      <w:r>
        <w:rPr>
          <w:rFonts w:hint="eastAsia" w:ascii="宋体" w:hAnsi="宋体" w:cs="仿宋"/>
          <w:b/>
          <w:bCs/>
        </w:rPr>
        <w:t>4.1技术</w:t>
      </w:r>
      <w:r>
        <w:rPr>
          <w:rFonts w:ascii="宋体" w:hAnsi="宋体" w:cs="仿宋"/>
          <w:b/>
          <w:bCs/>
        </w:rPr>
        <w:t>参数响应情况</w:t>
      </w:r>
    </w:p>
    <w:tbl>
      <w:tblPr>
        <w:tblStyle w:val="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招标规格/要求</w:t>
            </w:r>
          </w:p>
        </w:tc>
        <w:tc>
          <w:tcPr>
            <w:tcW w:w="3196" w:type="dxa"/>
            <w:vAlign w:val="center"/>
          </w:tcPr>
          <w:p>
            <w:pPr>
              <w:jc w:val="center"/>
              <w:rPr>
                <w:rFonts w:ascii="宋体" w:hAnsi="宋体" w:cs="宋体"/>
                <w:b/>
                <w:bCs/>
              </w:rPr>
            </w:pPr>
            <w:r>
              <w:rPr>
                <w:rFonts w:hint="eastAsia" w:ascii="宋体" w:hAnsi="宋体" w:cs="宋体"/>
                <w:b/>
                <w:bCs/>
              </w:rPr>
              <w:t>投标实际参数</w:t>
            </w:r>
          </w:p>
          <w:p>
            <w:pPr>
              <w:jc w:val="left"/>
              <w:rPr>
                <w:rFonts w:ascii="宋体" w:hAnsi="宋体" w:cs="宋体"/>
                <w:b/>
                <w:bCs/>
              </w:rPr>
            </w:pPr>
            <w:r>
              <w:rPr>
                <w:rFonts w:hint="eastAsia" w:ascii="宋体" w:hAnsi="宋体" w:cs="宋体"/>
                <w:b/>
                <w:bCs/>
              </w:rPr>
              <w:t>(</w:t>
            </w:r>
            <w:r>
              <w:rPr>
                <w:rFonts w:hint="eastAsia" w:ascii="宋体" w:hAnsi="宋体" w:cs="宋体"/>
                <w:b/>
                <w:bCs/>
                <w:lang w:eastAsia="zh-CN"/>
              </w:rPr>
              <w:t>响应供应商</w:t>
            </w:r>
            <w:r>
              <w:rPr>
                <w:rFonts w:hint="eastAsia" w:ascii="宋体" w:hAnsi="宋体" w:cs="宋体"/>
                <w:b/>
                <w:bCs/>
              </w:rPr>
              <w:t>应按投标货物/服务实际数据填写，不能照抄招标要求)</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ind w:firstLine="482"/>
        <w:rPr>
          <w:rFonts w:ascii="宋体" w:hAnsi="宋体" w:cs="仿宋"/>
          <w:b/>
          <w:bCs/>
        </w:rPr>
      </w:pPr>
    </w:p>
    <w:p>
      <w:pPr>
        <w:ind w:firstLine="482"/>
        <w:rPr>
          <w:rFonts w:ascii="宋体" w:hAnsi="宋体" w:cs="仿宋"/>
          <w:b/>
          <w:bCs/>
        </w:rPr>
      </w:pPr>
      <w:r>
        <w:rPr>
          <w:rFonts w:hint="eastAsia" w:ascii="宋体" w:hAnsi="宋体" w:cs="仿宋"/>
          <w:b/>
          <w:bCs/>
        </w:rPr>
        <w:t>4.2技术实施方案（格式自拟）</w:t>
      </w:r>
    </w:p>
    <w:p>
      <w:pPr>
        <w:spacing w:line="360" w:lineRule="auto"/>
        <w:ind w:firstLine="482"/>
        <w:rPr>
          <w:rFonts w:ascii="宋体" w:hAnsi="宋体" w:cs="仿宋"/>
          <w:b/>
          <w:bCs/>
        </w:rPr>
      </w:pPr>
    </w:p>
    <w:p>
      <w:pPr>
        <w:spacing w:line="360" w:lineRule="auto"/>
        <w:ind w:firstLine="480"/>
        <w:rPr>
          <w:rFonts w:ascii="宋体" w:hAnsi="宋体" w:cs="仿宋"/>
          <w:bCs/>
        </w:rPr>
      </w:pPr>
      <w:r>
        <w:rPr>
          <w:rFonts w:hint="eastAsia" w:ascii="宋体" w:hAnsi="宋体" w:cs="仿宋"/>
          <w:bCs/>
        </w:rPr>
        <w:t>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31" w:name="_Toc202820354"/>
      <w:bookmarkStart w:id="32" w:name="_Toc202816999"/>
      <w:bookmarkStart w:id="33" w:name="_Toc202819881"/>
    </w:p>
    <w:bookmarkEnd w:id="31"/>
    <w:bookmarkEnd w:id="32"/>
    <w:bookmarkEnd w:id="33"/>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2"/>
    <w:bookmarkEnd w:id="13"/>
    <w:bookmarkEnd w:id="14"/>
    <w:bookmarkEnd w:id="15"/>
    <w:bookmarkEnd w:id="16"/>
    <w:bookmarkEnd w:id="17"/>
    <w:bookmarkEnd w:id="18"/>
    <w:bookmarkEnd w:id="19"/>
    <w:bookmarkEnd w:id="20"/>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16"/>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6"/>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17"/>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rPr>
          <w:rFonts w:ascii="宋体" w:hAnsi="宋体" w:cs="仿宋"/>
          <w:b/>
          <w:bCs/>
          <w:u w:val="single"/>
        </w:rPr>
      </w:pPr>
      <w:r>
        <w:rPr>
          <w:rFonts w:hint="eastAsia" w:ascii="宋体" w:hAnsi="宋体" w:cs="仿宋"/>
          <w:b/>
          <w:bCs/>
          <w:u w:val="single"/>
        </w:rPr>
        <w:t>注：业绩是必须以响应供应商名义完成并已验收的项目。报价人/响应供应商必须提供合同关键页及验收报告复印件，加盖公章。</w:t>
      </w:r>
    </w:p>
    <w:p>
      <w:pPr>
        <w:rPr>
          <w:rFonts w:ascii="宋体" w:hAnsi="宋体" w:cs="仿宋"/>
        </w:rPr>
      </w:pPr>
      <w:r>
        <w:rPr>
          <w:rFonts w:hint="eastAsia" w:ascii="宋体" w:hAnsi="宋体" w:cs="仿宋"/>
          <w:b/>
        </w:rPr>
        <w:t>3.2拟任执行管理及技术人员情况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vAlign w:val="center"/>
          </w:tcPr>
          <w:p>
            <w:pPr>
              <w:ind w:firstLine="480"/>
              <w:jc w:val="center"/>
              <w:rPr>
                <w:rFonts w:ascii="宋体" w:hAnsi="宋体" w:cs="仿宋"/>
                <w:szCs w:val="21"/>
              </w:rPr>
            </w:pPr>
          </w:p>
        </w:tc>
        <w:tc>
          <w:tcPr>
            <w:tcW w:w="3000" w:type="dxa"/>
            <w:tcBorders>
              <w:top w:val="single" w:color="auto" w:sz="4" w:space="0"/>
              <w:bottom w:val="nil"/>
            </w:tcBorders>
            <w:vAlign w:val="center"/>
          </w:tcPr>
          <w:p>
            <w:pPr>
              <w:pStyle w:val="18"/>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16"/>
        <w:ind w:firstLine="0" w:firstLineChars="0"/>
        <w:rPr>
          <w:rFonts w:ascii="宋体" w:hAnsi="宋体" w:cs="仿宋"/>
          <w:b/>
          <w:spacing w:val="0"/>
          <w:kern w:val="2"/>
          <w:lang w:val="en-GB"/>
        </w:rPr>
      </w:pPr>
    </w:p>
    <w:p>
      <w:pPr>
        <w:widowControl/>
        <w:jc w:val="left"/>
        <w:rPr>
          <w:rFonts w:ascii="宋体" w:hAnsi="宋体" w:cs="仿宋"/>
          <w:b/>
          <w:bCs/>
          <w:sz w:val="24"/>
          <w:szCs w:val="20"/>
          <w:lang w:val="en-GB"/>
        </w:rPr>
      </w:pPr>
      <w:r>
        <w:rPr>
          <w:rFonts w:ascii="宋体" w:hAnsi="宋体" w:cs="仿宋"/>
          <w:b/>
          <w:lang w:val="en-GB"/>
        </w:rPr>
        <w:br w:type="page"/>
      </w:r>
    </w:p>
    <w:p>
      <w:pPr>
        <w:pStyle w:val="16"/>
        <w:ind w:firstLine="0" w:firstLineChars="0"/>
        <w:rPr>
          <w:rFonts w:ascii="宋体" w:hAnsi="宋体" w:cs="仿宋"/>
          <w:b/>
          <w:spacing w:val="0"/>
          <w:kern w:val="2"/>
          <w:lang w:val="en-GB"/>
        </w:rPr>
      </w:pPr>
      <w:r>
        <w:rPr>
          <w:rFonts w:hint="eastAsia" w:ascii="宋体" w:hAnsi="宋体" w:cs="仿宋"/>
          <w:b/>
          <w:spacing w:val="0"/>
          <w:kern w:val="2"/>
          <w:lang w:val="en-GB"/>
        </w:rPr>
        <w:t>3.4商务条款</w:t>
      </w:r>
      <w:r>
        <w:rPr>
          <w:rFonts w:ascii="宋体" w:hAnsi="宋体" w:cs="仿宋"/>
          <w:b/>
          <w:spacing w:val="0"/>
          <w:kern w:val="2"/>
          <w:lang w:val="en-GB"/>
        </w:rPr>
        <w:t>响应情况</w:t>
      </w:r>
    </w:p>
    <w:p>
      <w:pPr>
        <w:pStyle w:val="16"/>
        <w:ind w:firstLine="0" w:firstLineChars="0"/>
        <w:rPr>
          <w:rFonts w:ascii="宋体" w:hAnsi="宋体" w:cs="仿宋"/>
          <w:b/>
          <w:spacing w:val="0"/>
          <w:kern w:val="2"/>
          <w:lang w:val="en-GB"/>
        </w:rPr>
      </w:pPr>
      <w:r>
        <w:rPr>
          <w:rFonts w:ascii="宋体" w:hAnsi="宋体" w:cs="仿宋"/>
          <w:b/>
          <w:spacing w:val="0"/>
          <w:kern w:val="2"/>
          <w:lang w:val="en-GB"/>
        </w:rPr>
        <w:t xml:space="preserve"> </w:t>
      </w:r>
    </w:p>
    <w:tbl>
      <w:tblPr>
        <w:tblStyle w:val="6"/>
        <w:tblW w:w="9638" w:type="dxa"/>
        <w:jc w:val="center"/>
        <w:tblLayout w:type="fixed"/>
        <w:tblCellMar>
          <w:top w:w="0" w:type="dxa"/>
          <w:left w:w="0" w:type="dxa"/>
          <w:bottom w:w="0" w:type="dxa"/>
          <w:right w:w="0" w:type="dxa"/>
        </w:tblCellMar>
      </w:tblPr>
      <w:tblGrid>
        <w:gridCol w:w="696"/>
        <w:gridCol w:w="6377"/>
        <w:gridCol w:w="733"/>
        <w:gridCol w:w="1832"/>
      </w:tblGrid>
      <w:tr>
        <w:tblPrEx>
          <w:tblCellMar>
            <w:top w:w="0" w:type="dxa"/>
            <w:left w:w="0" w:type="dxa"/>
            <w:bottom w:w="0" w:type="dxa"/>
            <w:right w:w="0" w:type="dxa"/>
          </w:tblCellMar>
        </w:tblPrEx>
        <w:trPr>
          <w:trHeight w:val="1336"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序号</w:t>
            </w:r>
          </w:p>
        </w:tc>
        <w:tc>
          <w:tcPr>
            <w:tcW w:w="63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重要性响应参数条款要求</w:t>
            </w:r>
          </w:p>
          <w:p>
            <w:pPr>
              <w:ind w:firstLine="482"/>
              <w:jc w:val="center"/>
              <w:rPr>
                <w:rFonts w:ascii="宋体" w:hAnsi="宋体" w:cs="宋体"/>
                <w:b/>
                <w:bCs/>
                <w:lang w:val="en-GB"/>
              </w:rPr>
            </w:pPr>
            <w:r>
              <w:rPr>
                <w:rFonts w:hint="eastAsia" w:ascii="宋体" w:hAnsi="宋体" w:cs="宋体"/>
                <w:b/>
                <w:bCs/>
                <w:lang w:val="en-GB"/>
              </w:rPr>
              <w:t>（请按采购文件商务要求条款逐条响应 ）</w:t>
            </w:r>
          </w:p>
        </w:tc>
        <w:tc>
          <w:tcPr>
            <w:tcW w:w="7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是否</w:t>
            </w:r>
          </w:p>
          <w:p>
            <w:pPr>
              <w:jc w:val="center"/>
              <w:rPr>
                <w:rFonts w:ascii="宋体" w:hAnsi="宋体" w:cs="宋体"/>
                <w:b/>
                <w:bCs/>
                <w:lang w:val="en-GB"/>
              </w:rPr>
            </w:pPr>
            <w:r>
              <w:rPr>
                <w:rFonts w:hint="eastAsia" w:ascii="宋体" w:hAnsi="宋体" w:cs="宋体"/>
                <w:b/>
                <w:bCs/>
                <w:lang w:val="en-GB"/>
              </w:rPr>
              <w:t>响应</w:t>
            </w:r>
          </w:p>
        </w:tc>
        <w:tc>
          <w:tcPr>
            <w:tcW w:w="1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偏离说明</w:t>
            </w:r>
          </w:p>
        </w:tc>
      </w:tr>
      <w:tr>
        <w:tblPrEx>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1</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2</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75"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3</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4</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5</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6</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bl>
    <w:p>
      <w:pPr>
        <w:pStyle w:val="16"/>
        <w:ind w:firstLine="0" w:firstLineChars="0"/>
        <w:rPr>
          <w:rFonts w:ascii="宋体" w:hAnsi="宋体" w:cs="仿宋"/>
          <w:b/>
          <w:spacing w:val="0"/>
          <w:kern w:val="2"/>
          <w:lang w:val="en-GB"/>
        </w:rPr>
      </w:pPr>
    </w:p>
    <w:p>
      <w:pPr>
        <w:pStyle w:val="16"/>
        <w:ind w:firstLine="0" w:firstLineChars="0"/>
        <w:rPr>
          <w:rFonts w:ascii="宋体" w:hAnsi="宋体" w:cs="仿宋"/>
          <w:b/>
          <w:spacing w:val="0"/>
          <w:kern w:val="2"/>
          <w:lang w:val="en-GB"/>
        </w:rPr>
      </w:pPr>
    </w:p>
    <w:p>
      <w:pPr>
        <w:pStyle w:val="16"/>
        <w:ind w:firstLine="0" w:firstLineChars="0"/>
        <w:rPr>
          <w:rFonts w:ascii="宋体" w:hAnsi="宋体" w:cs="仿宋"/>
          <w:b/>
          <w:spacing w:val="0"/>
          <w:kern w:val="2"/>
          <w:lang w:val="en-GB"/>
        </w:rPr>
      </w:pPr>
    </w:p>
    <w:p>
      <w:pPr>
        <w:pStyle w:val="16"/>
        <w:ind w:firstLine="482"/>
        <w:rPr>
          <w:rFonts w:ascii="宋体" w:hAnsi="宋体" w:cs="仿宋"/>
          <w:b/>
          <w:spacing w:val="0"/>
          <w:kern w:val="2"/>
          <w:lang w:val="en-GB"/>
        </w:rPr>
      </w:pPr>
      <w:r>
        <w:rPr>
          <w:rFonts w:hint="eastAsia" w:ascii="宋体" w:hAnsi="宋体" w:cs="仿宋"/>
          <w:b/>
          <w:spacing w:val="0"/>
          <w:kern w:val="2"/>
          <w:lang w:val="en-GB"/>
        </w:rPr>
        <w:br w:type="page"/>
      </w:r>
      <w:r>
        <w:rPr>
          <w:rFonts w:hint="eastAsia" w:ascii="宋体" w:hAnsi="宋体" w:cs="仿宋"/>
          <w:b/>
          <w:spacing w:val="0"/>
          <w:kern w:val="2"/>
          <w:lang w:val="en-GB"/>
        </w:rPr>
        <w:t>3.5其它重要事项说明及承诺</w:t>
      </w:r>
    </w:p>
    <w:p>
      <w:pPr>
        <w:ind w:firstLine="480"/>
        <w:rPr>
          <w:rFonts w:ascii="宋体" w:hAnsi="宋体" w:cs="仿宋"/>
        </w:rPr>
      </w:pPr>
      <w:r>
        <w:rPr>
          <w:rFonts w:hint="eastAsia" w:ascii="宋体" w:hAnsi="宋体" w:cs="仿宋"/>
        </w:rPr>
        <w:t xml:space="preserve">    (请扼要叙述)</w:t>
      </w:r>
    </w:p>
    <w:p>
      <w:pPr>
        <w:pStyle w:val="16"/>
        <w:ind w:firstLine="600"/>
        <w:rPr>
          <w:rFonts w:ascii="宋体" w:hAnsi="宋体" w:cs="仿宋"/>
          <w:sz w:val="28"/>
          <w:szCs w:val="28"/>
        </w:rPr>
      </w:pPr>
    </w:p>
    <w:p>
      <w:pPr>
        <w:pStyle w:val="16"/>
        <w:ind w:firstLine="600"/>
        <w:rPr>
          <w:rFonts w:ascii="宋体" w:hAnsi="宋体" w:cs="仿宋"/>
          <w:sz w:val="28"/>
          <w:szCs w:val="28"/>
        </w:rPr>
      </w:pPr>
    </w:p>
    <w:p>
      <w:pPr>
        <w:pStyle w:val="16"/>
        <w:ind w:firstLine="600"/>
        <w:rPr>
          <w:rFonts w:ascii="宋体" w:hAnsi="宋体" w:cs="仿宋"/>
          <w:sz w:val="28"/>
          <w:szCs w:val="28"/>
        </w:rPr>
      </w:pPr>
    </w:p>
    <w:p>
      <w:pPr>
        <w:pStyle w:val="16"/>
        <w:ind w:firstLine="600"/>
        <w:rPr>
          <w:rFonts w:ascii="宋体" w:hAnsi="宋体" w:cs="仿宋"/>
          <w:sz w:val="28"/>
          <w:szCs w:val="28"/>
        </w:rPr>
      </w:pPr>
    </w:p>
    <w:p>
      <w:pPr>
        <w:pStyle w:val="16"/>
        <w:ind w:firstLine="600"/>
        <w:rPr>
          <w:rFonts w:ascii="宋体" w:hAnsi="宋体" w:cs="仿宋"/>
          <w:sz w:val="28"/>
          <w:szCs w:val="28"/>
        </w:rPr>
      </w:pPr>
    </w:p>
    <w:p>
      <w:pPr>
        <w:pStyle w:val="16"/>
        <w:ind w:firstLine="600"/>
        <w:rPr>
          <w:rFonts w:ascii="宋体" w:hAnsi="宋体" w:cs="仿宋"/>
          <w:sz w:val="28"/>
          <w:szCs w:val="28"/>
        </w:rPr>
      </w:pPr>
    </w:p>
    <w:p>
      <w:pPr>
        <w:pStyle w:val="16"/>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16"/>
        <w:ind w:firstLine="460"/>
        <w:rPr>
          <w:rFonts w:ascii="宋体" w:hAnsi="宋体"/>
          <w:sz w:val="21"/>
          <w:szCs w:val="21"/>
        </w:rPr>
      </w:pPr>
    </w:p>
    <w:p>
      <w:pPr>
        <w:pStyle w:val="16"/>
        <w:ind w:firstLine="460"/>
        <w:rPr>
          <w:rFonts w:ascii="宋体" w:hAnsi="宋体"/>
          <w:sz w:val="21"/>
          <w:szCs w:val="21"/>
        </w:rPr>
      </w:pPr>
    </w:p>
    <w:p>
      <w:pPr>
        <w:pStyle w:val="16"/>
        <w:ind w:firstLine="460"/>
        <w:rPr>
          <w:rFonts w:ascii="宋体" w:hAnsi="宋体"/>
          <w:sz w:val="21"/>
          <w:szCs w:val="21"/>
        </w:rPr>
      </w:pPr>
    </w:p>
    <w:p>
      <w:pPr>
        <w:pStyle w:val="16"/>
        <w:ind w:firstLine="460"/>
        <w:rPr>
          <w:rFonts w:ascii="宋体" w:hAnsi="宋体"/>
          <w:sz w:val="21"/>
          <w:szCs w:val="21"/>
        </w:rPr>
      </w:pPr>
    </w:p>
    <w:p>
      <w:pPr>
        <w:pStyle w:val="16"/>
        <w:ind w:firstLine="460"/>
        <w:rPr>
          <w:rFonts w:ascii="宋体" w:hAnsi="宋体"/>
          <w:sz w:val="21"/>
          <w:szCs w:val="21"/>
        </w:rPr>
      </w:pPr>
    </w:p>
    <w:p>
      <w:pPr>
        <w:pStyle w:val="16"/>
        <w:ind w:firstLine="460"/>
        <w:rPr>
          <w:rFonts w:ascii="宋体" w:hAnsi="宋体"/>
          <w:sz w:val="21"/>
          <w:szCs w:val="21"/>
        </w:rPr>
      </w:pPr>
    </w:p>
    <w:p>
      <w:pPr>
        <w:pStyle w:val="16"/>
        <w:ind w:firstLine="460"/>
        <w:rPr>
          <w:rFonts w:ascii="宋体" w:hAnsi="宋体"/>
          <w:sz w:val="21"/>
          <w:szCs w:val="21"/>
        </w:rPr>
      </w:pPr>
    </w:p>
    <w:p>
      <w:pPr>
        <w:pStyle w:val="16"/>
        <w:ind w:firstLine="460"/>
        <w:rPr>
          <w:rFonts w:ascii="宋体" w:hAnsi="宋体"/>
          <w:sz w:val="21"/>
          <w:szCs w:val="21"/>
        </w:rPr>
      </w:pPr>
    </w:p>
    <w:p>
      <w:pPr>
        <w:pStyle w:val="16"/>
        <w:ind w:firstLine="460"/>
        <w:rPr>
          <w:rFonts w:ascii="宋体" w:hAnsi="宋体"/>
          <w:sz w:val="21"/>
          <w:szCs w:val="21"/>
        </w:rPr>
      </w:pPr>
    </w:p>
    <w:p>
      <w:pPr>
        <w:pStyle w:val="16"/>
        <w:ind w:firstLine="460"/>
        <w:rPr>
          <w:rFonts w:ascii="宋体" w:hAnsi="宋体"/>
          <w:sz w:val="21"/>
          <w:szCs w:val="21"/>
        </w:rPr>
      </w:pPr>
    </w:p>
    <w:p>
      <w:pPr>
        <w:pStyle w:val="16"/>
        <w:ind w:firstLine="460"/>
        <w:rPr>
          <w:rFonts w:ascii="宋体" w:hAnsi="宋体"/>
          <w:sz w:val="21"/>
          <w:szCs w:val="21"/>
        </w:rPr>
      </w:pPr>
    </w:p>
    <w:p>
      <w:pPr>
        <w:pStyle w:val="16"/>
        <w:ind w:firstLine="460"/>
        <w:rPr>
          <w:rFonts w:ascii="宋体" w:hAnsi="宋体"/>
          <w:sz w:val="21"/>
          <w:szCs w:val="21"/>
        </w:rPr>
      </w:pPr>
    </w:p>
    <w:p>
      <w:pPr>
        <w:pStyle w:val="16"/>
        <w:ind w:firstLine="460"/>
        <w:rPr>
          <w:rFonts w:ascii="宋体" w:hAnsi="宋体"/>
          <w:sz w:val="21"/>
          <w:szCs w:val="21"/>
        </w:rPr>
      </w:pPr>
    </w:p>
    <w:p>
      <w:pPr>
        <w:pStyle w:val="16"/>
        <w:ind w:firstLine="460"/>
        <w:rPr>
          <w:rFonts w:ascii="宋体" w:hAnsi="宋体"/>
          <w:sz w:val="21"/>
          <w:szCs w:val="21"/>
        </w:rPr>
      </w:pPr>
    </w:p>
    <w:p>
      <w:pPr>
        <w:pStyle w:val="16"/>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4" w:name="_Toc6273"/>
      <w:r>
        <w:rPr>
          <w:rFonts w:hint="eastAsia" w:ascii="宋体" w:hAnsi="宋体" w:cs="仿宋"/>
          <w:b/>
        </w:rPr>
        <w:t>四、价格部分</w:t>
      </w:r>
      <w:bookmarkEnd w:id="34"/>
    </w:p>
    <w:p>
      <w:pPr>
        <w:jc w:val="center"/>
        <w:rPr>
          <w:rFonts w:ascii="宋体" w:hAnsi="宋体" w:cs="仿宋"/>
          <w:b/>
          <w:bCs/>
        </w:rPr>
      </w:pPr>
      <w:r>
        <w:rPr>
          <w:rFonts w:hint="eastAsia" w:ascii="宋体" w:hAnsi="宋体" w:cs="仿宋"/>
          <w:b/>
          <w:bCs/>
        </w:rPr>
        <w:t>报价一览表</w:t>
      </w:r>
    </w:p>
    <w:p>
      <w:pPr>
        <w:ind w:firstLine="480"/>
      </w:pPr>
    </w:p>
    <w:p>
      <w:pPr>
        <w:ind w:firstLine="480"/>
      </w:pPr>
      <w:r>
        <w:t>投标人名称：</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2510"/>
        <w:gridCol w:w="2976"/>
        <w:gridCol w:w="134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3" w:hRule="atLeast"/>
        </w:trPr>
        <w:tc>
          <w:tcPr>
            <w:tcW w:w="1661" w:type="dxa"/>
            <w:vAlign w:val="center"/>
          </w:tcPr>
          <w:p>
            <w:pPr>
              <w:jc w:val="center"/>
            </w:pPr>
            <w:r>
              <w:t>序号</w:t>
            </w:r>
          </w:p>
        </w:tc>
        <w:tc>
          <w:tcPr>
            <w:tcW w:w="2510" w:type="dxa"/>
            <w:vAlign w:val="center"/>
          </w:tcPr>
          <w:p>
            <w:pPr>
              <w:jc w:val="center"/>
              <w:rPr>
                <w:rFonts w:hint="default" w:eastAsiaTheme="minorEastAsia"/>
                <w:lang w:val="en-US" w:eastAsia="zh-CN"/>
              </w:rPr>
            </w:pPr>
            <w:r>
              <w:rPr>
                <w:rFonts w:hint="eastAsia"/>
                <w:lang w:val="en-US" w:eastAsia="zh-CN"/>
              </w:rPr>
              <w:t>标的</w:t>
            </w:r>
            <w:r>
              <w:t>名称/</w:t>
            </w:r>
            <w:r>
              <w:rPr>
                <w:rFonts w:hint="eastAsia"/>
                <w:lang w:val="en-US" w:eastAsia="zh-CN"/>
              </w:rPr>
              <w:t>包组号</w:t>
            </w:r>
          </w:p>
        </w:tc>
        <w:tc>
          <w:tcPr>
            <w:tcW w:w="2976" w:type="dxa"/>
            <w:vAlign w:val="center"/>
          </w:tcPr>
          <w:p>
            <w:pPr>
              <w:jc w:val="center"/>
              <w:rPr>
                <w:rFonts w:hint="default" w:eastAsiaTheme="minorEastAsia"/>
                <w:lang w:val="en-US" w:eastAsia="zh-CN"/>
              </w:rPr>
            </w:pPr>
            <w:r>
              <w:t>投标报价（元/%）</w:t>
            </w:r>
            <w:r>
              <w:rPr>
                <w:rFonts w:hint="eastAsia"/>
                <w:lang w:eastAsia="zh-CN"/>
              </w:rPr>
              <w:t>（</w:t>
            </w:r>
            <w:r>
              <w:rPr>
                <w:rFonts w:hint="eastAsia"/>
                <w:lang w:val="en-US" w:eastAsia="zh-CN"/>
              </w:rPr>
              <w:t>最高限价单价下浮率）</w:t>
            </w:r>
          </w:p>
        </w:tc>
        <w:tc>
          <w:tcPr>
            <w:tcW w:w="1344" w:type="dxa"/>
            <w:vAlign w:val="center"/>
          </w:tcPr>
          <w:p>
            <w:pPr>
              <w:jc w:val="center"/>
              <w:rPr>
                <w:rFonts w:hint="eastAsia" w:eastAsiaTheme="minorEastAsia"/>
                <w:lang w:eastAsia="zh-CN"/>
              </w:rPr>
            </w:pPr>
            <w:r>
              <w:rPr>
                <w:rFonts w:hint="eastAsia"/>
                <w:lang w:val="en-US" w:eastAsia="zh-CN"/>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2" w:hRule="atLeast"/>
        </w:trPr>
        <w:tc>
          <w:tcPr>
            <w:tcW w:w="1661" w:type="dxa"/>
            <w:vAlign w:val="center"/>
          </w:tcPr>
          <w:p>
            <w:pPr>
              <w:jc w:val="center"/>
            </w:pPr>
            <w:r>
              <w:t>1</w:t>
            </w:r>
          </w:p>
        </w:tc>
        <w:tc>
          <w:tcPr>
            <w:tcW w:w="2510" w:type="dxa"/>
            <w:vAlign w:val="center"/>
          </w:tcPr>
          <w:p>
            <w:pPr>
              <w:jc w:val="center"/>
            </w:pPr>
          </w:p>
        </w:tc>
        <w:tc>
          <w:tcPr>
            <w:tcW w:w="2976" w:type="dxa"/>
            <w:vAlign w:val="center"/>
          </w:tcPr>
          <w:p>
            <w:pPr>
              <w:jc w:val="center"/>
            </w:pPr>
          </w:p>
        </w:tc>
        <w:tc>
          <w:tcPr>
            <w:tcW w:w="1344" w:type="dxa"/>
            <w:vAlign w:val="center"/>
          </w:tcPr>
          <w:p>
            <w:pPr>
              <w:jc w:val="center"/>
            </w:pPr>
          </w:p>
        </w:tc>
      </w:tr>
    </w:tbl>
    <w:p/>
    <w:p>
      <w:pPr>
        <w:rPr>
          <w:rFonts w:hint="eastAsia" w:ascii="宋体" w:hAnsi="宋体" w:cs="仿宋"/>
          <w:b/>
          <w:bCs/>
        </w:rPr>
      </w:pPr>
    </w:p>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hint="eastAsia" w:ascii="宋体" w:hAnsi="宋体" w:cs="宋体"/>
          <w:b/>
          <w:sz w:val="28"/>
          <w:szCs w:val="28"/>
        </w:rPr>
      </w:pPr>
      <w:r>
        <w:rPr>
          <w:rFonts w:ascii="宋体" w:hAnsi="宋体"/>
        </w:rPr>
        <w:br w:type="page"/>
      </w:r>
      <w:r>
        <w:rPr>
          <w:rFonts w:hint="eastAsia" w:ascii="宋体" w:hAnsi="宋体" w:cs="宋体"/>
          <w:b/>
          <w:sz w:val="28"/>
          <w:szCs w:val="28"/>
          <w:lang w:val="en-US" w:eastAsia="zh-CN"/>
        </w:rPr>
        <w:t>产品</w:t>
      </w:r>
      <w:r>
        <w:rPr>
          <w:rFonts w:hint="eastAsia" w:ascii="宋体" w:hAnsi="宋体" w:cs="宋体"/>
          <w:b/>
          <w:sz w:val="28"/>
          <w:szCs w:val="28"/>
        </w:rPr>
        <w:t>明细表</w:t>
      </w:r>
    </w:p>
    <w:p>
      <w:pPr>
        <w:widowControl/>
        <w:jc w:val="center"/>
        <w:rPr>
          <w:rFonts w:hint="default" w:ascii="宋体" w:hAnsi="宋体" w:cs="宋体" w:eastAsiaTheme="minorEastAsia"/>
          <w:b/>
          <w:sz w:val="18"/>
          <w:szCs w:val="18"/>
          <w:lang w:val="en-US" w:eastAsia="zh-CN"/>
        </w:rPr>
      </w:pPr>
    </w:p>
    <w:tbl>
      <w:tblPr>
        <w:tblStyle w:val="6"/>
        <w:tblW w:w="9144" w:type="dxa"/>
        <w:jc w:val="center"/>
        <w:tblLayout w:type="fixed"/>
        <w:tblCellMar>
          <w:top w:w="0" w:type="dxa"/>
          <w:left w:w="108" w:type="dxa"/>
          <w:bottom w:w="0" w:type="dxa"/>
          <w:right w:w="108" w:type="dxa"/>
        </w:tblCellMar>
      </w:tblPr>
      <w:tblGrid>
        <w:gridCol w:w="750"/>
        <w:gridCol w:w="1634"/>
        <w:gridCol w:w="1197"/>
        <w:gridCol w:w="1193"/>
        <w:gridCol w:w="1447"/>
        <w:gridCol w:w="1675"/>
        <w:gridCol w:w="1248"/>
      </w:tblGrid>
      <w:tr>
        <w:tblPrEx>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1634"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lang w:eastAsia="zh-CN"/>
              </w:rPr>
              <w:t>货物</w:t>
            </w:r>
            <w:r>
              <w:rPr>
                <w:rFonts w:hint="eastAsia" w:ascii="宋体" w:hAnsi="宋体" w:cs="宋体"/>
                <w:b/>
                <w:szCs w:val="21"/>
              </w:rPr>
              <w:t>名称</w:t>
            </w:r>
          </w:p>
        </w:tc>
        <w:tc>
          <w:tcPr>
            <w:tcW w:w="1197"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宋体"/>
                <w:b/>
                <w:szCs w:val="21"/>
                <w:lang w:val="en-US" w:eastAsia="zh-CN"/>
              </w:rPr>
            </w:pPr>
            <w:r>
              <w:rPr>
                <w:rFonts w:hint="eastAsia" w:ascii="宋体" w:hAnsi="宋体" w:cs="宋体"/>
                <w:b/>
                <w:szCs w:val="21"/>
                <w:lang w:val="en-US" w:eastAsia="zh-CN"/>
              </w:rPr>
              <w:t>品牌</w:t>
            </w:r>
          </w:p>
        </w:tc>
        <w:tc>
          <w:tcPr>
            <w:tcW w:w="119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b/>
                <w:szCs w:val="21"/>
              </w:rPr>
            </w:pPr>
            <w:r>
              <w:rPr>
                <w:rFonts w:ascii="宋体" w:hAnsi="宋体" w:cs="宋体"/>
                <w:b/>
                <w:szCs w:val="21"/>
              </w:rPr>
              <w:t>规格型号</w:t>
            </w:r>
          </w:p>
        </w:tc>
        <w:tc>
          <w:tcPr>
            <w:tcW w:w="144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1675"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cs="宋体" w:eastAsiaTheme="minorEastAsia"/>
                <w:b/>
                <w:szCs w:val="21"/>
                <w:lang w:val="en-US" w:eastAsia="zh-CN"/>
              </w:rPr>
            </w:pPr>
            <w:r>
              <w:rPr>
                <w:rFonts w:hint="eastAsia" w:ascii="宋体" w:hAnsi="宋体" w:cs="宋体"/>
                <w:b/>
                <w:szCs w:val="21"/>
                <w:lang w:val="en-US" w:eastAsia="zh-CN"/>
              </w:rPr>
              <w:t>注册证号</w:t>
            </w:r>
          </w:p>
        </w:tc>
        <w:tc>
          <w:tcPr>
            <w:tcW w:w="1248"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cs="宋体"/>
                <w:b/>
                <w:szCs w:val="21"/>
                <w:lang w:val="en-US" w:eastAsia="zh-CN"/>
              </w:rPr>
            </w:pPr>
            <w:r>
              <w:rPr>
                <w:rFonts w:hint="eastAsia" w:ascii="宋体" w:hAnsi="宋体" w:cs="宋体"/>
                <w:b/>
                <w:szCs w:val="21"/>
                <w:lang w:val="en-US" w:eastAsia="zh-CN"/>
              </w:rPr>
              <w:t>备注</w:t>
            </w: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634"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1197"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93"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447"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675"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248"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634"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1197"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93"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447"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675"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248"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634"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1197"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93"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447"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675"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248"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center"/>
        <w:rPr>
          <w:rFonts w:ascii="宋体" w:hAnsi="宋体"/>
        </w:rPr>
      </w:pPr>
    </w:p>
    <w:p>
      <w:pPr>
        <w:rPr>
          <w:rFonts w:hint="eastAsia" w:ascii="宋体" w:hAnsi="宋体" w:cs="宋体"/>
          <w:b/>
          <w:sz w:val="24"/>
          <w:szCs w:val="24"/>
          <w:lang w:val="en-US" w:eastAsia="zh-CN"/>
        </w:rPr>
      </w:pPr>
      <w:r>
        <w:rPr>
          <w:rFonts w:hint="eastAsia"/>
          <w:sz w:val="24"/>
          <w:szCs w:val="24"/>
          <w:lang w:val="en-US" w:eastAsia="zh-CN"/>
        </w:rPr>
        <w:t>说明：1.</w:t>
      </w:r>
      <w:r>
        <w:rPr>
          <w:rFonts w:hint="eastAsia" w:ascii="宋体" w:hAnsi="宋体" w:cs="宋体"/>
          <w:b/>
          <w:sz w:val="24"/>
          <w:szCs w:val="24"/>
          <w:lang w:val="en-US" w:eastAsia="zh-CN"/>
        </w:rPr>
        <w:t>按第二章采购需求清单顺序进行填写，不得更改顺序；</w:t>
      </w:r>
    </w:p>
    <w:p>
      <w:pPr>
        <w:rPr>
          <w:rFonts w:hint="eastAsia" w:ascii="宋体" w:hAnsi="宋体" w:cs="宋体"/>
          <w:b/>
          <w:sz w:val="24"/>
          <w:szCs w:val="24"/>
          <w:lang w:val="en-US" w:eastAsia="zh-CN"/>
        </w:rPr>
      </w:pPr>
      <w:r>
        <w:rPr>
          <w:rFonts w:hint="eastAsia" w:ascii="宋体" w:hAnsi="宋体" w:cs="宋体"/>
          <w:b/>
          <w:sz w:val="24"/>
          <w:szCs w:val="24"/>
          <w:lang w:val="en-US" w:eastAsia="zh-CN"/>
        </w:rPr>
        <w:t>2.如有产品无法响应，请在品牌栏划“/”；</w:t>
      </w:r>
    </w:p>
    <w:p>
      <w:pPr>
        <w:rPr>
          <w:rFonts w:hint="default" w:ascii="宋体" w:hAnsi="宋体" w:cs="宋体"/>
          <w:b/>
          <w:sz w:val="24"/>
          <w:szCs w:val="24"/>
          <w:lang w:val="en-US" w:eastAsia="zh-CN"/>
        </w:rPr>
      </w:pPr>
      <w:r>
        <w:rPr>
          <w:rFonts w:hint="eastAsia" w:ascii="宋体" w:hAnsi="宋体" w:cs="宋体"/>
          <w:b/>
          <w:sz w:val="24"/>
          <w:szCs w:val="24"/>
          <w:lang w:val="en-US" w:eastAsia="zh-CN"/>
        </w:rPr>
        <w:t>3.产品如有注册证请填写注册证号，如不作医疗器械管理，请备注栏备注相关情况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DE6514"/>
    <w:multiLevelType w:val="singleLevel"/>
    <w:tmpl w:val="DDDE6514"/>
    <w:lvl w:ilvl="0" w:tentative="0">
      <w:start w:val="7"/>
      <w:numFmt w:val="chineseCounting"/>
      <w:suff w:val="nothing"/>
      <w:lvlText w:val="（%1）"/>
      <w:lvlJc w:val="left"/>
      <w:rPr>
        <w:rFonts w:hint="eastAsia"/>
      </w:rPr>
    </w:lvl>
  </w:abstractNum>
  <w:abstractNum w:abstractNumId="1">
    <w:nsid w:val="5EA023AF"/>
    <w:multiLevelType w:val="singleLevel"/>
    <w:tmpl w:val="5EA023A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3YTg1ZmZmMzUxMzg1YjEyZWZmMDNhYmNiYjM3NjEifQ=="/>
  </w:docVars>
  <w:rsids>
    <w:rsidRoot w:val="53B52B8D"/>
    <w:rsid w:val="02A81B3F"/>
    <w:rsid w:val="0CF52BA9"/>
    <w:rsid w:val="117D1D56"/>
    <w:rsid w:val="14F11A91"/>
    <w:rsid w:val="177F50ED"/>
    <w:rsid w:val="18B35352"/>
    <w:rsid w:val="34FC3E0F"/>
    <w:rsid w:val="3CBB49B9"/>
    <w:rsid w:val="4102318A"/>
    <w:rsid w:val="53B52B8D"/>
    <w:rsid w:val="571D1ED5"/>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35"/>
    <w:rPr>
      <w:rFonts w:ascii="Cambria" w:hAnsi="Cambria" w:eastAsia="黑体"/>
      <w:sz w:val="20"/>
      <w:szCs w:val="20"/>
    </w:rPr>
  </w:style>
  <w:style w:type="paragraph" w:styleId="3">
    <w:name w:val="Body Text Indent"/>
    <w:basedOn w:val="1"/>
    <w:unhideWhenUsed/>
    <w:qFormat/>
    <w:uiPriority w:val="99"/>
    <w:pPr>
      <w:spacing w:line="440" w:lineRule="exact"/>
      <w:ind w:firstLine="830" w:firstLineChars="352"/>
    </w:pPr>
    <w:rPr>
      <w:rFonts w:ascii="仿宋_GB2312" w:hAnsi="Times New Roman" w:eastAsia="仿宋_GB2312"/>
      <w:sz w:val="32"/>
      <w:szCs w:val="20"/>
    </w:rPr>
  </w:style>
  <w:style w:type="paragraph" w:styleId="4">
    <w:name w:val="Plain Text"/>
    <w:basedOn w:val="1"/>
    <w:unhideWhenUsed/>
    <w:qFormat/>
    <w:uiPriority w:val="99"/>
    <w:pPr>
      <w:spacing w:line="440" w:lineRule="exact"/>
      <w:ind w:firstLine="880" w:firstLineChars="200"/>
    </w:pPr>
    <w:rPr>
      <w:rFonts w:ascii="宋体" w:hAnsi="Courier New" w:cs="Courier New"/>
      <w:sz w:val="24"/>
      <w:szCs w:val="21"/>
    </w:rPr>
  </w:style>
  <w:style w:type="paragraph" w:styleId="5">
    <w:name w:val="Title"/>
    <w:basedOn w:val="1"/>
    <w:qFormat/>
    <w:uiPriority w:val="0"/>
    <w:pPr>
      <w:adjustRightInd/>
      <w:snapToGrid/>
      <w:spacing w:after="0"/>
      <w:jc w:val="center"/>
    </w:pPr>
    <w:rPr>
      <w:rFonts w:ascii="Times New Roman" w:hAnsi="Times New Roman" w:eastAsia="宋体" w:cs="Times New Roman"/>
      <w:sz w:val="32"/>
      <w:szCs w:val="24"/>
    </w:rPr>
  </w:style>
  <w:style w:type="paragraph" w:customStyle="1" w:styleId="8">
    <w:name w:val="列出段落1"/>
    <w:basedOn w:val="1"/>
    <w:qFormat/>
    <w:uiPriority w:val="34"/>
    <w:pPr>
      <w:ind w:firstLine="420" w:firstLineChars="200"/>
    </w:pPr>
  </w:style>
  <w:style w:type="character" w:customStyle="1" w:styleId="9">
    <w:name w:val="font61"/>
    <w:basedOn w:val="7"/>
    <w:uiPriority w:val="0"/>
    <w:rPr>
      <w:rFonts w:hint="eastAsia" w:ascii="宋体" w:hAnsi="宋体" w:eastAsia="宋体" w:cs="宋体"/>
      <w:color w:val="000000"/>
      <w:sz w:val="22"/>
      <w:szCs w:val="22"/>
      <w:u w:val="none"/>
    </w:rPr>
  </w:style>
  <w:style w:type="character" w:customStyle="1" w:styleId="10">
    <w:name w:val="font51"/>
    <w:basedOn w:val="7"/>
    <w:uiPriority w:val="0"/>
    <w:rPr>
      <w:rFonts w:hint="eastAsia" w:ascii="宋体" w:hAnsi="宋体" w:eastAsia="宋体" w:cs="宋体"/>
      <w:color w:val="000000"/>
      <w:sz w:val="22"/>
      <w:szCs w:val="22"/>
      <w:u w:val="none"/>
    </w:rPr>
  </w:style>
  <w:style w:type="character" w:customStyle="1" w:styleId="11">
    <w:name w:val="font81"/>
    <w:basedOn w:val="7"/>
    <w:uiPriority w:val="0"/>
    <w:rPr>
      <w:rFonts w:hint="eastAsia" w:ascii="宋体" w:hAnsi="宋体" w:eastAsia="宋体" w:cs="宋体"/>
      <w:color w:val="000000"/>
      <w:sz w:val="22"/>
      <w:szCs w:val="22"/>
      <w:u w:val="none"/>
    </w:rPr>
  </w:style>
  <w:style w:type="character" w:customStyle="1" w:styleId="12">
    <w:name w:val="font71"/>
    <w:basedOn w:val="7"/>
    <w:uiPriority w:val="0"/>
    <w:rPr>
      <w:rFonts w:hint="eastAsia" w:ascii="宋体" w:hAnsi="宋体" w:eastAsia="宋体" w:cs="宋体"/>
      <w:color w:val="000000"/>
      <w:sz w:val="22"/>
      <w:szCs w:val="22"/>
      <w:u w:val="none"/>
      <w:vertAlign w:val="superscript"/>
    </w:rPr>
  </w:style>
  <w:style w:type="character" w:customStyle="1" w:styleId="13">
    <w:name w:val="font21"/>
    <w:basedOn w:val="7"/>
    <w:uiPriority w:val="0"/>
    <w:rPr>
      <w:rFonts w:hint="eastAsia" w:ascii="宋体" w:hAnsi="宋体" w:eastAsia="宋体" w:cs="宋体"/>
      <w:color w:val="000000"/>
      <w:sz w:val="22"/>
      <w:szCs w:val="22"/>
      <w:u w:val="none"/>
    </w:rPr>
  </w:style>
  <w:style w:type="character" w:customStyle="1" w:styleId="14">
    <w:name w:val="font41"/>
    <w:basedOn w:val="7"/>
    <w:uiPriority w:val="0"/>
    <w:rPr>
      <w:rFonts w:hint="eastAsia" w:ascii="宋体" w:hAnsi="宋体" w:eastAsia="宋体" w:cs="宋体"/>
      <w:color w:val="000000"/>
      <w:sz w:val="22"/>
      <w:szCs w:val="22"/>
      <w:u w:val="none"/>
    </w:rPr>
  </w:style>
  <w:style w:type="paragraph" w:customStyle="1" w:styleId="15">
    <w:name w:val="1J"/>
    <w:basedOn w:val="1"/>
    <w:qFormat/>
    <w:uiPriority w:val="0"/>
    <w:pPr>
      <w:jc w:val="center"/>
    </w:pPr>
    <w:rPr>
      <w:b/>
      <w:sz w:val="24"/>
      <w:szCs w:val="24"/>
    </w:rPr>
  </w:style>
  <w:style w:type="paragraph" w:customStyle="1" w:styleId="16">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customStyle="1" w:styleId="17">
    <w:name w:val="题注4"/>
    <w:basedOn w:val="1"/>
    <w:next w:val="2"/>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18">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Lenovo</cp:lastModifiedBy>
  <dcterms:modified xsi:type="dcterms:W3CDTF">2024-02-28T08:49:57Z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3451ABFF030A48DC869B25F2B949D71F_12</vt:lpwstr>
  </property>
</Properties>
</file>