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仿宋_GB2312" w:hAnsi="宋体" w:eastAsia="仿宋_GB2312"/>
          <w:b/>
          <w:bCs/>
          <w:spacing w:val="20"/>
          <w:sz w:val="52"/>
          <w:szCs w:val="52"/>
        </w:rPr>
      </w:pPr>
      <w:r>
        <w:rPr>
          <w:rFonts w:hint="eastAsia" w:ascii="方正小标宋简体" w:hAnsi="宋体" w:eastAsia="方正小标宋简体"/>
          <w:b/>
          <w:bCs/>
          <w:kern w:val="0"/>
          <w:sz w:val="52"/>
          <w:szCs w:val="52"/>
        </w:rPr>
        <w:t>茂名市人民医院食堂服务承包与管理项目</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9"/>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ascii="仿宋" w:hAnsi="仿宋" w:eastAsia="仿宋" w:cs="仿宋"/>
          <w:b/>
          <w:w w:val="110"/>
          <w:sz w:val="36"/>
          <w:szCs w:val="36"/>
        </w:rPr>
        <w:t>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b/>
          <w:color w:val="000000"/>
          <w:kern w:val="0"/>
          <w:sz w:val="22"/>
        </w:rPr>
        <w:t>茂名市人民医院食堂服务承包与管理项目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3"/>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茂名市人民医院食堂服务承包与管理项目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w:t>
      </w:r>
      <w:r>
        <w:rPr>
          <w:rFonts w:hint="eastAsia" w:ascii="宋体" w:hAnsi="宋体" w:cs="宋体"/>
          <w:b w:val="0"/>
          <w:bCs w:val="0"/>
          <w:color w:val="000000"/>
          <w:kern w:val="0"/>
          <w:sz w:val="22"/>
          <w:lang w:val="en-US" w:eastAsia="zh-CN"/>
        </w:rPr>
        <w:t>4</w:t>
      </w:r>
      <w:r>
        <w:rPr>
          <w:rFonts w:hint="eastAsia" w:ascii="宋体" w:hAnsi="宋体" w:cs="宋体"/>
          <w:b w:val="0"/>
          <w:bCs w:val="0"/>
          <w:color w:val="000000"/>
          <w:kern w:val="0"/>
          <w:sz w:val="22"/>
        </w:rPr>
        <w:t>年</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rPr>
        <w:t>月</w:t>
      </w:r>
      <w:bookmarkStart w:id="48" w:name="_GoBack"/>
      <w:bookmarkEnd w:id="48"/>
      <w:r>
        <w:rPr>
          <w:rFonts w:hint="eastAsia" w:ascii="宋体" w:hAnsi="宋体" w:cs="宋体"/>
          <w:b w:val="0"/>
          <w:bCs w:val="0"/>
          <w:color w:val="000000"/>
          <w:kern w:val="0"/>
          <w:sz w:val="22"/>
          <w:lang w:val="en-US" w:eastAsia="zh-CN"/>
        </w:rPr>
        <w:t>1</w:t>
      </w:r>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color w:val="000000"/>
          <w:kern w:val="0"/>
          <w:sz w:val="22"/>
        </w:rPr>
        <w:t>（</w:t>
      </w:r>
      <w:r>
        <w:rPr>
          <w:rFonts w:hint="eastAsia" w:ascii="宋体" w:hAnsi="宋体" w:cs="宋体"/>
          <w:color w:val="000000"/>
          <w:kern w:val="0"/>
          <w:sz w:val="22"/>
          <w:lang w:val="en-US" w:eastAsia="zh-CN"/>
        </w:rPr>
        <w:t>同时需提交一份可编辑的</w:t>
      </w:r>
      <w:r>
        <w:rPr>
          <w:rFonts w:hint="eastAsia" w:ascii="宋体" w:hAnsi="宋体" w:cs="宋体"/>
          <w:color w:val="000000"/>
          <w:kern w:val="0"/>
          <w:sz w:val="22"/>
        </w:rPr>
        <w:t>电子版资料，按指定时间发送到指定邮箱）</w:t>
      </w:r>
      <w:r>
        <w:rPr>
          <w:rFonts w:hint="eastAsia" w:ascii="宋体" w:hAnsi="宋体" w:cs="宋体"/>
          <w:color w:val="000000"/>
          <w:kern w:val="0"/>
          <w:sz w:val="22"/>
          <w:lang w:eastAsia="zh-CN"/>
        </w:rPr>
        <w:t>。</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9"/>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9"/>
        <w:tabs>
          <w:tab w:val="left" w:pos="1260"/>
        </w:tabs>
        <w:spacing w:line="360" w:lineRule="auto"/>
        <w:ind w:firstLine="0" w:firstLineChars="0"/>
        <w:jc w:val="center"/>
        <w:rPr>
          <w:rFonts w:hint="eastAsia" w:hAnsi="宋体"/>
          <w:lang w:val="en-US" w:eastAsia="zh-CN"/>
        </w:rPr>
      </w:pPr>
    </w:p>
    <w:p>
      <w:pPr>
        <w:pStyle w:val="9"/>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9"/>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4</w:t>
      </w:r>
      <w:r>
        <w:rPr>
          <w:rFonts w:hint="eastAsia" w:hAnsi="宋体"/>
          <w:lang w:val="en-US"/>
        </w:rPr>
        <w:t>年</w:t>
      </w:r>
      <w:r>
        <w:rPr>
          <w:rFonts w:hAnsi="宋体"/>
          <w:lang w:val="en-US"/>
        </w:rPr>
        <w:t>1</w:t>
      </w:r>
      <w:r>
        <w:rPr>
          <w:rFonts w:hint="eastAsia" w:hAnsi="宋体"/>
          <w:lang w:val="en-US"/>
        </w:rPr>
        <w:t>月</w:t>
      </w:r>
      <w:r>
        <w:rPr>
          <w:rFonts w:hint="eastAsia" w:hAnsi="宋体"/>
          <w:lang w:val="en-US" w:eastAsia="zh-CN"/>
        </w:rPr>
        <w:t>25</w:t>
      </w:r>
      <w:r>
        <w:rPr>
          <w:rFonts w:hint="eastAsia" w:hAnsi="宋体"/>
          <w:lang w:val="en-US"/>
        </w:rPr>
        <w:t>日</w:t>
      </w:r>
    </w:p>
    <w:p>
      <w:pPr>
        <w:pStyle w:val="9"/>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用户需求书</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《用户需求书》中标注有“★”号的条款必须实质性响应，需要逐条响应，负偏离（不满足要求）将导致投标无效。</w:t>
      </w:r>
    </w:p>
    <w:p>
      <w:pPr>
        <w:tabs>
          <w:tab w:val="left" w:pos="3252"/>
        </w:tabs>
        <w:spacing w:before="156" w:beforeLines="50" w:after="156" w:afterLines="50"/>
        <w:ind w:firstLine="0"/>
        <w:outlineLvl w:val="1"/>
        <w:rPr>
          <w:rFonts w:hint="eastAsia"/>
          <w:b/>
          <w:bCs/>
          <w:color w:val="000000"/>
          <w:sz w:val="24"/>
        </w:rPr>
      </w:pPr>
      <w:r>
        <w:rPr>
          <w:rFonts w:hint="eastAsia" w:ascii="仿宋" w:hAnsi="仿宋" w:eastAsia="仿宋" w:cs="仿宋"/>
          <w:bCs/>
          <w:sz w:val="21"/>
          <w:szCs w:val="21"/>
          <w:lang w:val="en-US" w:eastAsia="zh-CN"/>
        </w:rPr>
        <w:t xml:space="preserve">    </w:t>
      </w:r>
      <w:bookmarkStart w:id="0" w:name="_Toc19414"/>
      <w:bookmarkStart w:id="1" w:name="_Toc8762"/>
      <w:bookmarkStart w:id="2" w:name="_Toc3557"/>
      <w:bookmarkStart w:id="3" w:name="_Toc6773"/>
      <w:bookmarkStart w:id="4" w:name="_Toc5738"/>
      <w:bookmarkStart w:id="5" w:name="_Toc23346"/>
      <w:bookmarkStart w:id="6" w:name="_Toc9460"/>
      <w:r>
        <w:rPr>
          <w:b/>
          <w:bCs/>
          <w:color w:val="000000"/>
          <w:sz w:val="24"/>
          <w:szCs w:val="24"/>
        </w:rPr>
        <w:t>一、项目需求一览表</w:t>
      </w:r>
      <w:bookmarkEnd w:id="0"/>
      <w:bookmarkEnd w:id="1"/>
      <w:bookmarkEnd w:id="2"/>
      <w:bookmarkEnd w:id="3"/>
      <w:bookmarkEnd w:id="4"/>
      <w:bookmarkEnd w:id="5"/>
      <w:bookmarkEnd w:id="6"/>
      <w:r>
        <w:rPr>
          <w:rFonts w:hint="eastAsia"/>
          <w:b/>
          <w:bCs/>
          <w:color w:val="000000"/>
          <w:sz w:val="24"/>
        </w:rPr>
        <w:tab/>
      </w:r>
    </w:p>
    <w:tbl>
      <w:tblPr>
        <w:tblStyle w:val="17"/>
        <w:tblW w:w="7281" w:type="dxa"/>
        <w:jc w:val="center"/>
        <w:tblLayout w:type="autofit"/>
        <w:tblCellMar>
          <w:top w:w="0" w:type="dxa"/>
          <w:left w:w="0" w:type="dxa"/>
          <w:bottom w:w="0" w:type="dxa"/>
          <w:right w:w="0" w:type="dxa"/>
        </w:tblCellMar>
      </w:tblPr>
      <w:tblGrid>
        <w:gridCol w:w="2254"/>
        <w:gridCol w:w="772"/>
        <w:gridCol w:w="1768"/>
        <w:gridCol w:w="2487"/>
      </w:tblGrid>
      <w:tr>
        <w:tblPrEx>
          <w:tblCellMar>
            <w:top w:w="0" w:type="dxa"/>
            <w:left w:w="0" w:type="dxa"/>
            <w:bottom w:w="0" w:type="dxa"/>
            <w:right w:w="0" w:type="dxa"/>
          </w:tblCellMar>
        </w:tblPrEx>
        <w:trPr>
          <w:trHeight w:val="582" w:hRule="atLeast"/>
          <w:jc w:val="center"/>
        </w:trPr>
        <w:tc>
          <w:tcPr>
            <w:tcW w:w="2254" w:type="dxa"/>
            <w:tcBorders>
              <w:top w:val="single" w:color="auto" w:sz="2" w:space="0"/>
              <w:left w:val="single" w:color="auto" w:sz="2" w:space="0"/>
              <w:bottom w:val="single" w:color="auto" w:sz="2" w:space="0"/>
              <w:right w:val="single" w:color="auto" w:sz="2" w:space="0"/>
            </w:tcBorders>
            <w:shd w:val="clear" w:color="auto" w:fill="EEECE1"/>
            <w:noWrap w:val="0"/>
            <w:tcMar>
              <w:left w:w="108" w:type="dxa"/>
              <w:right w:w="108" w:type="dxa"/>
            </w:tcMar>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采购内容</w:t>
            </w:r>
          </w:p>
        </w:tc>
        <w:tc>
          <w:tcPr>
            <w:tcW w:w="772" w:type="dxa"/>
            <w:tcBorders>
              <w:top w:val="single" w:color="auto" w:sz="2" w:space="0"/>
              <w:left w:val="single" w:color="auto" w:sz="2" w:space="0"/>
              <w:bottom w:val="single" w:color="auto" w:sz="2" w:space="0"/>
              <w:right w:val="single" w:color="auto" w:sz="2" w:space="0"/>
            </w:tcBorders>
            <w:shd w:val="clear" w:color="auto" w:fill="EEECE1"/>
            <w:noWrap w:val="0"/>
            <w:tcMar>
              <w:left w:w="108" w:type="dxa"/>
              <w:right w:w="108" w:type="dxa"/>
            </w:tcMar>
            <w:vAlign w:val="center"/>
          </w:tcPr>
          <w:p>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768" w:type="dxa"/>
            <w:tcBorders>
              <w:top w:val="single" w:color="auto" w:sz="2" w:space="0"/>
              <w:left w:val="single" w:color="auto" w:sz="2" w:space="0"/>
              <w:bottom w:val="single" w:color="auto" w:sz="2" w:space="0"/>
              <w:right w:val="single" w:color="auto" w:sz="2" w:space="0"/>
            </w:tcBorders>
            <w:shd w:val="clear" w:color="auto" w:fill="EEECE1"/>
            <w:noWrap w:val="0"/>
            <w:tcMar>
              <w:left w:w="108" w:type="dxa"/>
              <w:right w:w="108" w:type="dxa"/>
            </w:tcMar>
            <w:vAlign w:val="center"/>
          </w:tcPr>
          <w:p>
            <w:pPr>
              <w:spacing w:line="240" w:lineRule="auto"/>
              <w:jc w:val="center"/>
              <w:rPr>
                <w:rFonts w:ascii="宋体" w:hAnsi="宋体" w:eastAsia="宋体" w:cs="宋体"/>
                <w:b/>
                <w:bCs/>
                <w:color w:val="auto"/>
                <w:szCs w:val="21"/>
                <w:highlight w:val="none"/>
              </w:rPr>
            </w:pPr>
            <w:r>
              <w:rPr>
                <w:rFonts w:hint="eastAsia" w:ascii="宋体" w:hAnsi="宋体"/>
                <w:b/>
                <w:color w:val="auto"/>
                <w:szCs w:val="21"/>
                <w:highlight w:val="none"/>
              </w:rPr>
              <w:t>服务期</w:t>
            </w:r>
          </w:p>
        </w:tc>
        <w:tc>
          <w:tcPr>
            <w:tcW w:w="2487" w:type="dxa"/>
            <w:tcBorders>
              <w:top w:val="single" w:color="auto" w:sz="2" w:space="0"/>
              <w:left w:val="single" w:color="auto" w:sz="2" w:space="0"/>
              <w:bottom w:val="single" w:color="auto" w:sz="2" w:space="0"/>
              <w:right w:val="single" w:color="auto" w:sz="2" w:space="0"/>
            </w:tcBorders>
            <w:shd w:val="clear" w:color="auto" w:fill="EEECE1"/>
            <w:noWrap w:val="0"/>
            <w:tcMar>
              <w:left w:w="108" w:type="dxa"/>
              <w:right w:w="108" w:type="dxa"/>
            </w:tcMar>
            <w:vAlign w:val="center"/>
          </w:tcPr>
          <w:p>
            <w:pPr>
              <w:adjustRightInd w:val="0"/>
              <w:snapToGrid w:val="0"/>
              <w:jc w:val="center"/>
              <w:rPr>
                <w:rFonts w:ascii="宋体" w:hAnsi="宋体" w:eastAsia="宋体" w:cs="宋体"/>
                <w:b/>
                <w:bCs/>
                <w:color w:val="auto"/>
                <w:szCs w:val="21"/>
                <w:highlight w:val="none"/>
              </w:rPr>
            </w:pPr>
            <w:r>
              <w:rPr>
                <w:rFonts w:hint="eastAsia" w:ascii="宋体" w:hAnsi="宋体"/>
                <w:b/>
                <w:color w:val="auto"/>
                <w:szCs w:val="21"/>
                <w:highlight w:val="none"/>
              </w:rPr>
              <w:t>最低限价</w:t>
            </w:r>
          </w:p>
        </w:tc>
      </w:tr>
      <w:tr>
        <w:tblPrEx>
          <w:tblCellMar>
            <w:top w:w="0" w:type="dxa"/>
            <w:left w:w="0" w:type="dxa"/>
            <w:bottom w:w="0" w:type="dxa"/>
            <w:right w:w="0" w:type="dxa"/>
          </w:tblCellMar>
        </w:tblPrEx>
        <w:trPr>
          <w:trHeight w:val="645" w:hRule="atLeast"/>
          <w:jc w:val="center"/>
        </w:trPr>
        <w:tc>
          <w:tcPr>
            <w:tcW w:w="2254"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spacing w:line="24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茂名市人民医院食堂服务承包与管理项目</w:t>
            </w:r>
          </w:p>
        </w:tc>
        <w:tc>
          <w:tcPr>
            <w:tcW w:w="772"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spacing w:line="24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一项</w:t>
            </w:r>
          </w:p>
        </w:tc>
        <w:tc>
          <w:tcPr>
            <w:tcW w:w="1768"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pStyle w:val="37"/>
              <w:spacing w:line="240" w:lineRule="auto"/>
              <w:ind w:hanging="67"/>
              <w:rPr>
                <w:rFonts w:ascii="宋体" w:hAnsi="宋体" w:eastAsia="宋体" w:cs="宋体"/>
                <w:color w:val="auto"/>
                <w:sz w:val="21"/>
                <w:szCs w:val="21"/>
                <w:highlight w:val="none"/>
              </w:rPr>
            </w:pPr>
            <w:r>
              <w:rPr>
                <w:rFonts w:hint="eastAsia" w:ascii="宋体" w:hAnsi="宋体"/>
                <w:snapToGrid/>
                <w:color w:val="auto"/>
                <w:spacing w:val="0"/>
                <w:kern w:val="2"/>
                <w:sz w:val="21"/>
                <w:szCs w:val="21"/>
                <w:highlight w:val="none"/>
              </w:rPr>
              <w:t>自签订合同之日起两年</w:t>
            </w:r>
          </w:p>
        </w:tc>
        <w:tc>
          <w:tcPr>
            <w:tcW w:w="2487" w:type="dxa"/>
            <w:tcBorders>
              <w:top w:val="single" w:color="auto" w:sz="2" w:space="0"/>
              <w:left w:val="single" w:color="auto" w:sz="2" w:space="0"/>
              <w:bottom w:val="single" w:color="auto" w:sz="2" w:space="0"/>
              <w:right w:val="single" w:color="auto" w:sz="2" w:space="0"/>
            </w:tcBorders>
            <w:noWrap w:val="0"/>
            <w:tcMar>
              <w:left w:w="108" w:type="dxa"/>
              <w:right w:w="108" w:type="dxa"/>
            </w:tcMar>
            <w:vAlign w:val="center"/>
          </w:tcPr>
          <w:p>
            <w:pPr>
              <w:pStyle w:val="37"/>
              <w:spacing w:line="440" w:lineRule="exact"/>
              <w:ind w:firstLine="120"/>
              <w:rPr>
                <w:rFonts w:ascii="宋体" w:hAnsi="宋体" w:eastAsia="宋体" w:cs="宋体"/>
                <w:color w:val="auto"/>
                <w:sz w:val="21"/>
                <w:szCs w:val="21"/>
                <w:highlight w:val="none"/>
              </w:rPr>
            </w:pPr>
            <w:r>
              <w:rPr>
                <w:rFonts w:hint="eastAsia" w:ascii="宋体" w:hAnsi="宋体" w:eastAsia="宋体"/>
                <w:snapToGrid/>
                <w:color w:val="auto"/>
                <w:spacing w:val="0"/>
                <w:kern w:val="2"/>
                <w:sz w:val="21"/>
                <w:szCs w:val="21"/>
                <w:highlight w:val="none"/>
              </w:rPr>
              <w:t>人民币</w:t>
            </w:r>
            <w:r>
              <w:rPr>
                <w:rFonts w:hint="eastAsia" w:ascii="宋体" w:hAnsi="宋体" w:eastAsia="宋体"/>
                <w:snapToGrid/>
                <w:color w:val="auto"/>
                <w:spacing w:val="0"/>
                <w:kern w:val="2"/>
                <w:sz w:val="21"/>
                <w:szCs w:val="21"/>
                <w:highlight w:val="none"/>
                <w:lang w:val="en-US" w:eastAsia="zh-CN"/>
              </w:rPr>
              <w:t>105200</w:t>
            </w:r>
            <w:r>
              <w:rPr>
                <w:rFonts w:hint="eastAsia" w:ascii="宋体" w:hAnsi="宋体" w:eastAsia="宋体"/>
                <w:snapToGrid/>
                <w:color w:val="auto"/>
                <w:spacing w:val="0"/>
                <w:kern w:val="2"/>
                <w:sz w:val="21"/>
                <w:szCs w:val="21"/>
                <w:highlight w:val="none"/>
              </w:rPr>
              <w:t>元/月</w:t>
            </w:r>
          </w:p>
        </w:tc>
      </w:tr>
    </w:tbl>
    <w:p>
      <w:pPr>
        <w:numPr>
          <w:ilvl w:val="0"/>
          <w:numId w:val="4"/>
        </w:numPr>
        <w:spacing w:before="157" w:beforeLines="50" w:line="360" w:lineRule="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合同履行期限：</w:t>
      </w:r>
      <w:r>
        <w:rPr>
          <w:rFonts w:hint="eastAsia" w:ascii="宋体" w:hAnsi="宋体"/>
          <w:color w:val="auto"/>
          <w:szCs w:val="21"/>
          <w:highlight w:val="none"/>
        </w:rPr>
        <w:t>自签订合同之日起两年（第一年完成后完全满足合同、</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文件要求,且质量考核评价合格,方可继续执行下一年度合同）</w:t>
      </w:r>
      <w:r>
        <w:rPr>
          <w:rFonts w:hint="eastAsia" w:ascii="宋体" w:hAnsi="宋体" w:eastAsia="宋体" w:cs="宋体"/>
          <w:bCs/>
          <w:color w:val="auto"/>
          <w:kern w:val="0"/>
          <w:szCs w:val="21"/>
          <w:highlight w:val="none"/>
        </w:rPr>
        <w:t>。</w:t>
      </w:r>
    </w:p>
    <w:p>
      <w:pPr>
        <w:spacing w:before="0" w:beforeLines="0" w:line="360" w:lineRule="auto"/>
        <w:rPr>
          <w:rFonts w:hint="eastAsia" w:ascii="宋体" w:hAnsi="宋体" w:eastAsia="宋体" w:cs="宋体"/>
          <w:bCs/>
          <w:color w:val="auto"/>
          <w:kern w:val="0"/>
          <w:szCs w:val="21"/>
          <w:highlight w:val="yellow"/>
        </w:rPr>
      </w:pPr>
      <w:r>
        <w:rPr>
          <w:rFonts w:hint="eastAsia" w:ascii="宋体" w:hAnsi="宋体"/>
          <w:color w:val="000000"/>
          <w:szCs w:val="21"/>
          <w:highlight w:val="none"/>
          <w:lang w:val="en-US" w:eastAsia="zh-CN"/>
        </w:rPr>
        <w:t>2.</w:t>
      </w:r>
      <w:r>
        <w:rPr>
          <w:rFonts w:hint="eastAsia" w:ascii="宋体" w:hAnsi="宋体"/>
          <w:color w:val="000000"/>
          <w:szCs w:val="21"/>
          <w:highlight w:val="none"/>
        </w:rPr>
        <w:t>“★”号条款为必须满足的项目要求，负偏离或不响应情形作无效报价处理</w:t>
      </w:r>
      <w:r>
        <w:rPr>
          <w:rFonts w:hint="eastAsia" w:ascii="宋体" w:hAnsi="宋体"/>
          <w:color w:val="000000"/>
          <w:szCs w:val="21"/>
        </w:rPr>
        <w:t>。</w:t>
      </w:r>
    </w:p>
    <w:p>
      <w:pPr>
        <w:tabs>
          <w:tab w:val="left" w:pos="3252"/>
        </w:tabs>
        <w:spacing w:before="156" w:beforeLines="50" w:after="156" w:afterLines="50"/>
        <w:outlineLvl w:val="1"/>
        <w:rPr>
          <w:rFonts w:ascii="Times New Roman" w:hAnsi="Times New Roman" w:eastAsia="宋体" w:cs="Times New Roman"/>
          <w:b/>
          <w:bCs/>
          <w:color w:val="000000"/>
          <w:sz w:val="24"/>
          <w:szCs w:val="24"/>
          <w:highlight w:val="none"/>
        </w:rPr>
      </w:pPr>
      <w:bookmarkStart w:id="7" w:name="_Toc17384"/>
      <w:bookmarkStart w:id="8" w:name="_Toc29899"/>
      <w:bookmarkStart w:id="9" w:name="_Toc29078"/>
      <w:bookmarkStart w:id="10" w:name="_Toc18837"/>
      <w:bookmarkStart w:id="11" w:name="_Toc13494"/>
      <w:bookmarkStart w:id="12" w:name="_Toc29550"/>
      <w:bookmarkStart w:id="13" w:name="_Toc15697"/>
      <w:r>
        <w:rPr>
          <w:rFonts w:hint="eastAsia" w:ascii="Times New Roman" w:hAnsi="Times New Roman" w:eastAsia="宋体" w:cs="Times New Roman"/>
          <w:b/>
          <w:bCs/>
          <w:color w:val="000000"/>
          <w:sz w:val="24"/>
          <w:szCs w:val="24"/>
          <w:highlight w:val="none"/>
          <w:lang w:val="en-US" w:eastAsia="zh-CN"/>
        </w:rPr>
        <w:t>二、</w:t>
      </w:r>
      <w:r>
        <w:rPr>
          <w:rFonts w:hint="default" w:ascii="Times New Roman" w:hAnsi="Times New Roman" w:eastAsia="宋体" w:cs="Times New Roman"/>
          <w:b/>
          <w:bCs/>
          <w:color w:val="000000"/>
          <w:sz w:val="24"/>
          <w:szCs w:val="24"/>
          <w:highlight w:val="none"/>
        </w:rPr>
        <w:t>项目基本概况</w:t>
      </w:r>
      <w:bookmarkEnd w:id="7"/>
      <w:bookmarkEnd w:id="8"/>
    </w:p>
    <w:p>
      <w:pPr>
        <w:numPr>
          <w:ilvl w:val="0"/>
          <w:numId w:val="5"/>
        </w:numPr>
        <w:tabs>
          <w:tab w:val="left" w:pos="420"/>
        </w:tabs>
        <w:snapToGrid w:val="0"/>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承包租金：不低于人民币</w:t>
      </w:r>
      <w:r>
        <w:rPr>
          <w:rFonts w:hint="eastAsia" w:ascii="宋体" w:hAnsi="宋体" w:cs="宋体"/>
          <w:color w:val="auto"/>
          <w:szCs w:val="21"/>
          <w:highlight w:val="none"/>
          <w:lang w:val="en-US" w:eastAsia="zh-CN"/>
        </w:rPr>
        <w:t>10.52</w:t>
      </w:r>
      <w:r>
        <w:rPr>
          <w:rFonts w:hint="eastAsia" w:ascii="宋体" w:hAnsi="宋体" w:cs="宋体"/>
          <w:color w:val="auto"/>
          <w:szCs w:val="21"/>
          <w:highlight w:val="none"/>
        </w:rPr>
        <w:t>万元/月。</w:t>
      </w:r>
    </w:p>
    <w:p>
      <w:pPr>
        <w:numPr>
          <w:ilvl w:val="0"/>
          <w:numId w:val="5"/>
        </w:numPr>
        <w:tabs>
          <w:tab w:val="left" w:pos="420"/>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服务期限：自签订合同之日起两年（第一年完成后完全满足合同、招投标文件要求,且质量考核评价合格,方可继续执行下一年度合同）。</w:t>
      </w:r>
    </w:p>
    <w:p>
      <w:pPr>
        <w:numPr>
          <w:ilvl w:val="0"/>
          <w:numId w:val="5"/>
        </w:numPr>
        <w:tabs>
          <w:tab w:val="left" w:pos="420"/>
        </w:tabs>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本项目为茂名市人民医院食堂服务承包与管理，负责采购人全院区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包括水东湾分院、新福门诊）</w:t>
      </w:r>
      <w:r>
        <w:rPr>
          <w:rFonts w:hint="eastAsia" w:ascii="宋体" w:hAnsi="宋体" w:cs="宋体"/>
          <w:color w:val="auto"/>
          <w:szCs w:val="21"/>
          <w:highlight w:val="none"/>
        </w:rPr>
        <w:t>职工、家属、病人等人员</w:t>
      </w:r>
      <w:r>
        <w:rPr>
          <w:rFonts w:hint="eastAsia" w:ascii="宋体" w:hAnsi="宋体" w:cs="宋体"/>
          <w:color w:val="auto"/>
          <w:szCs w:val="21"/>
          <w:highlight w:val="none"/>
          <w:lang w:val="en-US" w:eastAsia="zh-CN"/>
        </w:rPr>
        <w:t>全天</w:t>
      </w:r>
      <w:r>
        <w:rPr>
          <w:rFonts w:hint="eastAsia" w:ascii="宋体" w:hAnsi="宋体" w:cs="宋体"/>
          <w:color w:val="auto"/>
          <w:szCs w:val="21"/>
          <w:highlight w:val="none"/>
        </w:rPr>
        <w:t>的膳食供应（包括早餐、中餐、晚餐、夜餐、过时餐、工作餐和全年不间断的饮食服务）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协助营养科做好病人的营养餐服务</w:t>
      </w:r>
      <w:r>
        <w:rPr>
          <w:rFonts w:hint="eastAsia" w:ascii="宋体" w:hAnsi="宋体" w:cs="宋体"/>
          <w:color w:val="auto"/>
          <w:szCs w:val="21"/>
          <w:highlight w:val="none"/>
        </w:rPr>
        <w:t>；成交人须提供优质的餐饮服务和安全的食品。在确保早、午、晚的膳食正常供应后，可根据职工需要和能力许可，兼营小炒等业务。未经采购人同意，严禁在采购人区域内进行其</w:t>
      </w:r>
      <w:r>
        <w:rPr>
          <w:rFonts w:hint="eastAsia" w:ascii="宋体" w:hAnsi="宋体" w:eastAsia="宋体" w:cs="宋体"/>
          <w:color w:val="auto"/>
          <w:szCs w:val="21"/>
          <w:highlight w:val="none"/>
        </w:rPr>
        <w:t>它经营活动和作其它用途。</w:t>
      </w:r>
    </w:p>
    <w:p>
      <w:pPr>
        <w:numPr>
          <w:ilvl w:val="0"/>
          <w:numId w:val="5"/>
        </w:numPr>
        <w:tabs>
          <w:tab w:val="left" w:pos="420"/>
        </w:tabs>
        <w:snapToGrid w:val="0"/>
        <w:spacing w:line="360" w:lineRule="auto"/>
        <w:ind w:left="425"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开展本项目所需的场地使用及管理费、设备器材配置及维护保养、餐厨用具添置、日常</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损耗品添置、食材原料配料采购及检测费、固定计量登记表格及办公耗材用品购置、制服、个人防护用品、培训费用、房屋租金、水电及烟囱、排水沟渠维修及烹调使用的天然气等费用均由成交人自行承担。</w:t>
      </w:r>
    </w:p>
    <w:p>
      <w:pPr>
        <w:tabs>
          <w:tab w:val="left" w:pos="3252"/>
        </w:tabs>
        <w:spacing w:before="156" w:beforeLines="50" w:after="156" w:afterLines="50"/>
        <w:outlineLvl w:val="1"/>
        <w:rPr>
          <w:rFonts w:hint="eastAsia" w:ascii="Times New Roman" w:hAnsi="Times New Roman" w:eastAsia="宋体" w:cs="Times New Roman"/>
          <w:b/>
          <w:bCs/>
          <w:color w:val="000000"/>
          <w:sz w:val="24"/>
          <w:szCs w:val="24"/>
          <w:highlight w:val="none"/>
        </w:rPr>
      </w:pPr>
      <w:bookmarkStart w:id="14" w:name="_Toc19871"/>
      <w:bookmarkStart w:id="15" w:name="_Toc28509"/>
      <w:r>
        <w:rPr>
          <w:rFonts w:hint="eastAsia" w:ascii="Times New Roman" w:hAnsi="Times New Roman" w:eastAsia="宋体" w:cs="Times New Roman"/>
          <w:b/>
          <w:bCs/>
          <w:color w:val="000000"/>
          <w:sz w:val="24"/>
          <w:szCs w:val="24"/>
          <w:highlight w:val="none"/>
          <w:lang w:val="en-US" w:eastAsia="zh-CN"/>
        </w:rPr>
        <w:t>三、</w:t>
      </w:r>
      <w:r>
        <w:rPr>
          <w:rFonts w:hint="eastAsia" w:ascii="Times New Roman" w:hAnsi="Times New Roman" w:eastAsia="宋体" w:cs="Times New Roman"/>
          <w:b/>
          <w:bCs/>
          <w:color w:val="000000"/>
          <w:sz w:val="24"/>
          <w:szCs w:val="24"/>
          <w:highlight w:val="none"/>
        </w:rPr>
        <w:t>总体要求</w:t>
      </w:r>
      <w:bookmarkEnd w:id="14"/>
      <w:bookmarkEnd w:id="15"/>
    </w:p>
    <w:p>
      <w:pPr>
        <w:pStyle w:val="27"/>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树立正确的经营理念，紧紧围绕医院的工作目标，严格执行食品安全相关法律法规，做好医院职工、家属、病人等人员膳食供应服务及下送餐饮为医疗工作服务的措施并落实。</w:t>
      </w:r>
    </w:p>
    <w:p>
      <w:pPr>
        <w:pStyle w:val="27"/>
        <w:numPr>
          <w:ilvl w:val="0"/>
          <w:numId w:val="6"/>
        </w:numPr>
        <w:spacing w:line="360" w:lineRule="auto"/>
        <w:ind w:firstLineChars="0"/>
        <w:rPr>
          <w:rFonts w:ascii="宋体" w:hAnsi="宋体" w:cs="宋体"/>
          <w:b/>
          <w:bCs/>
          <w:color w:val="auto"/>
          <w:szCs w:val="21"/>
          <w:highlight w:val="none"/>
        </w:rPr>
      </w:pPr>
      <w:r>
        <w:rPr>
          <w:rFonts w:hint="eastAsia"/>
          <w:b w:val="0"/>
          <w:bCs w:val="0"/>
          <w:color w:val="auto"/>
          <w:highlight w:val="none"/>
        </w:rPr>
        <w:t>★</w:t>
      </w:r>
      <w:r>
        <w:rPr>
          <w:rFonts w:hint="eastAsia" w:ascii="宋体" w:hAnsi="宋体" w:cs="宋体"/>
          <w:b w:val="0"/>
          <w:bCs w:val="0"/>
          <w:color w:val="auto"/>
          <w:szCs w:val="21"/>
          <w:highlight w:val="none"/>
        </w:rPr>
        <w:t>响应供应商严格执行《广东省财政厅广东省农业农村厅厂东省供销合作 联社关于落实运用政府采购政策支持乡村产业振兴有关工作的通知》（粤财采购〔2021〕6号</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要求，年度预留比例不低于本年度食堂食材采购总额的30%。</w:t>
      </w:r>
    </w:p>
    <w:p>
      <w:pPr>
        <w:pStyle w:val="27"/>
        <w:numPr>
          <w:ilvl w:val="0"/>
          <w:numId w:val="6"/>
        </w:numPr>
        <w:spacing w:line="360" w:lineRule="auto"/>
        <w:ind w:firstLineChars="0"/>
        <w:rPr>
          <w:rFonts w:ascii="宋体" w:hAnsi="宋体" w:cs="宋体"/>
          <w:b w:val="0"/>
          <w:bCs w:val="0"/>
          <w:color w:val="auto"/>
          <w:szCs w:val="21"/>
          <w:highlight w:val="none"/>
        </w:rPr>
      </w:pPr>
      <w:r>
        <w:rPr>
          <w:rFonts w:hint="eastAsia"/>
          <w:b w:val="0"/>
          <w:bCs w:val="0"/>
          <w:color w:val="auto"/>
          <w:highlight w:val="none"/>
        </w:rPr>
        <w:t>★</w:t>
      </w:r>
      <w:r>
        <w:rPr>
          <w:rFonts w:hint="eastAsia" w:ascii="宋体" w:hAnsi="宋体" w:cs="宋体"/>
          <w:b w:val="0"/>
          <w:bCs w:val="0"/>
          <w:color w:val="auto"/>
          <w:szCs w:val="21"/>
          <w:highlight w:val="none"/>
        </w:rPr>
        <w:t>响应供应商严格执行</w:t>
      </w:r>
      <w:r>
        <w:rPr>
          <w:rFonts w:hint="eastAsia" w:ascii="宋体" w:hAnsi="宋体" w:cs="宋体"/>
          <w:b w:val="0"/>
          <w:bCs w:val="0"/>
          <w:color w:val="auto"/>
          <w:szCs w:val="21"/>
          <w:highlight w:val="none"/>
          <w:lang w:val="zh-CN"/>
        </w:rPr>
        <w:t>《关于持续推进乡村振兴消费帮扶工作的通知》（茂委农办〔2023〕6号）等文件</w:t>
      </w:r>
      <w:r>
        <w:rPr>
          <w:rFonts w:hint="eastAsia" w:ascii="宋体" w:hAnsi="宋体" w:cs="宋体"/>
          <w:b w:val="0"/>
          <w:bCs w:val="0"/>
          <w:color w:val="auto"/>
          <w:szCs w:val="21"/>
          <w:highlight w:val="none"/>
          <w:lang w:val="zh-CN" w:eastAsia="zh-CN"/>
        </w:rPr>
        <w:t>要求</w:t>
      </w:r>
      <w:r>
        <w:rPr>
          <w:rFonts w:hint="eastAsia" w:ascii="宋体" w:hAnsi="宋体" w:cs="宋体"/>
          <w:b w:val="0"/>
          <w:bCs w:val="0"/>
          <w:color w:val="auto"/>
          <w:szCs w:val="21"/>
          <w:highlight w:val="none"/>
        </w:rPr>
        <w:t>。</w:t>
      </w:r>
    </w:p>
    <w:p>
      <w:pPr>
        <w:pStyle w:val="27"/>
        <w:numPr>
          <w:ilvl w:val="0"/>
          <w:numId w:val="6"/>
        </w:numPr>
        <w:spacing w:line="360" w:lineRule="auto"/>
        <w:ind w:firstLineChars="0"/>
        <w:rPr>
          <w:rFonts w:ascii="宋体" w:hAnsi="宋体" w:cs="宋体"/>
          <w:b w:val="0"/>
          <w:bCs w:val="0"/>
          <w:color w:val="auto"/>
          <w:szCs w:val="21"/>
          <w:highlight w:val="none"/>
        </w:rPr>
      </w:pPr>
      <w:r>
        <w:rPr>
          <w:rFonts w:hint="eastAsia" w:ascii="宋体" w:hAnsi="宋体" w:cs="宋体"/>
          <w:b w:val="0"/>
          <w:bCs w:val="0"/>
          <w:color w:val="auto"/>
          <w:szCs w:val="21"/>
          <w:highlight w:val="none"/>
        </w:rPr>
        <w:t>响应供应商在实施本项目时须符合国家相关的政策法规，无条件执行国家、地方政府、行</w:t>
      </w:r>
      <w:r>
        <w:rPr>
          <w:rFonts w:hint="eastAsia" w:ascii="宋体" w:hAnsi="宋体" w:cs="宋体"/>
          <w:b w:val="0"/>
          <w:bCs w:val="0"/>
          <w:color w:val="auto"/>
          <w:szCs w:val="21"/>
          <w:highlight w:val="none"/>
          <w:lang w:val="en-US" w:eastAsia="zh-CN"/>
        </w:rPr>
        <w:t>业</w:t>
      </w:r>
      <w:r>
        <w:rPr>
          <w:rFonts w:hint="eastAsia" w:ascii="宋体" w:hAnsi="宋体" w:cs="宋体"/>
          <w:b w:val="0"/>
          <w:bCs w:val="0"/>
          <w:color w:val="auto"/>
          <w:szCs w:val="21"/>
          <w:highlight w:val="none"/>
        </w:rPr>
        <w:t>协会最新的标准和条例。</w:t>
      </w:r>
    </w:p>
    <w:p>
      <w:pPr>
        <w:pStyle w:val="27"/>
        <w:numPr>
          <w:ilvl w:val="0"/>
          <w:numId w:val="6"/>
        </w:numPr>
        <w:spacing w:line="360" w:lineRule="auto"/>
        <w:ind w:firstLineChars="0"/>
        <w:rPr>
          <w:rFonts w:ascii="宋体" w:hAnsi="宋体" w:cs="宋体"/>
          <w:b w:val="0"/>
          <w:bCs w:val="0"/>
          <w:color w:val="auto"/>
          <w:szCs w:val="21"/>
          <w:highlight w:val="none"/>
        </w:rPr>
      </w:pPr>
      <w:r>
        <w:rPr>
          <w:rFonts w:hint="eastAsia" w:ascii="宋体" w:hAnsi="宋体" w:cs="宋体"/>
          <w:b w:val="0"/>
          <w:bCs w:val="0"/>
          <w:color w:val="auto"/>
          <w:szCs w:val="21"/>
          <w:highlight w:val="none"/>
        </w:rPr>
        <w:t>响应供应商必须完全服从医院发展策略的要求，适应本院管理体制和制度的变化。</w:t>
      </w:r>
    </w:p>
    <w:p>
      <w:pPr>
        <w:pStyle w:val="27"/>
        <w:numPr>
          <w:ilvl w:val="0"/>
          <w:numId w:val="6"/>
        </w:numPr>
        <w:spacing w:line="360" w:lineRule="auto"/>
        <w:ind w:firstLineChars="0"/>
        <w:rPr>
          <w:rFonts w:ascii="宋体" w:hAnsi="宋体" w:cs="宋体"/>
          <w:b/>
          <w:bCs/>
          <w:color w:val="auto"/>
          <w:szCs w:val="21"/>
          <w:highlight w:val="none"/>
        </w:rPr>
      </w:pPr>
      <w:r>
        <w:rPr>
          <w:rFonts w:hint="eastAsia" w:ascii="宋体" w:hAnsi="宋体" w:cs="宋体"/>
          <w:b w:val="0"/>
          <w:bCs w:val="0"/>
          <w:color w:val="auto"/>
          <w:szCs w:val="21"/>
          <w:highlight w:val="none"/>
        </w:rPr>
        <w:t>★成交人不得转让服务资格，盈亏风险由成交人自行承担。如发现成交人把服务资格转让他人，采购人有权立即停止成交人的服务资格。</w:t>
      </w:r>
    </w:p>
    <w:p>
      <w:pPr>
        <w:pStyle w:val="27"/>
        <w:numPr>
          <w:ilvl w:val="0"/>
          <w:numId w:val="6"/>
        </w:numPr>
        <w:spacing w:line="360" w:lineRule="auto"/>
        <w:ind w:firstLineChars="0"/>
        <w:rPr>
          <w:rFonts w:ascii="宋体" w:hAnsi="宋体" w:cs="宋体"/>
          <w:b w:val="0"/>
          <w:bCs w:val="0"/>
          <w:color w:val="auto"/>
          <w:szCs w:val="21"/>
          <w:highlight w:val="none"/>
        </w:rPr>
      </w:pPr>
      <w:r>
        <w:rPr>
          <w:rFonts w:hint="eastAsia" w:ascii="宋体" w:hAnsi="宋体" w:cs="宋体"/>
          <w:b w:val="0"/>
          <w:bCs w:val="0"/>
          <w:color w:val="auto"/>
          <w:szCs w:val="21"/>
          <w:highlight w:val="none"/>
        </w:rPr>
        <w:t>在服务过程中，采购人有权对所有的在岗人员，根据院内工作实际需要进行岗位调控建议。</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须保证所有工作人员均通过当地医疗卫生或防疫部门的体检，并领取饮食行业健康证，原件交采购人查验后才能上岗，复印件交采购人存档。健康证到期的饭堂工作人员须按时体检换证，复检结果资料及时更新送采购人总务科存档。饭堂工作人员上岗作业时应保持良好的个人卫生清洁习惯，工作衣、帽及口罩穿戴整洁，配餐时戴手套操作，不得留长指甲、佩戴饰物，手部有外伤的人员不得从事食品加工制作工作。</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必须严把食品卫生安全质量关，遵守《中华人民共和国食品安全法》的各项要求，实行“规范操作，安全监督”机制。承包期间不得采购过期、腐烂、变质等食材，采购人一旦发现，责令成交人限期整改并处以罚款，第一次罚200元，第二次罚400元，如此翻倍。如发生食品质量安全事故，成交人须承担全部责任。</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每季度时间段，饭菜如发现有异物，取证确认后，立即进行整改，并作出相应处罚，第一次罚</w:t>
      </w:r>
      <w:r>
        <w:rPr>
          <w:rFonts w:ascii="宋体" w:hAnsi="宋体" w:cs="宋体"/>
          <w:b w:val="0"/>
          <w:bCs w:val="0"/>
          <w:color w:val="auto"/>
          <w:szCs w:val="21"/>
          <w:highlight w:val="none"/>
        </w:rPr>
        <w:t>1</w:t>
      </w:r>
      <w:r>
        <w:rPr>
          <w:rFonts w:hint="eastAsia" w:ascii="宋体" w:hAnsi="宋体" w:cs="宋体"/>
          <w:b w:val="0"/>
          <w:bCs w:val="0"/>
          <w:color w:val="auto"/>
          <w:szCs w:val="21"/>
          <w:highlight w:val="none"/>
        </w:rPr>
        <w:t>00元，第二次罚</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00元，每次递增1</w:t>
      </w:r>
      <w:r>
        <w:rPr>
          <w:rFonts w:ascii="宋体" w:hAnsi="宋体" w:cs="宋体"/>
          <w:b w:val="0"/>
          <w:bCs w:val="0"/>
          <w:color w:val="auto"/>
          <w:szCs w:val="21"/>
          <w:highlight w:val="none"/>
        </w:rPr>
        <w:t>00元</w:t>
      </w:r>
      <w:r>
        <w:rPr>
          <w:rFonts w:hint="eastAsia" w:ascii="宋体" w:hAnsi="宋体" w:cs="宋体"/>
          <w:b w:val="0"/>
          <w:bCs w:val="0"/>
          <w:color w:val="auto"/>
          <w:szCs w:val="21"/>
          <w:highlight w:val="none"/>
        </w:rPr>
        <w:t>，一年内累计超过1</w:t>
      </w:r>
      <w:r>
        <w:rPr>
          <w:rFonts w:ascii="宋体" w:hAnsi="宋体" w:cs="宋体"/>
          <w:b w:val="0"/>
          <w:bCs w:val="0"/>
          <w:color w:val="auto"/>
          <w:szCs w:val="21"/>
          <w:highlight w:val="none"/>
        </w:rPr>
        <w:t>0</w:t>
      </w:r>
      <w:r>
        <w:rPr>
          <w:rFonts w:hint="eastAsia" w:ascii="宋体" w:hAnsi="宋体" w:cs="宋体"/>
          <w:b w:val="0"/>
          <w:bCs w:val="0"/>
          <w:color w:val="auto"/>
          <w:szCs w:val="21"/>
          <w:highlight w:val="none"/>
        </w:rPr>
        <w:t>次的，采购人视情节轻重有权解除合同并没收履约保证金，成交人承担由此产生的所有损失。</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应爱护饭堂内的公物，合理使用、妥善保管饭堂设备设施，不得将饭堂内的用具随意损坏、丢失或转借他人。饭堂内大型厨具等设备如须增加，费用由成交人承担；饭堂燃油水电费、厨具设备设施的年检、维修、保养等一切费用由成交人承担。</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饭堂的清洁卫生由成交人负责。餐具必须彻底清洁消毒，做好室内外环境清洁和消毒工作，清除卫生死角，保持墙壁、墙裙、天花板、地面整洁，疏通下水道，垃圾桶须加盖并保持桶身的清洁，加强灭蝇、灭蟑螂、灭鼠等措施，定期做好大扫除工作。</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须按照国家级卫生城市（食堂管理）的标准要求配合采购人做好饭堂的卫生清洁工作，垃圾严格按分类处理，自备垃圾桶，不乱倒垃圾、剩饭菜，不得将垃圾及杂物倒入采购人垃圾桶或垃圾房，馊水每天及时处理，保持饭堂周围环境清洁卫生。饭堂的剩余饭菜、废弃油脂每天一清理，由成交人按饭堂管理相关规定进行集中处理，不按规定处理引起的一切责任由成交人负责。</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成交人须做好饭堂的消防安全工作，消除消防隐患，并定期接受采购人及相关机构的监督检查。饭堂内的消防安全及设备、煤气、电源（炉灶、各种炊事设备）等一切操作事故责任均由成交人承担。</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成交人负责维护好饭堂秩序，引导用餐者分区就餐。饭堂职工区域餐具和用餐台仅供采购人职工及实习生使用。非采购人职工或未经采购人同意的其他人员一律不得使用员工餐具就餐，须打包带走。</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饭堂工作人员须热情周到服务，讲文明有礼貌，不得与采购人员工或医院患者、家属发生吵闹及打斗事件，自觉接受就餐人员的监督。</w:t>
      </w:r>
    </w:p>
    <w:p>
      <w:pPr>
        <w:numPr>
          <w:ilvl w:val="0"/>
          <w:numId w:val="6"/>
        </w:numPr>
        <w:spacing w:line="360" w:lineRule="auto"/>
        <w:outlineLvl w:val="9"/>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成交人须做好控烟工作以及登记。</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采购人如因医院建设等原因须拆除饭堂，成交人必须保证医院膳食的正常供应。</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采购人有权协助成交人对饭堂的秩序进行管理。为了确保食品安全，饭堂重地，非相关人员禁止进入。</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在经营采购人饭堂期间，必须严格按照采购人的规定进行经营管理，并随时接受食品安全管理小组及教育、卫生、安全、工商、物价、技术监督等部门的监督和检查。若检查中出现违反质量标准、《食品卫生法》及有关部门的要求，采购人将对成交人发出书面整改通知，成交人须及时整改。</w:t>
      </w:r>
    </w:p>
    <w:p>
      <w:pPr>
        <w:numPr>
          <w:ilvl w:val="0"/>
          <w:numId w:val="6"/>
        </w:numPr>
        <w:spacing w:line="360" w:lineRule="auto"/>
        <w:rPr>
          <w:rFonts w:ascii="宋体" w:hAnsi="宋体" w:cs="宋体"/>
          <w:b/>
          <w:bCs/>
          <w:color w:val="auto"/>
          <w:szCs w:val="21"/>
          <w:highlight w:val="none"/>
        </w:rPr>
      </w:pPr>
      <w:r>
        <w:rPr>
          <w:rFonts w:hint="eastAsia" w:ascii="宋体" w:hAnsi="宋体" w:cs="宋体"/>
          <w:b w:val="0"/>
          <w:bCs w:val="0"/>
          <w:color w:val="auto"/>
          <w:szCs w:val="21"/>
          <w:highlight w:val="none"/>
        </w:rPr>
        <w:t>★</w:t>
      </w:r>
      <w:r>
        <w:rPr>
          <w:rFonts w:hint="eastAsia" w:ascii="宋体" w:hAnsi="宋体" w:cs="宋体"/>
          <w:b w:val="0"/>
          <w:bCs w:val="0"/>
          <w:color w:val="auto"/>
          <w:kern w:val="0"/>
          <w:szCs w:val="21"/>
          <w:highlight w:val="none"/>
          <w:lang w:eastAsia="zh-CN"/>
        </w:rPr>
        <w:t>成交人</w:t>
      </w:r>
      <w:r>
        <w:rPr>
          <w:rFonts w:hint="eastAsia" w:ascii="宋体" w:hAnsi="宋体" w:cs="宋体"/>
          <w:b w:val="0"/>
          <w:bCs w:val="0"/>
          <w:color w:val="auto"/>
          <w:kern w:val="0"/>
          <w:szCs w:val="21"/>
          <w:highlight w:val="none"/>
        </w:rPr>
        <w:t>按照本地物价水平（参考茂名市发展和改革局承办的茂名市市区农产品及重要商品市场零售价格信息表） 上公告的价格，如果该产品在网上没有报价的，参考当天河东市场公告的产品零售价格）合理制定用餐标准，与本院协商并经本院确认同意后，方可按照约定的用餐标准供应职工、家属、病人、社会化服务等人员的饮食。</w:t>
      </w:r>
      <w:r>
        <w:rPr>
          <w:rFonts w:hint="eastAsia" w:ascii="宋体" w:hAnsi="宋体" w:cs="宋体"/>
          <w:b w:val="0"/>
          <w:bCs w:val="0"/>
          <w:color w:val="auto"/>
          <w:kern w:val="0"/>
          <w:szCs w:val="21"/>
          <w:highlight w:val="none"/>
          <w:lang w:eastAsia="zh-CN"/>
        </w:rPr>
        <w:t>成交人</w:t>
      </w:r>
      <w:r>
        <w:rPr>
          <w:rFonts w:hint="eastAsia" w:ascii="宋体" w:hAnsi="宋体" w:cs="宋体"/>
          <w:b w:val="0"/>
          <w:bCs w:val="0"/>
          <w:color w:val="auto"/>
          <w:kern w:val="0"/>
          <w:szCs w:val="21"/>
          <w:highlight w:val="none"/>
        </w:rPr>
        <w:t>必须满足早餐、午餐、晚餐的就餐供应能力</w:t>
      </w:r>
      <w:r>
        <w:rPr>
          <w:rFonts w:hint="eastAsia" w:ascii="宋体" w:hAnsi="宋体" w:cs="宋体"/>
          <w:b w:val="0"/>
          <w:bCs w:val="0"/>
          <w:color w:val="auto"/>
          <w:szCs w:val="21"/>
          <w:highlight w:val="none"/>
        </w:rPr>
        <w:t>。</w:t>
      </w:r>
    </w:p>
    <w:p>
      <w:pPr>
        <w:widowControl/>
        <w:numPr>
          <w:ilvl w:val="0"/>
          <w:numId w:val="6"/>
        </w:numPr>
        <w:spacing w:after="0" w:line="360" w:lineRule="auto"/>
        <w:jc w:val="left"/>
        <w:rPr>
          <w:rFonts w:hint="eastAsia" w:ascii="宋体" w:hAnsi="宋体" w:cs="宋体"/>
          <w:b/>
          <w:bCs/>
          <w:color w:val="auto"/>
          <w:kern w:val="2"/>
          <w:sz w:val="21"/>
          <w:szCs w:val="21"/>
          <w:highlight w:val="none"/>
        </w:rPr>
      </w:pPr>
      <w:r>
        <w:rPr>
          <w:rFonts w:hint="eastAsia" w:ascii="宋体" w:hAnsi="宋体" w:cs="宋体"/>
          <w:b w:val="0"/>
          <w:bCs w:val="0"/>
          <w:color w:val="auto"/>
          <w:kern w:val="0"/>
          <w:szCs w:val="21"/>
          <w:highlight w:val="none"/>
        </w:rPr>
        <w:t>★职工及后勤人员餐饮配置要求：</w:t>
      </w:r>
      <w:r>
        <w:rPr>
          <w:rFonts w:hint="eastAsia" w:ascii="宋体" w:hAnsi="宋体" w:cs="宋体"/>
          <w:b/>
          <w:bCs/>
          <w:color w:val="auto"/>
          <w:kern w:val="0"/>
          <w:szCs w:val="21"/>
          <w:highlight w:val="none"/>
        </w:rPr>
        <w:t xml:space="preserve"> </w:t>
      </w:r>
    </w:p>
    <w:p>
      <w:pPr>
        <w:widowControl/>
        <w:spacing w:after="0" w:line="360" w:lineRule="auto"/>
        <w:jc w:val="left"/>
        <w:rPr>
          <w:rFonts w:ascii="宋体" w:hAnsi="宋体" w:cs="宋体"/>
          <w:b w:val="0"/>
          <w:bCs w:val="0"/>
          <w:color w:val="auto"/>
          <w:kern w:val="0"/>
          <w:sz w:val="24"/>
          <w:szCs w:val="24"/>
          <w:highlight w:val="none"/>
        </w:rPr>
      </w:pPr>
      <w:r>
        <w:rPr>
          <w:rFonts w:hint="eastAsia" w:ascii="宋体" w:hAnsi="宋体" w:cs="宋体"/>
          <w:b w:val="0"/>
          <w:bCs w:val="0"/>
          <w:color w:val="auto"/>
          <w:kern w:val="0"/>
          <w:szCs w:val="21"/>
          <w:highlight w:val="none"/>
        </w:rPr>
        <w:t xml:space="preserve">（1）消毒后的筷子等餐具摆放应符合相关卫生管理要求。 </w:t>
      </w:r>
    </w:p>
    <w:p>
      <w:pPr>
        <w:widowControl/>
        <w:spacing w:after="0" w:line="360" w:lineRule="auto"/>
        <w:jc w:val="left"/>
        <w:rPr>
          <w:rFonts w:ascii="宋体" w:hAnsi="宋体" w:cs="宋体"/>
          <w:b w:val="0"/>
          <w:bCs w:val="0"/>
          <w:color w:val="auto"/>
          <w:kern w:val="0"/>
          <w:sz w:val="24"/>
          <w:szCs w:val="24"/>
          <w:highlight w:val="none"/>
        </w:rPr>
      </w:pPr>
      <w:r>
        <w:rPr>
          <w:rFonts w:hint="eastAsia" w:ascii="宋体" w:hAnsi="宋体" w:cs="宋体"/>
          <w:b w:val="0"/>
          <w:bCs w:val="0"/>
          <w:color w:val="auto"/>
          <w:kern w:val="0"/>
          <w:szCs w:val="21"/>
          <w:highlight w:val="none"/>
        </w:rPr>
        <w:t xml:space="preserve">（2）所有饭菜价格需经审核备案后方可执行，变更时需双方协商。 </w:t>
      </w:r>
    </w:p>
    <w:p>
      <w:pPr>
        <w:widowControl/>
        <w:spacing w:after="0" w:line="360" w:lineRule="auto"/>
        <w:ind w:left="420" w:hanging="420" w:hangingChars="200"/>
        <w:jc w:val="left"/>
        <w:rPr>
          <w:rFonts w:ascii="宋体" w:hAnsi="宋体" w:cs="宋体"/>
          <w:b w:val="0"/>
          <w:bCs w:val="0"/>
          <w:color w:val="auto"/>
          <w:kern w:val="0"/>
          <w:sz w:val="24"/>
          <w:szCs w:val="24"/>
          <w:highlight w:val="none"/>
        </w:rPr>
      </w:pPr>
      <w:r>
        <w:rPr>
          <w:rFonts w:hint="eastAsia" w:ascii="宋体" w:hAnsi="宋体" w:cs="宋体"/>
          <w:b w:val="0"/>
          <w:bCs w:val="0"/>
          <w:color w:val="auto"/>
          <w:kern w:val="0"/>
          <w:szCs w:val="21"/>
          <w:highlight w:val="none"/>
        </w:rPr>
        <w:t>（3）</w:t>
      </w:r>
      <w:r>
        <w:rPr>
          <w:rFonts w:hint="eastAsia" w:ascii="宋体" w:hAnsi="宋体" w:cs="宋体"/>
          <w:b w:val="0"/>
          <w:bCs w:val="0"/>
          <w:kern w:val="0"/>
          <w:szCs w:val="21"/>
        </w:rPr>
        <w:t>要求每天提供不少于8个品种的早餐，午、晚餐不少于6个品种的（荤、素）菜，每周提供菜式不少于45款，免费提供辣椒、酱油、醋等调味品，以满足各地人的口味，</w:t>
      </w:r>
      <w:r>
        <w:rPr>
          <w:rFonts w:ascii="宋体" w:hAnsi="宋体" w:cs="宋体"/>
          <w:b w:val="0"/>
          <w:bCs w:val="0"/>
          <w:kern w:val="0"/>
          <w:szCs w:val="21"/>
        </w:rPr>
        <w:t>确保每天膳食不能低于以上标准</w:t>
      </w:r>
      <w:r>
        <w:rPr>
          <w:rFonts w:hint="eastAsia" w:ascii="宋体" w:hAnsi="宋体" w:cs="宋体"/>
          <w:b w:val="0"/>
          <w:bCs w:val="0"/>
          <w:color w:val="auto"/>
          <w:kern w:val="0"/>
          <w:szCs w:val="21"/>
          <w:highlight w:val="none"/>
        </w:rPr>
        <w:t xml:space="preserve">。 </w:t>
      </w:r>
    </w:p>
    <w:p>
      <w:pPr>
        <w:widowControl/>
        <w:spacing w:after="0" w:line="360" w:lineRule="auto"/>
        <w:ind w:left="420" w:hanging="420" w:hangingChars="200"/>
        <w:jc w:val="left"/>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（4）每餐的菜类品种和价格应在显眼处公示（价格必须提前由甲方审批同意后才可执行），每星期七天的菜类品种应不相同，可两、三个星期轮回一次。</w:t>
      </w:r>
    </w:p>
    <w:p>
      <w:pPr>
        <w:numPr>
          <w:ilvl w:val="0"/>
          <w:numId w:val="0"/>
        </w:numPr>
        <w:spacing w:after="0" w:line="360" w:lineRule="auto"/>
        <w:ind w:firstLine="0" w:firstLineChars="0"/>
        <w:rPr>
          <w:b w:val="0"/>
          <w:bCs w:val="0"/>
          <w:color w:val="auto"/>
          <w:highlight w:val="none"/>
        </w:rPr>
      </w:pPr>
      <w:r>
        <w:rPr>
          <w:rFonts w:hint="eastAsia" w:ascii="宋体" w:hAnsi="宋体" w:cs="宋体"/>
          <w:b w:val="0"/>
          <w:bCs w:val="0"/>
          <w:color w:val="auto"/>
          <w:kern w:val="0"/>
          <w:szCs w:val="21"/>
          <w:highlight w:val="none"/>
        </w:rPr>
        <w:t>（5）属医院学生群体就餐费用不高于面向甲方职工用餐标价的75折。</w:t>
      </w:r>
    </w:p>
    <w:p>
      <w:pPr>
        <w:numPr>
          <w:ilvl w:val="0"/>
          <w:numId w:val="0"/>
        </w:numPr>
        <w:spacing w:after="0" w:line="360" w:lineRule="auto"/>
        <w:ind w:firstLine="0" w:firstLineChars="0"/>
        <w:rPr>
          <w:b w:val="0"/>
          <w:bCs w:val="0"/>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6</w:t>
      </w:r>
      <w:r>
        <w:rPr>
          <w:rFonts w:hint="eastAsia"/>
          <w:b w:val="0"/>
          <w:bCs w:val="0"/>
          <w:color w:val="auto"/>
          <w:highlight w:val="none"/>
          <w:lang w:eastAsia="zh-CN"/>
        </w:rPr>
        <w:t>）</w:t>
      </w:r>
      <w:r>
        <w:rPr>
          <w:b w:val="0"/>
          <w:bCs w:val="0"/>
          <w:color w:val="auto"/>
          <w:highlight w:val="none"/>
        </w:rPr>
        <w:t>应急保障根据实际情况确定用餐标准。</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成交人须配合做好上级卫生部门组织的各项业务学习培训，费用由成交人负责，并将相关资料交采购人食品安全管理小组备案。</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成交人员工如有痢疾、伤寒、病性肝炎、活动期肺结核等传染性疾病或化脓性、渗出性、接触性皮肤病等疾病，不得带病上班；在工作期间患有传染病者，应立即调离工作岗位，康复后体检合格方可上岗。</w:t>
      </w:r>
    </w:p>
    <w:p>
      <w:pPr>
        <w:numPr>
          <w:ilvl w:val="0"/>
          <w:numId w:val="6"/>
        </w:numPr>
        <w:spacing w:line="360" w:lineRule="auto"/>
        <w:rPr>
          <w:rFonts w:ascii="宋体" w:hAnsi="宋体" w:cs="宋体"/>
          <w:b w:val="0"/>
          <w:bCs w:val="0"/>
          <w:color w:val="auto"/>
          <w:szCs w:val="21"/>
          <w:highlight w:val="none"/>
        </w:rPr>
      </w:pPr>
      <w:r>
        <w:rPr>
          <w:rFonts w:hint="eastAsia" w:ascii="宋体" w:hAnsi="宋体" w:cs="宋体"/>
          <w:b w:val="0"/>
          <w:bCs w:val="0"/>
          <w:color w:val="auto"/>
          <w:szCs w:val="21"/>
          <w:highlight w:val="none"/>
        </w:rPr>
        <w:t>成交人员工须遵守采购人医院的各项相关管理制度，配合、服从采购人管理，违反者无条件接受采购人的处分和合理的经济处罚。</w:t>
      </w:r>
    </w:p>
    <w:p>
      <w:pPr>
        <w:numPr>
          <w:ilvl w:val="0"/>
          <w:numId w:val="6"/>
        </w:numPr>
        <w:spacing w:line="360" w:lineRule="auto"/>
        <w:rPr>
          <w:rFonts w:ascii="宋体" w:hAnsi="宋体" w:cs="宋体"/>
          <w:color w:val="auto"/>
          <w:szCs w:val="21"/>
          <w:highlight w:val="none"/>
        </w:rPr>
      </w:pPr>
      <w:r>
        <w:rPr>
          <w:rFonts w:hint="eastAsia" w:ascii="宋体" w:hAnsi="宋体" w:cs="宋体"/>
          <w:b w:val="0"/>
          <w:bCs w:val="0"/>
          <w:color w:val="auto"/>
          <w:szCs w:val="21"/>
          <w:highlight w:val="none"/>
        </w:rPr>
        <w:t>成交人须配合采购人或公安、消防、安监、</w:t>
      </w:r>
      <w:r>
        <w:rPr>
          <w:rFonts w:hint="eastAsia" w:ascii="宋体" w:hAnsi="宋体" w:cs="宋体"/>
          <w:color w:val="auto"/>
          <w:szCs w:val="21"/>
          <w:highlight w:val="none"/>
        </w:rPr>
        <w:t>食品安全、卫生防疫等部门做好安全宣传和查验工作。</w:t>
      </w:r>
    </w:p>
    <w:p>
      <w:pPr>
        <w:numPr>
          <w:ilvl w:val="0"/>
          <w:numId w:val="6"/>
        </w:num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成交人每年要参与采购人的消防安全知识培训和演练。</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成交人负责承担经营饭堂过程中所牵涉的一切经济、法律责任。</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未经采购人同意，成交人不得随意装修饭堂各功能用房，不能改变各功能用途。</w:t>
      </w:r>
    </w:p>
    <w:p>
      <w:pPr>
        <w:pStyle w:val="27"/>
        <w:numPr>
          <w:ilvl w:val="0"/>
          <w:numId w:val="6"/>
        </w:numPr>
        <w:spacing w:line="360" w:lineRule="auto"/>
        <w:ind w:firstLineChars="0"/>
        <w:rPr>
          <w:rFonts w:ascii="宋体" w:hAnsi="宋体" w:cs="宋体"/>
          <w:color w:val="auto"/>
          <w:szCs w:val="21"/>
          <w:highlight w:val="none"/>
        </w:rPr>
      </w:pPr>
      <w:r>
        <w:rPr>
          <w:rFonts w:hint="eastAsia" w:ascii="宋体" w:hAnsi="宋体" w:cs="宋体"/>
          <w:color w:val="auto"/>
          <w:szCs w:val="21"/>
          <w:highlight w:val="none"/>
        </w:rPr>
        <w:t>成交人必须每天完善日常工作记录和资料收集，及时整理归档。及时更新饭堂公示栏信息。次月初上交到医院总务科归档保管。</w:t>
      </w:r>
    </w:p>
    <w:p>
      <w:pPr>
        <w:pStyle w:val="27"/>
        <w:numPr>
          <w:ilvl w:val="0"/>
          <w:numId w:val="6"/>
        </w:numPr>
        <w:spacing w:line="360" w:lineRule="auto"/>
        <w:ind w:firstLineChars="0"/>
        <w:rPr>
          <w:rFonts w:ascii="宋体" w:hAnsi="宋体" w:cs="宋体"/>
          <w:b/>
          <w:bCs/>
          <w:color w:val="auto"/>
          <w:szCs w:val="21"/>
          <w:highlight w:val="none"/>
        </w:rPr>
      </w:pPr>
      <w:r>
        <w:rPr>
          <w:rFonts w:hint="eastAsia" w:ascii="宋体" w:hAnsi="宋体" w:cs="宋体"/>
          <w:color w:val="auto"/>
          <w:szCs w:val="21"/>
          <w:highlight w:val="none"/>
        </w:rPr>
        <w:t>★协助做好医院控烟工作，及时劝导吸烟者前往吸烟区；协助做好“创文”、“</w:t>
      </w:r>
      <w:r>
        <w:rPr>
          <w:rFonts w:hint="eastAsia" w:ascii="宋体" w:hAnsi="宋体" w:cs="宋体"/>
          <w:color w:val="auto"/>
          <w:szCs w:val="21"/>
          <w:highlight w:val="none"/>
          <w:lang w:val="en-US" w:eastAsia="zh-CN"/>
        </w:rPr>
        <w:t>巩</w:t>
      </w:r>
      <w:r>
        <w:rPr>
          <w:rFonts w:hint="eastAsia" w:ascii="宋体" w:hAnsi="宋体" w:cs="宋体"/>
          <w:color w:val="auto"/>
          <w:szCs w:val="21"/>
          <w:highlight w:val="none"/>
        </w:rPr>
        <w:t>卫”、“控烟”及政府的一切创建工作。</w:t>
      </w:r>
    </w:p>
    <w:p>
      <w:pPr>
        <w:pStyle w:val="27"/>
        <w:numPr>
          <w:ilvl w:val="0"/>
          <w:numId w:val="6"/>
        </w:numPr>
        <w:spacing w:line="360" w:lineRule="auto"/>
        <w:ind w:firstLineChars="0"/>
        <w:rPr>
          <w:rFonts w:ascii="宋体" w:hAnsi="宋体" w:cs="宋体"/>
          <w:b/>
          <w:bCs/>
          <w:color w:val="auto"/>
          <w:szCs w:val="21"/>
          <w:highlight w:val="none"/>
        </w:rPr>
      </w:pPr>
      <w:r>
        <w:rPr>
          <w:rFonts w:hint="eastAsia" w:ascii="宋体" w:hAnsi="宋体" w:cs="宋体"/>
          <w:color w:val="auto"/>
          <w:szCs w:val="21"/>
          <w:highlight w:val="none"/>
        </w:rPr>
        <w:t>★按照国家或医院疫情防控管理要求，做好疫情防控工作，重点做好医院各定点守护工作和服务区域内各楼层的用餐保障服务和饭堂管理，发现问题及时处理或报告相关部门处理。</w:t>
      </w:r>
    </w:p>
    <w:p>
      <w:pPr>
        <w:pStyle w:val="27"/>
        <w:numPr>
          <w:ilvl w:val="0"/>
          <w:numId w:val="6"/>
        </w:numPr>
        <w:spacing w:line="360" w:lineRule="auto"/>
        <w:ind w:firstLineChars="0"/>
        <w:rPr>
          <w:rFonts w:ascii="宋体" w:hAnsi="宋体" w:cs="宋体"/>
          <w:b/>
          <w:bCs/>
          <w:color w:val="auto"/>
          <w:szCs w:val="21"/>
          <w:highlight w:val="none"/>
        </w:rPr>
      </w:pPr>
      <w:r>
        <w:rPr>
          <w:rFonts w:hint="eastAsia" w:ascii="宋体" w:hAnsi="宋体" w:cs="宋体"/>
          <w:color w:val="auto"/>
          <w:szCs w:val="21"/>
          <w:highlight w:val="none"/>
        </w:rPr>
        <w:t>★服从医院管理：</w:t>
      </w:r>
      <w:bookmarkStart w:id="16" w:name="_Hlk84751263"/>
      <w:r>
        <w:rPr>
          <w:rFonts w:hint="eastAsia" w:ascii="宋体" w:hAnsi="宋体" w:cs="宋体"/>
          <w:color w:val="auto"/>
          <w:szCs w:val="21"/>
          <w:highlight w:val="none"/>
        </w:rPr>
        <w:t>饭堂人员流动</w:t>
      </w:r>
      <w:bookmarkEnd w:id="16"/>
      <w:r>
        <w:rPr>
          <w:rFonts w:hint="eastAsia" w:ascii="宋体" w:hAnsi="宋体" w:cs="宋体"/>
          <w:color w:val="auto"/>
          <w:szCs w:val="21"/>
          <w:highlight w:val="none"/>
        </w:rPr>
        <w:t>（聘用、解聘、调动）需符合传染病防控要求。遇突发性事件及医院工作需要协助时，应无条件服从。</w:t>
      </w:r>
    </w:p>
    <w:p>
      <w:pPr>
        <w:pStyle w:val="27"/>
        <w:numPr>
          <w:ilvl w:val="0"/>
          <w:numId w:val="6"/>
        </w:numPr>
        <w:spacing w:line="360" w:lineRule="auto"/>
        <w:ind w:firstLineChars="0"/>
        <w:rPr>
          <w:rFonts w:ascii="宋体" w:hAnsi="宋体" w:cs="宋体"/>
          <w:b/>
          <w:bCs/>
          <w:color w:val="auto"/>
          <w:szCs w:val="21"/>
          <w:highlight w:val="none"/>
        </w:rPr>
      </w:pPr>
      <w:r>
        <w:rPr>
          <w:rFonts w:hint="eastAsia" w:ascii="宋体" w:hAnsi="宋体" w:cs="宋体"/>
          <w:color w:val="auto"/>
          <w:szCs w:val="21"/>
          <w:highlight w:val="none"/>
        </w:rPr>
        <w:t>★采购人有权对目前职工用餐补助方案进行调整，成交供应商</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无条件配合实施</w:t>
      </w:r>
      <w:r>
        <w:rPr>
          <w:rFonts w:hint="eastAsia" w:ascii="宋体" w:hAnsi="宋体" w:cs="宋体"/>
          <w:b/>
          <w:bCs/>
          <w:color w:val="auto"/>
          <w:szCs w:val="21"/>
          <w:highlight w:val="none"/>
        </w:rPr>
        <w:t>。</w:t>
      </w:r>
    </w:p>
    <w:p>
      <w:pPr>
        <w:tabs>
          <w:tab w:val="left" w:pos="3252"/>
        </w:tabs>
        <w:spacing w:before="156" w:beforeLines="50" w:after="156" w:afterLines="50"/>
        <w:outlineLvl w:val="1"/>
        <w:rPr>
          <w:rFonts w:hint="eastAsia" w:ascii="Times New Roman" w:hAnsi="Times New Roman" w:eastAsia="宋体" w:cs="Times New Roman"/>
          <w:b/>
          <w:bCs/>
          <w:color w:val="000000"/>
          <w:sz w:val="24"/>
          <w:szCs w:val="24"/>
          <w:highlight w:val="none"/>
        </w:rPr>
      </w:pPr>
      <w:bookmarkStart w:id="17" w:name="_Toc11017"/>
      <w:bookmarkStart w:id="18" w:name="_Toc9494"/>
      <w:r>
        <w:rPr>
          <w:rFonts w:hint="eastAsia" w:ascii="Times New Roman" w:hAnsi="Times New Roman" w:eastAsia="宋体" w:cs="Times New Roman"/>
          <w:b/>
          <w:bCs/>
          <w:color w:val="000000"/>
          <w:sz w:val="24"/>
          <w:szCs w:val="24"/>
          <w:highlight w:val="none"/>
          <w:lang w:val="en-US" w:eastAsia="zh-CN"/>
        </w:rPr>
        <w:t>四、</w:t>
      </w:r>
      <w:r>
        <w:rPr>
          <w:rFonts w:hint="eastAsia" w:ascii="Times New Roman" w:hAnsi="Times New Roman" w:eastAsia="宋体" w:cs="Times New Roman"/>
          <w:b/>
          <w:bCs/>
          <w:color w:val="000000"/>
          <w:sz w:val="24"/>
          <w:szCs w:val="24"/>
          <w:highlight w:val="none"/>
        </w:rPr>
        <w:t>服务要求</w:t>
      </w:r>
      <w:bookmarkEnd w:id="17"/>
      <w:bookmarkEnd w:id="18"/>
    </w:p>
    <w:p>
      <w:pPr>
        <w:numPr>
          <w:ilvl w:val="0"/>
          <w:numId w:val="7"/>
        </w:numPr>
        <w:spacing w:line="360" w:lineRule="auto"/>
        <w:ind w:left="567" w:hanging="56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食堂管理要求</w:t>
      </w:r>
    </w:p>
    <w:p>
      <w:pPr>
        <w:numPr>
          <w:ilvl w:val="0"/>
          <w:numId w:val="8"/>
        </w:numPr>
        <w:spacing w:line="360" w:lineRule="auto"/>
        <w:ind w:left="199" w:leftChars="95" w:firstLine="0" w:firstLineChars="0"/>
        <w:rPr>
          <w:rFonts w:ascii="宋体" w:hAnsi="宋体" w:cs="宋体"/>
          <w:color w:val="auto"/>
          <w:szCs w:val="21"/>
          <w:highlight w:val="none"/>
        </w:rPr>
      </w:pPr>
      <w:r>
        <w:rPr>
          <w:rFonts w:hint="eastAsia" w:ascii="宋体" w:hAnsi="宋体" w:eastAsia="宋体" w:cs="宋体"/>
          <w:color w:val="auto"/>
          <w:szCs w:val="21"/>
          <w:highlight w:val="none"/>
        </w:rPr>
        <w:t>响应供应商须严格执行《中华人民共和国食品安全法》、《中华人民共和国安全生产法》、《餐饮服务食品安全操作规范》、《中华人民共和国动物检疫法》、《中华人民共和国劳动</w:t>
      </w:r>
      <w:r>
        <w:rPr>
          <w:rFonts w:hint="eastAsia" w:ascii="宋体" w:hAnsi="宋体" w:cs="宋体"/>
          <w:color w:val="auto"/>
          <w:szCs w:val="21"/>
          <w:highlight w:val="none"/>
        </w:rPr>
        <w:t>法》等法律法规以及采购人的相关管理规定和要求，在合同期内如有违法犯罪行为，后果全部由成交人承担。</w:t>
      </w:r>
    </w:p>
    <w:p>
      <w:pPr>
        <w:numPr>
          <w:ilvl w:val="0"/>
          <w:numId w:val="8"/>
        </w:numPr>
        <w:spacing w:line="360" w:lineRule="auto"/>
        <w:ind w:left="199" w:leftChars="95"/>
        <w:rPr>
          <w:rFonts w:ascii="宋体" w:hAnsi="宋体" w:cs="宋体"/>
          <w:color w:val="auto"/>
          <w:szCs w:val="21"/>
          <w:highlight w:val="none"/>
        </w:rPr>
      </w:pPr>
      <w:r>
        <w:rPr>
          <w:rFonts w:hint="eastAsia" w:ascii="宋体" w:hAnsi="宋体" w:cs="宋体"/>
          <w:color w:val="auto"/>
          <w:szCs w:val="21"/>
          <w:highlight w:val="none"/>
        </w:rPr>
        <w:t>采用全包干的方式承包，成交人负责采购一切物料，包括但不限于包材料、包人工、包管理、包制作、包卫生、包质量安全等食堂一切内务。根据采购人要求，为就餐人员按时足量提供饮食服务，菜式应搭配合理，调配比例均匀，营养可口，保证主副食品花色品种多样化。</w:t>
      </w:r>
    </w:p>
    <w:p>
      <w:pPr>
        <w:numPr>
          <w:ilvl w:val="0"/>
          <w:numId w:val="8"/>
        </w:numPr>
        <w:spacing w:line="360" w:lineRule="auto"/>
        <w:ind w:left="199" w:leftChars="95"/>
        <w:rPr>
          <w:rFonts w:ascii="宋体" w:hAnsi="宋体" w:cs="宋体"/>
          <w:color w:val="auto"/>
          <w:szCs w:val="21"/>
          <w:highlight w:val="none"/>
        </w:rPr>
      </w:pPr>
      <w:r>
        <w:rPr>
          <w:rFonts w:hint="eastAsia" w:ascii="宋体" w:hAnsi="宋体" w:cs="宋体"/>
          <w:color w:val="auto"/>
          <w:szCs w:val="21"/>
          <w:highlight w:val="none"/>
        </w:rPr>
        <w:t>成交人负责饭堂范围内所有设备清洁、维修；负责燃料费、水电费等经营中产生的一切费用；负责饭堂内所有员工的招聘；成交人独立自主管理、自负盈亏。</w:t>
      </w:r>
    </w:p>
    <w:p>
      <w:pPr>
        <w:numPr>
          <w:ilvl w:val="0"/>
          <w:numId w:val="8"/>
        </w:numPr>
        <w:spacing w:line="360" w:lineRule="auto"/>
        <w:ind w:left="199" w:leftChars="95"/>
        <w:rPr>
          <w:rFonts w:ascii="宋体" w:hAnsi="宋体" w:cs="宋体"/>
          <w:color w:val="auto"/>
          <w:szCs w:val="21"/>
          <w:highlight w:val="none"/>
        </w:rPr>
      </w:pPr>
      <w:r>
        <w:rPr>
          <w:rFonts w:hint="eastAsia" w:ascii="宋体" w:hAnsi="宋体" w:cs="宋体"/>
          <w:color w:val="auto"/>
          <w:szCs w:val="21"/>
          <w:highlight w:val="none"/>
        </w:rPr>
        <w:t>原食堂现有工作人员，在同等条件下，成交人应当优先接纳自愿留下的工作人员</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安排开展工作。</w:t>
      </w:r>
    </w:p>
    <w:p>
      <w:pPr>
        <w:numPr>
          <w:ilvl w:val="0"/>
          <w:numId w:val="8"/>
        </w:numPr>
        <w:spacing w:line="360" w:lineRule="auto"/>
        <w:ind w:left="199" w:leftChars="95"/>
        <w:rPr>
          <w:rFonts w:ascii="宋体" w:hAnsi="宋体" w:cs="宋体"/>
          <w:b/>
          <w:bCs/>
          <w:color w:val="auto"/>
          <w:szCs w:val="21"/>
          <w:highlight w:val="none"/>
        </w:rPr>
      </w:pPr>
      <w:r>
        <w:rPr>
          <w:rFonts w:hint="eastAsia" w:ascii="宋体" w:hAnsi="宋体" w:cs="宋体"/>
          <w:color w:val="auto"/>
          <w:szCs w:val="21"/>
          <w:highlight w:val="none"/>
        </w:rPr>
        <w:t>★成交人承接原食堂为采购人使用且未到使用年限的饭菜保温箱，按折旧剩余与原食堂结算。</w:t>
      </w:r>
    </w:p>
    <w:p>
      <w:pPr>
        <w:numPr>
          <w:ilvl w:val="0"/>
          <w:numId w:val="8"/>
        </w:numPr>
        <w:spacing w:line="360" w:lineRule="auto"/>
        <w:ind w:left="199" w:leftChars="95"/>
        <w:rPr>
          <w:rFonts w:ascii="宋体" w:hAnsi="宋体" w:cs="宋体"/>
          <w:color w:val="auto"/>
          <w:szCs w:val="21"/>
          <w:highlight w:val="none"/>
        </w:rPr>
      </w:pPr>
      <w:r>
        <w:rPr>
          <w:rFonts w:hint="eastAsia" w:ascii="宋体" w:hAnsi="宋体" w:cs="宋体"/>
          <w:color w:val="auto"/>
          <w:szCs w:val="21"/>
          <w:highlight w:val="none"/>
        </w:rPr>
        <w:t>包含自愿留下的工作人员，总体配备至少保证有厨师团队，至少包括厨师、副厨（含点厨师），厨工及洗碗洗菜工、餐服人员（含餐饮主管），其中服务员形象良好，所有工作人员必须持有有效期内的健康证。</w:t>
      </w:r>
    </w:p>
    <w:p>
      <w:pPr>
        <w:numPr>
          <w:ilvl w:val="0"/>
          <w:numId w:val="8"/>
        </w:numPr>
        <w:spacing w:line="360" w:lineRule="auto"/>
        <w:ind w:left="199" w:leftChars="95"/>
        <w:rPr>
          <w:rFonts w:ascii="宋体" w:hAnsi="宋体" w:cs="宋体"/>
          <w:color w:val="auto"/>
          <w:szCs w:val="21"/>
          <w:highlight w:val="none"/>
        </w:rPr>
      </w:pPr>
      <w:r>
        <w:rPr>
          <w:rFonts w:hint="eastAsia" w:ascii="宋体" w:hAnsi="宋体" w:cs="宋体"/>
          <w:color w:val="auto"/>
          <w:szCs w:val="21"/>
          <w:highlight w:val="none"/>
        </w:rPr>
        <w:t>成交人按实际需要负责办理中标项目的《食品经营许可证》等相关证照，并按期进行年审。</w:t>
      </w:r>
    </w:p>
    <w:p>
      <w:pPr>
        <w:numPr>
          <w:ilvl w:val="0"/>
          <w:numId w:val="0"/>
        </w:numPr>
        <w:spacing w:line="360" w:lineRule="auto"/>
        <w:ind w:firstLine="210" w:firstLineChars="100"/>
        <w:outlineLvl w:val="9"/>
        <w:rPr>
          <w:rFonts w:ascii="宋体" w:hAnsi="宋体" w:cs="宋体"/>
          <w:color w:val="auto"/>
          <w:szCs w:val="21"/>
          <w:highlight w:val="none"/>
        </w:rPr>
      </w:pPr>
      <w:r>
        <w:rPr>
          <w:rFonts w:hint="eastAsia" w:ascii="宋体" w:hAnsi="宋体" w:cs="宋体"/>
          <w:color w:val="auto"/>
          <w:szCs w:val="21"/>
          <w:highlight w:val="none"/>
          <w:lang w:val="en-US" w:eastAsia="zh-CN"/>
        </w:rPr>
        <w:t xml:space="preserve">8. </w:t>
      </w:r>
      <w:r>
        <w:rPr>
          <w:rFonts w:hint="eastAsia" w:ascii="宋体" w:hAnsi="宋体" w:cs="宋体"/>
          <w:color w:val="auto"/>
          <w:szCs w:val="21"/>
          <w:highlight w:val="none"/>
        </w:rPr>
        <w:t>供应时间：</w:t>
      </w:r>
    </w:p>
    <w:p>
      <w:pPr>
        <w:numPr>
          <w:ilvl w:val="0"/>
          <w:numId w:val="9"/>
        </w:numPr>
        <w:spacing w:line="360" w:lineRule="auto"/>
        <w:ind w:left="105" w:leftChars="50"/>
        <w:rPr>
          <w:rFonts w:ascii="宋体" w:hAnsi="宋体" w:cs="宋体"/>
          <w:color w:val="auto"/>
          <w:szCs w:val="21"/>
          <w:highlight w:val="none"/>
        </w:rPr>
      </w:pPr>
      <w:bookmarkStart w:id="19" w:name="_Hlk85126870"/>
      <w:r>
        <w:rPr>
          <w:rFonts w:hint="eastAsia" w:ascii="宋体" w:hAnsi="宋体" w:cs="宋体"/>
          <w:color w:val="auto"/>
          <w:szCs w:val="21"/>
          <w:highlight w:val="none"/>
        </w:rPr>
        <w:t>服务时间为每周工作7天，全年365 天。</w:t>
      </w:r>
      <w:bookmarkEnd w:id="19"/>
    </w:p>
    <w:p>
      <w:pPr>
        <w:numPr>
          <w:ilvl w:val="0"/>
          <w:numId w:val="9"/>
        </w:numPr>
        <w:spacing w:line="360" w:lineRule="auto"/>
        <w:ind w:left="105" w:leftChars="50"/>
        <w:rPr>
          <w:rFonts w:ascii="宋体" w:hAnsi="宋体" w:cs="宋体"/>
          <w:color w:val="auto"/>
          <w:szCs w:val="21"/>
          <w:highlight w:val="none"/>
        </w:rPr>
      </w:pPr>
      <w:r>
        <w:rPr>
          <w:rFonts w:hint="eastAsia" w:ascii="宋体" w:hAnsi="宋体" w:cs="宋体"/>
          <w:color w:val="auto"/>
          <w:szCs w:val="21"/>
          <w:highlight w:val="none"/>
        </w:rPr>
        <w:t>营业时间：</w:t>
      </w:r>
      <w:bookmarkStart w:id="20" w:name="_Hlk85126884"/>
      <w:r>
        <w:rPr>
          <w:rFonts w:hint="eastAsia" w:ascii="宋体" w:hAnsi="宋体" w:cs="宋体"/>
          <w:color w:val="auto"/>
          <w:szCs w:val="21"/>
          <w:highlight w:val="none"/>
        </w:rPr>
        <w:t>早餐、午餐：6:30-13:00 ，晚餐,16:30-19:00  夜餐：20:00-22:00；送餐出车时间早上7:00 ，中午10:30，晚上17:00。（以采购人</w:t>
      </w:r>
      <w:r>
        <w:rPr>
          <w:rFonts w:hint="eastAsia" w:ascii="宋体" w:hAnsi="宋体" w:cs="宋体"/>
          <w:color w:val="auto"/>
          <w:szCs w:val="21"/>
          <w:highlight w:val="none"/>
          <w:lang w:val="en-US" w:eastAsia="zh-CN"/>
        </w:rPr>
        <w:t>就餐单位</w:t>
      </w:r>
      <w:r>
        <w:rPr>
          <w:rFonts w:hint="eastAsia" w:ascii="宋体" w:hAnsi="宋体" w:cs="宋体"/>
          <w:color w:val="auto"/>
          <w:szCs w:val="21"/>
          <w:highlight w:val="none"/>
        </w:rPr>
        <w:t>根据实际情况进行调整）</w:t>
      </w:r>
      <w:bookmarkEnd w:id="20"/>
    </w:p>
    <w:p>
      <w:pPr>
        <w:numPr>
          <w:ilvl w:val="0"/>
          <w:numId w:val="9"/>
        </w:numPr>
        <w:spacing w:line="360" w:lineRule="auto"/>
        <w:ind w:left="105" w:leftChars="50"/>
        <w:rPr>
          <w:rFonts w:ascii="宋体" w:hAnsi="宋体" w:cs="宋体"/>
          <w:color w:val="auto"/>
          <w:szCs w:val="21"/>
          <w:highlight w:val="none"/>
        </w:rPr>
      </w:pPr>
      <w:r>
        <w:rPr>
          <w:rFonts w:hint="eastAsia" w:ascii="宋体" w:hAnsi="宋体" w:cs="宋体"/>
          <w:color w:val="auto"/>
          <w:szCs w:val="21"/>
          <w:highlight w:val="none"/>
        </w:rPr>
        <w:t>应急保障时间由采购人临时决定，但至少提前</w:t>
      </w:r>
      <w:r>
        <w:rPr>
          <w:rFonts w:hint="eastAsia" w:ascii="宋体" w:hAnsi="宋体" w:cs="宋体"/>
          <w:color w:val="auto"/>
          <w:szCs w:val="21"/>
          <w:highlight w:val="none"/>
          <w:lang w:val="en-US" w:eastAsia="zh-CN"/>
        </w:rPr>
        <w:t>1小时</w:t>
      </w:r>
      <w:r>
        <w:rPr>
          <w:rFonts w:hint="eastAsia" w:ascii="宋体" w:hAnsi="宋体" w:cs="宋体"/>
          <w:color w:val="auto"/>
          <w:szCs w:val="21"/>
          <w:highlight w:val="none"/>
        </w:rPr>
        <w:t>告知成交人，节假日按照实际需求另行确定。</w:t>
      </w:r>
    </w:p>
    <w:p>
      <w:pPr>
        <w:keepNext w:val="0"/>
        <w:keepLines w:val="0"/>
        <w:pageBreakBefore w:val="0"/>
        <w:widowControl w:val="0"/>
        <w:numPr>
          <w:ilvl w:val="0"/>
          <w:numId w:val="9"/>
        </w:numPr>
        <w:kinsoku/>
        <w:wordWrap/>
        <w:overflowPunct/>
        <w:topLinePunct w:val="0"/>
        <w:autoSpaceDE/>
        <w:autoSpaceDN/>
        <w:bidi w:val="0"/>
        <w:adjustRightInd/>
        <w:snapToGrid/>
        <w:ind w:left="105" w:leftChars="50"/>
        <w:textAlignment w:val="auto"/>
        <w:rPr>
          <w:rFonts w:hint="eastAsia" w:ascii="宋体" w:hAnsi="宋体" w:eastAsia="宋体" w:cs="宋体"/>
          <w:b w:val="0"/>
          <w:bCs w:val="0"/>
          <w:sz w:val="21"/>
          <w:szCs w:val="21"/>
        </w:rPr>
      </w:pPr>
      <w:r>
        <w:rPr>
          <w:rFonts w:hint="eastAsia" w:ascii="宋体" w:hAnsi="宋体" w:cs="宋体"/>
          <w:sz w:val="21"/>
          <w:szCs w:val="21"/>
          <w:lang w:val="en-US" w:eastAsia="zh-CN"/>
        </w:rPr>
        <w:t>水东湾分院、新福门诊需专人专车按时配送至临床，做好饭菜的保温保质工作。</w:t>
      </w:r>
    </w:p>
    <w:p>
      <w:pPr>
        <w:numPr>
          <w:ilvl w:val="0"/>
          <w:numId w:val="9"/>
        </w:numPr>
        <w:spacing w:line="360" w:lineRule="auto"/>
        <w:ind w:left="105" w:leftChars="50"/>
        <w:rPr>
          <w:rFonts w:ascii="宋体" w:hAnsi="宋体" w:cs="宋体"/>
          <w:color w:val="auto"/>
          <w:szCs w:val="21"/>
          <w:highlight w:val="none"/>
        </w:rPr>
      </w:pPr>
      <w:r>
        <w:rPr>
          <w:rFonts w:hint="eastAsia" w:ascii="宋体" w:hAnsi="宋体" w:cs="宋体"/>
          <w:color w:val="auto"/>
          <w:szCs w:val="21"/>
          <w:highlight w:val="none"/>
        </w:rPr>
        <w:t>节假日照常提供饮食服务。</w:t>
      </w:r>
    </w:p>
    <w:p>
      <w:pPr>
        <w:numPr>
          <w:ilvl w:val="0"/>
          <w:numId w:val="7"/>
        </w:numPr>
        <w:spacing w:line="360" w:lineRule="auto"/>
        <w:ind w:left="102" w:hanging="102"/>
        <w:outlineLvl w:val="9"/>
        <w:rPr>
          <w:rFonts w:ascii="宋体" w:hAnsi="宋体" w:cs="宋体"/>
          <w:color w:val="auto"/>
          <w:szCs w:val="21"/>
          <w:highlight w:val="none"/>
        </w:rPr>
      </w:pPr>
      <w:r>
        <w:rPr>
          <w:rFonts w:hint="eastAsia" w:ascii="宋体" w:hAnsi="宋体" w:cs="宋体"/>
          <w:color w:val="auto"/>
          <w:szCs w:val="21"/>
          <w:highlight w:val="none"/>
        </w:rPr>
        <w:t>食堂的配置要求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采购人负责提供现有食堂约1000㎡的场地，和现有的设施、设备、灶具及餐具（现有食堂的设施、设备等原价值73</w:t>
      </w:r>
      <w:r>
        <w:rPr>
          <w:rFonts w:hint="eastAsia" w:ascii="宋体" w:hAnsi="宋体" w:cs="宋体"/>
          <w:color w:val="auto"/>
          <w:szCs w:val="21"/>
          <w:highlight w:val="none"/>
          <w:lang w:val="en-US" w:eastAsia="zh-CN"/>
        </w:rPr>
        <w:t>5847</w:t>
      </w:r>
      <w:r>
        <w:rPr>
          <w:rFonts w:hint="eastAsia" w:ascii="宋体" w:hAnsi="宋体" w:cs="宋体"/>
          <w:color w:val="auto"/>
          <w:szCs w:val="21"/>
          <w:highlight w:val="none"/>
        </w:rPr>
        <w:t>.00元，经折旧后的净值为</w:t>
      </w:r>
      <w:r>
        <w:rPr>
          <w:rFonts w:hint="eastAsia" w:ascii="宋体" w:hAnsi="宋体" w:cs="宋体"/>
          <w:color w:val="auto"/>
          <w:szCs w:val="21"/>
          <w:highlight w:val="none"/>
          <w:lang w:val="en-US" w:eastAsia="zh-CN"/>
        </w:rPr>
        <w:t>152770.38</w:t>
      </w:r>
      <w:r>
        <w:rPr>
          <w:rFonts w:hint="eastAsia" w:ascii="宋体" w:hAnsi="宋体" w:cs="宋体"/>
          <w:color w:val="auto"/>
          <w:szCs w:val="21"/>
          <w:highlight w:val="none"/>
        </w:rPr>
        <w:t>元）和水、电、燃气等。水、电、燃气等使用费用由成交人负责，现有食堂设施、设备免费提供成交人使用，合同到期饭堂的设备设施需完好的交还采购人。食堂在经营过程中的设备、设施的维护、更换所需费用由成交人负责，食堂在经营过程中需添加的设备、设施，费用由成交人负责，合同到期后,在不影响建筑整体结构的条件下，经采购人同意，成交人可拆除非医院资产的可移动设备，费用由成交人负责。采购人有权根据运行情况成立第二、第三食堂，成交人不得干涉。</w:t>
      </w:r>
    </w:p>
    <w:p>
      <w:pPr>
        <w:numPr>
          <w:ilvl w:val="0"/>
          <w:numId w:val="7"/>
        </w:numPr>
        <w:spacing w:line="360" w:lineRule="auto"/>
        <w:ind w:left="102" w:hanging="102"/>
        <w:outlineLvl w:val="9"/>
        <w:rPr>
          <w:rFonts w:ascii="宋体" w:hAnsi="宋体" w:cs="宋体"/>
          <w:color w:val="auto"/>
          <w:szCs w:val="21"/>
          <w:highlight w:val="none"/>
        </w:rPr>
      </w:pPr>
      <w:r>
        <w:rPr>
          <w:rFonts w:hint="eastAsia" w:ascii="宋体" w:hAnsi="宋体" w:cs="宋体"/>
          <w:color w:val="auto"/>
          <w:szCs w:val="21"/>
          <w:highlight w:val="none"/>
        </w:rPr>
        <w:t>经营要求</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在采购人监督下提供食堂服务管理，成交人负责为采购人食堂配备工作服务人员并负责管理，厨师（点心师）的烹调技术水平、服务质量需采购人满意，否则采购人有权随时要求成交人调整，直到满意为止。</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成交人应制定食堂日常管理方案，内容主要包括：（1）人员配备  （2）规章制度（餐厅管理制度和卫生管理制度及安全制度）：（3）实施措施等。</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成交人负责食品物料等的采购、食品加工制作、出成品和就餐服务。</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根据采购人的要求，结合项目的餐标情况，调整饭菜供应品种、改进菜式和出品质量。</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成交人不得将食堂私自转让或委托他人经营，不得搞非法经营，否则一经发现，采购人有权取消其承包资格，并解除合同，按照相关法律规定请求有关部门给予处罚。</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成交人必须严格执行职工食堂的相关规章制度、必须满足职工、病人的用餐及应急保障需求，不得对外营业。</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负责与食堂工作人员签订劳动合同，办理各种社会保险手续，所有经费自理（含卫生检疫、工作人员体检、伤残病等费用），所有员工上岗前必须通过当地卫生部门指定医院或防疫站的体检，领取饮食行业健康证，无健康合格证者不准在食堂工作。</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确保不与就餐人员争吵或冲突，采购人将指定人员负责与成交人配合具体工作。</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应保证一日三餐正点，足量、优质（质量保证体系）、做到品种多样化（列出供用品种），不准供应变质、变味以及剩饭菜，采购人将不定期向职工调查饭菜质量、数量及服务情况，并将有关信息通知成交人，成交人应虚心听取意见，并采取措施及时解决不良现象。</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采购人食堂加工间现有的设备及餐具，成交人应合理使用，妥善保管，不得人为损坏，每次餐后均需检查是否有餐具误丢在杂物箱，以防遗失。如有违反造成采购人财产损失，成交人应按价赔偿。</w:t>
      </w:r>
    </w:p>
    <w:p>
      <w:pPr>
        <w:numPr>
          <w:ilvl w:val="0"/>
          <w:numId w:val="10"/>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成交人每周应公示食材配料（含日用品）采购单价及数量，递交甲方审核留档。</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1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按采购人临床营养科要求为住院患者提供治疗膳食服务，以满足临床需求；开展治疗膳食的人力、食材、设备、场地符合有关标准。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10" w:leftChars="0" w:firstLine="0" w:firstLineChars="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成交人应根据临床治疗膳食需求配足专业人员和运营空间。</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1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临床营养科定期对食堂开展营养膳食服务评价工作。营养食堂工作人员，特别是厨师应定期接受临床营养科培训、指导和监管，每天执行尝餐制（附件），对监管反馈的存在问题及时整改。如连续三次仍不整改，甲方将有权终止合同。</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210" w:leftChars="0" w:firstLine="0" w:firstLineChars="0"/>
        <w:textAlignment w:val="auto"/>
        <w:rPr>
          <w:rFonts w:ascii="宋体" w:hAnsi="宋体" w:cs="宋体"/>
          <w:color w:val="auto"/>
          <w:szCs w:val="21"/>
          <w:highlight w:val="none"/>
        </w:rPr>
      </w:pPr>
      <w:r>
        <w:rPr>
          <w:rFonts w:hint="eastAsia" w:ascii="宋体" w:hAnsi="宋体" w:eastAsia="宋体" w:cs="宋体"/>
          <w:sz w:val="21"/>
          <w:szCs w:val="21"/>
          <w:lang w:val="en-US" w:eastAsia="zh-CN"/>
        </w:rPr>
        <w:t>食堂需对营养科患者膳食按成本（含食材和人力资源成本）加成不应超过25%。</w:t>
      </w:r>
    </w:p>
    <w:p>
      <w:pPr>
        <w:numPr>
          <w:ilvl w:val="0"/>
          <w:numId w:val="7"/>
        </w:numPr>
        <w:spacing w:line="360" w:lineRule="auto"/>
        <w:ind w:left="102" w:hanging="102"/>
        <w:outlineLvl w:val="9"/>
        <w:rPr>
          <w:rFonts w:ascii="宋体" w:hAnsi="宋体" w:cs="宋体"/>
          <w:color w:val="auto"/>
          <w:szCs w:val="21"/>
          <w:highlight w:val="none"/>
        </w:rPr>
      </w:pPr>
      <w:r>
        <w:rPr>
          <w:rFonts w:hint="eastAsia" w:ascii="宋体" w:hAnsi="宋体" w:cs="宋体"/>
          <w:color w:val="auto"/>
          <w:szCs w:val="21"/>
          <w:highlight w:val="none"/>
        </w:rPr>
        <w:t>安全卫生要求</w:t>
      </w:r>
    </w:p>
    <w:p>
      <w:pPr>
        <w:numPr>
          <w:ilvl w:val="0"/>
          <w:numId w:val="11"/>
        </w:numPr>
        <w:spacing w:line="360" w:lineRule="auto"/>
        <w:ind w:left="105"/>
        <w:rPr>
          <w:rFonts w:ascii="宋体" w:hAnsi="宋体" w:cs="宋体"/>
          <w:color w:val="auto"/>
          <w:szCs w:val="21"/>
          <w:highlight w:val="none"/>
        </w:rPr>
      </w:pPr>
      <w:r>
        <w:rPr>
          <w:rFonts w:hint="eastAsia" w:ascii="宋体" w:hAnsi="宋体" w:cs="宋体"/>
          <w:color w:val="auto"/>
          <w:szCs w:val="21"/>
          <w:highlight w:val="none"/>
        </w:rPr>
        <w:t>严格按《中华人民共和国食品安全法》 、《餐饮业食品卫生管理办法》、《大气污染物综合排放标准》、《中华人民共和国大气污染防治法》执行。</w:t>
      </w:r>
    </w:p>
    <w:p>
      <w:pPr>
        <w:numPr>
          <w:ilvl w:val="0"/>
          <w:numId w:val="11"/>
        </w:numPr>
        <w:spacing w:line="360" w:lineRule="auto"/>
        <w:ind w:left="105"/>
        <w:rPr>
          <w:rFonts w:ascii="宋体" w:hAnsi="宋体" w:cs="宋体"/>
          <w:color w:val="auto"/>
          <w:szCs w:val="21"/>
          <w:highlight w:val="none"/>
        </w:rPr>
      </w:pPr>
      <w:r>
        <w:rPr>
          <w:rFonts w:hint="eastAsia" w:ascii="宋体" w:hAnsi="宋体" w:cs="宋体"/>
          <w:color w:val="auto"/>
          <w:szCs w:val="21"/>
          <w:highlight w:val="none"/>
        </w:rPr>
        <w:t>《广东省食品卫生管理实施办法》等相关饮食卫生的法律法规的规定，建立健全卫生管理制度，坚决杜绝食物中毒事件的发生。</w:t>
      </w:r>
    </w:p>
    <w:p>
      <w:pPr>
        <w:numPr>
          <w:ilvl w:val="0"/>
          <w:numId w:val="11"/>
        </w:numPr>
        <w:spacing w:line="360" w:lineRule="auto"/>
        <w:ind w:left="105"/>
        <w:rPr>
          <w:rFonts w:ascii="宋体" w:hAnsi="宋体" w:cs="宋体"/>
          <w:color w:val="auto"/>
          <w:szCs w:val="21"/>
          <w:highlight w:val="none"/>
        </w:rPr>
      </w:pPr>
      <w:r>
        <w:rPr>
          <w:rFonts w:hint="eastAsia" w:ascii="宋体" w:hAnsi="宋体" w:cs="宋体"/>
          <w:color w:val="auto"/>
          <w:szCs w:val="21"/>
          <w:highlight w:val="none"/>
        </w:rPr>
        <w:t>整个食堂的卫生防疫、就餐环境必须达到市场监管局的标准，定期采取防鼠、灭蚊、灭蝇、灭蚁措施，采购人有权监督，并随时检查。</w:t>
      </w:r>
    </w:p>
    <w:p>
      <w:pPr>
        <w:numPr>
          <w:ilvl w:val="0"/>
          <w:numId w:val="11"/>
        </w:numPr>
        <w:spacing w:line="360" w:lineRule="auto"/>
        <w:ind w:left="105"/>
        <w:rPr>
          <w:rFonts w:ascii="宋体" w:hAnsi="宋体" w:cs="宋体"/>
          <w:color w:val="auto"/>
          <w:szCs w:val="21"/>
          <w:highlight w:val="none"/>
        </w:rPr>
      </w:pPr>
      <w:r>
        <w:rPr>
          <w:rFonts w:hint="eastAsia" w:ascii="宋体" w:hAnsi="宋体" w:cs="宋体"/>
          <w:color w:val="auto"/>
          <w:szCs w:val="21"/>
          <w:highlight w:val="none"/>
        </w:rPr>
        <w:t>成交人负责餐厅、厨房的清洁卫生、餐具消毒、卫生防疫、食物垃圾处理等工作，确保工作人员就餐健康和卫生，确保采购人食堂至少获卫生部门批准的 “B”级卫生标准。</w:t>
      </w:r>
    </w:p>
    <w:p>
      <w:pPr>
        <w:numPr>
          <w:ilvl w:val="0"/>
          <w:numId w:val="11"/>
        </w:numPr>
        <w:spacing w:line="360" w:lineRule="auto"/>
        <w:ind w:left="105"/>
        <w:rPr>
          <w:rFonts w:ascii="宋体" w:hAnsi="宋体" w:cs="宋体"/>
          <w:color w:val="auto"/>
          <w:szCs w:val="21"/>
          <w:highlight w:val="none"/>
        </w:rPr>
      </w:pPr>
      <w:r>
        <w:rPr>
          <w:rFonts w:hint="eastAsia" w:ascii="宋体" w:hAnsi="宋体" w:cs="宋体"/>
          <w:color w:val="auto"/>
          <w:szCs w:val="21"/>
          <w:highlight w:val="none"/>
        </w:rPr>
        <w:t>因成交人管理不善、工作疏忽等原因造成就餐人员食物中毒的，由此造成的一切损失及法律责任由成交人责任。</w:t>
      </w:r>
    </w:p>
    <w:p>
      <w:pPr>
        <w:numPr>
          <w:ilvl w:val="0"/>
          <w:numId w:val="11"/>
        </w:numPr>
        <w:spacing w:line="360" w:lineRule="auto"/>
        <w:ind w:left="105"/>
        <w:outlineLvl w:val="9"/>
        <w:rPr>
          <w:rFonts w:ascii="宋体" w:hAnsi="宋体" w:cs="宋体"/>
          <w:color w:val="auto"/>
          <w:szCs w:val="21"/>
          <w:highlight w:val="none"/>
        </w:rPr>
      </w:pPr>
      <w:r>
        <w:rPr>
          <w:rFonts w:hint="eastAsia" w:ascii="宋体" w:hAnsi="宋体" w:cs="宋体"/>
          <w:color w:val="auto"/>
          <w:szCs w:val="21"/>
          <w:highlight w:val="none"/>
        </w:rPr>
        <w:t>成交人需定期清理厨房排水渠和饭堂油污池。</w:t>
      </w:r>
    </w:p>
    <w:p>
      <w:pPr>
        <w:numPr>
          <w:ilvl w:val="0"/>
          <w:numId w:val="7"/>
        </w:numPr>
        <w:spacing w:line="360" w:lineRule="auto"/>
        <w:ind w:left="102" w:hanging="102"/>
        <w:outlineLvl w:val="9"/>
        <w:rPr>
          <w:rFonts w:ascii="宋体" w:hAnsi="宋体" w:cs="宋体"/>
          <w:color w:val="auto"/>
          <w:szCs w:val="21"/>
          <w:highlight w:val="none"/>
        </w:rPr>
      </w:pPr>
      <w:r>
        <w:rPr>
          <w:rFonts w:hint="eastAsia" w:ascii="宋体" w:hAnsi="宋体" w:cs="宋体"/>
          <w:color w:val="auto"/>
          <w:szCs w:val="21"/>
          <w:highlight w:val="none"/>
        </w:rPr>
        <w:t>食材采购要求</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保障采购人就餐人员的合法权益，确保饮食卫生，提供优质的饮食服务，成交人在采购粮油、肉蛋类、禽类、鱼类、蔬菜类、副食品类、调味类、食品添加剂等原料和物品必须符合《中华人民共和国食品安全法》、《中华人民共和国动物检疫法》等相关规定，符合卫生标准和营养要求。</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设有专职采购员，每次采购，严格做好进货验收和索票索证工作，建立采购台账（必须专人规范填写）、索证验收“台账”、供应商资质证明台账等，索取供应商有效的资质、检验检测合格证明等文件，如《营业执照》 、《食品卫生许可证》 、《全国工业产品生产许可证》 、《产品质量检验报告》 、《出厂检验报告》等，随时接受采购人及上级部门的检查。</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保证每天每餐的饮食质量、份量、菜式，做到食材新鲜、饭熟菜香，营养搭配科学合理，调配比例均匀，味道可口，保证营养。</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设专门人员负责留样，每餐食品按相关规定的份量、时间、保存条件等做好留样工作，如至少保存48小时，留样份量每样至少100克，在5度以下冷藏专柜专放并按要求做好食品留样管理工作等，具体根据相关规定实施。</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从食品原材料入手，建立食品安全追溯体系，所有肉类、蔬菜类、粮油等由具备供应资格、信誉良好的供应商提供可追溯食品，不能采用散装原料，实行集中统一采购或分大类集中采购，尽量采用无公害食品。</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成交人保证不使用过期</w:t>
      </w:r>
      <w:r>
        <w:rPr>
          <w:rFonts w:hint="eastAsia" w:ascii="宋体" w:hAnsi="宋体" w:cs="宋体"/>
          <w:bCs/>
          <w:color w:val="auto"/>
          <w:szCs w:val="21"/>
          <w:highlight w:val="none"/>
        </w:rPr>
        <w:t>、变质、腐烂或者有毒有害的食材食品，</w:t>
      </w:r>
      <w:r>
        <w:rPr>
          <w:rFonts w:hint="eastAsia" w:ascii="宋体" w:hAnsi="宋体" w:cs="宋体"/>
          <w:color w:val="auto"/>
          <w:szCs w:val="21"/>
          <w:highlight w:val="none"/>
        </w:rPr>
        <w:t>一切原辅料须从正规渠道采购，不能采用散装原料，不能采用非法生产的食盐，采购票据妥善保存，以备检查。</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所有食品供货商须经采购人审核同意，并接受采购人监管，对服务、供货质量等不能达到采购人要求的供货商，采购人有权提出更换，成交人必须配合执行。</w:t>
      </w:r>
    </w:p>
    <w:p>
      <w:pPr>
        <w:numPr>
          <w:ilvl w:val="0"/>
          <w:numId w:val="12"/>
        </w:numPr>
        <w:spacing w:line="360" w:lineRule="auto"/>
        <w:ind w:left="210"/>
        <w:outlineLvl w:val="9"/>
        <w:rPr>
          <w:rFonts w:ascii="宋体" w:hAnsi="宋体" w:cs="宋体"/>
          <w:color w:val="auto"/>
          <w:szCs w:val="21"/>
          <w:highlight w:val="none"/>
        </w:rPr>
      </w:pPr>
      <w:r>
        <w:rPr>
          <w:rFonts w:hint="eastAsia" w:ascii="宋体" w:hAnsi="宋体" w:cs="宋体"/>
          <w:color w:val="auto"/>
          <w:szCs w:val="21"/>
          <w:highlight w:val="none"/>
        </w:rPr>
        <w:t>设置食品安全信息公示栏，公示食品安全信息，接受员工监督。</w:t>
      </w:r>
    </w:p>
    <w:p>
      <w:pPr>
        <w:numPr>
          <w:ilvl w:val="0"/>
          <w:numId w:val="12"/>
        </w:numPr>
        <w:spacing w:line="360" w:lineRule="auto"/>
        <w:ind w:left="210"/>
        <w:rPr>
          <w:rFonts w:ascii="宋体" w:hAnsi="宋体" w:cs="宋体"/>
          <w:color w:val="auto"/>
          <w:szCs w:val="21"/>
          <w:highlight w:val="none"/>
        </w:rPr>
      </w:pPr>
      <w:r>
        <w:rPr>
          <w:rFonts w:hint="eastAsia" w:ascii="宋体" w:hAnsi="宋体" w:cs="宋体"/>
          <w:color w:val="auto"/>
          <w:szCs w:val="21"/>
          <w:highlight w:val="none"/>
        </w:rPr>
        <w:t>采购人有权指定食品品牌,成交人根据餐标额度进行配合，部分重点食品采购要求如下：</w:t>
      </w:r>
    </w:p>
    <w:p>
      <w:pPr>
        <w:spacing w:line="360" w:lineRule="auto"/>
        <w:ind w:left="210"/>
        <w:rPr>
          <w:rFonts w:ascii="宋体" w:hAnsi="宋体" w:cs="宋体"/>
          <w:b/>
          <w:bCs/>
          <w:color w:val="auto"/>
          <w:szCs w:val="21"/>
          <w:highlight w:val="none"/>
        </w:rPr>
      </w:pPr>
      <w:r>
        <w:rPr>
          <w:rFonts w:hint="eastAsia" w:ascii="宋体" w:hAnsi="宋体" w:cs="宋体"/>
          <w:b/>
          <w:bCs/>
          <w:color w:val="auto"/>
          <w:szCs w:val="21"/>
          <w:highlight w:val="none"/>
        </w:rPr>
        <w:t>A：大米、面粉质量要求：</w:t>
      </w:r>
    </w:p>
    <w:p>
      <w:pPr>
        <w:numPr>
          <w:ilvl w:val="0"/>
          <w:numId w:val="0"/>
        </w:numPr>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有“QS”标志，标明加工厂名称、品名、生产日期、保持期或保存期，供货时的剩余保质期不少三分之二，质量等级、产品标准号、产品合格证，质量符合大米国家标准与国家粮食卫生标准。</w:t>
      </w:r>
    </w:p>
    <w:p>
      <w:pPr>
        <w:numPr>
          <w:ilvl w:val="0"/>
          <w:numId w:val="0"/>
        </w:numPr>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具有固有色泽和香味，无污染、无虫害、色泽、气味、口味正常，无异味或霉味（霉变），无虫蛀结块挂丝或杂质异物等，面粉类要新鲜、色泽呈现乳白色或微黄色、手感细腻、颗粒均匀，自然浓厚的麦香味，手抓后自然流出，松开不成团，用它制成的成品和馒头有麦香味、香甜入口不粘牙，符合国家食品卫生标准。</w:t>
      </w:r>
    </w:p>
    <w:p>
      <w:pPr>
        <w:spacing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B：食用油、酱油质量要求：</w:t>
      </w:r>
    </w:p>
    <w:p>
      <w:pPr>
        <w:numPr>
          <w:ilvl w:val="0"/>
          <w:numId w:val="0"/>
        </w:numPr>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外包装完好，有QS标志，标明品名、厂名、质量、生产日期、保质期或保存期、执行标准等，剩全保质期不少于三分之二，具有产品合格证，须采购标准为国家一级以上知名品牌产品，食用油应采购纯正食用油，不得混有其他食用油或非食用油，禁止采购转基因调和油、特殊气味油类。</w:t>
      </w:r>
    </w:p>
    <w:p>
      <w:pPr>
        <w:numPr>
          <w:ilvl w:val="0"/>
          <w:numId w:val="0"/>
        </w:numPr>
        <w:spacing w:line="360" w:lineRule="auto"/>
        <w:ind w:left="0" w:firstLine="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必须提供进货渠道及提供当地食品卫生监督部门抽样检测报告。</w:t>
      </w:r>
    </w:p>
    <w:p>
      <w:pPr>
        <w:spacing w:line="360" w:lineRule="auto"/>
        <w:ind w:left="210"/>
        <w:rPr>
          <w:rFonts w:ascii="宋体" w:hAnsi="宋体" w:cs="宋体"/>
          <w:color w:val="auto"/>
          <w:szCs w:val="21"/>
          <w:highlight w:val="none"/>
        </w:rPr>
      </w:pPr>
      <w:r>
        <w:rPr>
          <w:rFonts w:hint="eastAsia" w:ascii="宋体" w:hAnsi="宋体" w:cs="宋体"/>
          <w:b/>
          <w:bCs/>
          <w:color w:val="auto"/>
          <w:szCs w:val="21"/>
          <w:highlight w:val="none"/>
        </w:rPr>
        <w:t>C：调味料：</w:t>
      </w:r>
      <w:r>
        <w:rPr>
          <w:rFonts w:hint="eastAsia" w:ascii="宋体" w:hAnsi="宋体" w:cs="宋体"/>
          <w:color w:val="auto"/>
          <w:szCs w:val="21"/>
          <w:highlight w:val="none"/>
        </w:rPr>
        <w:t>鸡精、鸡粉等建议不用或尽量少用，须采购标准为国家一级以上知名品牌产品，禁止使用味精、糖精等。</w:t>
      </w:r>
    </w:p>
    <w:p>
      <w:pPr>
        <w:spacing w:line="360" w:lineRule="auto"/>
        <w:ind w:left="210"/>
        <w:rPr>
          <w:rFonts w:ascii="宋体" w:hAnsi="宋体" w:cs="宋体"/>
          <w:color w:val="auto"/>
          <w:szCs w:val="21"/>
          <w:highlight w:val="none"/>
        </w:rPr>
      </w:pPr>
      <w:r>
        <w:rPr>
          <w:rFonts w:hint="eastAsia" w:ascii="宋体" w:hAnsi="宋体" w:cs="宋体"/>
          <w:b/>
          <w:bCs/>
          <w:color w:val="auto"/>
          <w:szCs w:val="21"/>
          <w:highlight w:val="none"/>
        </w:rPr>
        <w:t>D：食盐质量要求：</w:t>
      </w:r>
      <w:r>
        <w:rPr>
          <w:rFonts w:hint="eastAsia" w:ascii="宋体" w:hAnsi="宋体" w:cs="宋体"/>
          <w:color w:val="auto"/>
          <w:szCs w:val="21"/>
          <w:highlight w:val="none"/>
        </w:rPr>
        <w:t>符合食品安全卫生标准及营养要求。</w:t>
      </w:r>
    </w:p>
    <w:p>
      <w:pPr>
        <w:spacing w:line="360" w:lineRule="auto"/>
        <w:ind w:left="210"/>
        <w:rPr>
          <w:rFonts w:ascii="宋体" w:hAnsi="宋体" w:cs="宋体"/>
          <w:b/>
          <w:bCs/>
          <w:color w:val="auto"/>
          <w:szCs w:val="21"/>
          <w:highlight w:val="none"/>
        </w:rPr>
      </w:pPr>
      <w:r>
        <w:rPr>
          <w:rFonts w:hint="eastAsia" w:ascii="宋体" w:hAnsi="宋体" w:cs="宋体"/>
          <w:b/>
          <w:bCs/>
          <w:color w:val="auto"/>
          <w:szCs w:val="21"/>
          <w:highlight w:val="none"/>
        </w:rPr>
        <w:t>E：肉类质量要求：</w:t>
      </w:r>
    </w:p>
    <w:p>
      <w:pPr>
        <w:pStyle w:val="27"/>
        <w:numPr>
          <w:ilvl w:val="0"/>
          <w:numId w:val="0"/>
        </w:numPr>
        <w:spacing w:line="360" w:lineRule="auto"/>
        <w:ind w:left="400" w:leftChars="0" w:hanging="40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禁用冰冻肉，生鲜肉类为当天正规屠宰场宰杀，且经过屠宰卫生检疫，优质新鲜，肉色根据种类的不同而呈现其特有的颜色，如猪肉鲜红色、牛羊肉深红色、鸡肉淡红色、鸭肉深红色等，且都有光泽、富有弹性，闻起来没有异味者，鸡肉要求：要求提供三黄鸡，其中母鸡养殖时间不得少于120天，阉鸡养殖时间不得少于180天，鸭肉要求：要求提供芦鸭，养殖时间不得少于90天，肉制品包装完整，有完整标识，标明品名、内容名称，重量或数量、食品添加物、制造厂商名称、地址、保存期限或保存条件、进品的还应加注进品商名称、地址等信息。</w:t>
      </w:r>
    </w:p>
    <w:p>
      <w:pPr>
        <w:pStyle w:val="27"/>
        <w:numPr>
          <w:ilvl w:val="0"/>
          <w:numId w:val="0"/>
        </w:numPr>
        <w:spacing w:line="360" w:lineRule="auto"/>
        <w:ind w:left="420" w:hanging="400" w:hanging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鲜鱼类鱼体饱满结实、新鲜，无腐烂异味，肉质紧密有弹性，无离骨脱刺现象。鲜鱼类来源可靠放心，无毒、无害、无污染。冷冻鱼类要求鱼眼睛清亮，角膜透明，鳞片上覆有冻结的透明黏液层，皮肤天然色泽明显。</w:t>
      </w:r>
    </w:p>
    <w:p>
      <w:pPr>
        <w:pStyle w:val="27"/>
        <w:numPr>
          <w:ilvl w:val="0"/>
          <w:numId w:val="0"/>
        </w:numPr>
        <w:spacing w:line="360" w:lineRule="auto"/>
        <w:ind w:left="420" w:hanging="400" w:hanging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供货时须提交屠宰场的验收单及当批次有效的动物检疫合格证复印件（原件由采购人随机抽查）</w:t>
      </w:r>
      <w:r>
        <w:rPr>
          <w:rFonts w:hint="eastAsia" w:ascii="宋体" w:hAnsi="宋体" w:cs="宋体"/>
          <w:color w:val="auto"/>
          <w:szCs w:val="21"/>
          <w:highlight w:val="none"/>
          <w:lang w:eastAsia="zh-CN"/>
        </w:rPr>
        <w:t>。</w:t>
      </w:r>
    </w:p>
    <w:p>
      <w:pPr>
        <w:spacing w:line="360" w:lineRule="auto"/>
        <w:ind w:left="210"/>
        <w:rPr>
          <w:rFonts w:ascii="宋体" w:hAnsi="宋体" w:cs="宋体"/>
          <w:color w:val="auto"/>
          <w:szCs w:val="21"/>
          <w:highlight w:val="none"/>
        </w:rPr>
      </w:pPr>
      <w:r>
        <w:rPr>
          <w:rFonts w:hint="eastAsia" w:ascii="宋体" w:hAnsi="宋体" w:cs="宋体"/>
          <w:b/>
          <w:bCs/>
          <w:color w:val="auto"/>
          <w:szCs w:val="21"/>
          <w:highlight w:val="none"/>
        </w:rPr>
        <w:t>F：蔬菜：应符合我国无公害蔬菜上的卫生指标规定。</w:t>
      </w:r>
      <w:r>
        <w:rPr>
          <w:rFonts w:hint="eastAsia" w:ascii="宋体" w:hAnsi="宋体" w:cs="宋体"/>
          <w:color w:val="auto"/>
          <w:szCs w:val="21"/>
          <w:highlight w:val="none"/>
        </w:rPr>
        <w:t>蔬菜形态饱满、色泽新鲜、无腐烂变质、无泥沙、无老梗、无老叶及无农药超标等情况。</w:t>
      </w:r>
    </w:p>
    <w:tbl>
      <w:tblPr>
        <w:tblStyle w:val="17"/>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77"/>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指标（mg/kg）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甲胺磷</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甲拌磷</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氧化乐果</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甲基对硫磷</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呋喃丹</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不得检出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百菌清</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多菌灵</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汞（以Hg计）</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铅（以Pb计）</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砷（以As计）</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氟（以F计）</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硝酸盐（以NaNO3计）</w:t>
            </w:r>
          </w:p>
        </w:tc>
        <w:tc>
          <w:tcPr>
            <w:tcW w:w="5044" w:type="dxa"/>
            <w:noWrap w:val="0"/>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瓜果类≤600；叶菜根茎类≤1200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3377"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亚硝酸盐（以NaNO2计）</w:t>
            </w:r>
          </w:p>
        </w:tc>
        <w:tc>
          <w:tcPr>
            <w:tcW w:w="5044" w:type="dxa"/>
            <w:noWrap w:val="0"/>
            <w:vAlign w:val="center"/>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p>
        </w:tc>
      </w:tr>
    </w:tbl>
    <w:p>
      <w:pPr>
        <w:spacing w:line="360" w:lineRule="auto"/>
        <w:ind w:left="210"/>
        <w:rPr>
          <w:rFonts w:ascii="宋体" w:hAnsi="宋体" w:cs="宋体"/>
          <w:color w:val="auto"/>
          <w:szCs w:val="21"/>
          <w:highlight w:val="none"/>
        </w:rPr>
      </w:pPr>
      <w:r>
        <w:rPr>
          <w:rFonts w:hint="eastAsia" w:ascii="宋体" w:hAnsi="宋体" w:cs="宋体"/>
          <w:color w:val="auto"/>
          <w:szCs w:val="21"/>
          <w:highlight w:val="none"/>
        </w:rPr>
        <w:t>注：国家若有新标准，按最新标准执行。</w:t>
      </w:r>
    </w:p>
    <w:p>
      <w:pPr>
        <w:spacing w:line="360" w:lineRule="auto"/>
        <w:ind w:left="210"/>
        <w:rPr>
          <w:rFonts w:ascii="宋体" w:hAnsi="宋体" w:cs="宋体"/>
          <w:color w:val="auto"/>
          <w:szCs w:val="21"/>
          <w:highlight w:val="none"/>
        </w:rPr>
      </w:pPr>
      <w:r>
        <w:rPr>
          <w:rFonts w:hint="eastAsia" w:ascii="宋体" w:hAnsi="宋体" w:cs="宋体"/>
          <w:b/>
          <w:bCs/>
          <w:color w:val="auto"/>
          <w:szCs w:val="21"/>
          <w:highlight w:val="none"/>
        </w:rPr>
        <w:t>G：</w:t>
      </w:r>
      <w:r>
        <w:rPr>
          <w:rFonts w:hint="eastAsia" w:ascii="宋体" w:hAnsi="宋体" w:eastAsia="宋体" w:cs="宋体"/>
          <w:b/>
          <w:bCs/>
          <w:color w:val="auto"/>
          <w:szCs w:val="21"/>
          <w:highlight w:val="none"/>
        </w:rPr>
        <w:t>干货：</w:t>
      </w:r>
      <w:r>
        <w:rPr>
          <w:rFonts w:hint="eastAsia" w:ascii="宋体" w:hAnsi="宋体" w:cs="宋体"/>
          <w:color w:val="auto"/>
          <w:szCs w:val="21"/>
          <w:highlight w:val="none"/>
        </w:rPr>
        <w:t>保持其固有的鲜美味道，有干货的本味，动物类、植物类、菌类、藻类、能从味觉上分辨新鲜及优品：干爽没有霉迹：色泽鲜明，没有虫蛀与杂质。</w:t>
      </w:r>
    </w:p>
    <w:p>
      <w:pPr>
        <w:spacing w:line="360" w:lineRule="auto"/>
        <w:ind w:left="632" w:leftChars="100" w:hanging="422" w:hangingChars="200"/>
        <w:rPr>
          <w:rFonts w:ascii="宋体" w:hAnsi="宋体" w:cs="宋体"/>
          <w:color w:val="auto"/>
          <w:szCs w:val="21"/>
          <w:highlight w:val="none"/>
        </w:rPr>
      </w:pPr>
      <w:r>
        <w:rPr>
          <w:rFonts w:hint="eastAsia" w:ascii="宋体" w:hAnsi="宋体" w:cs="宋体"/>
          <w:b/>
          <w:bCs/>
          <w:color w:val="auto"/>
          <w:szCs w:val="21"/>
          <w:highlight w:val="none"/>
        </w:rPr>
        <w:t>H：</w:t>
      </w:r>
      <w:r>
        <w:rPr>
          <w:rFonts w:hint="eastAsia" w:ascii="宋体" w:hAnsi="宋体" w:cs="宋体"/>
          <w:color w:val="auto"/>
          <w:szCs w:val="21"/>
          <w:highlight w:val="none"/>
        </w:rPr>
        <w:t>食材及配料等从加工、包装、运输、贮存到烹制全部须符合国家规定标准，副食品必须具有QS食品质量认证标志。</w:t>
      </w:r>
    </w:p>
    <w:p>
      <w:pPr>
        <w:spacing w:line="360" w:lineRule="auto"/>
        <w:ind w:left="210"/>
        <w:rPr>
          <w:rFonts w:ascii="宋体" w:hAnsi="宋体" w:cs="宋体"/>
          <w:color w:val="auto"/>
          <w:szCs w:val="21"/>
          <w:highlight w:val="none"/>
        </w:rPr>
      </w:pPr>
      <w:r>
        <w:rPr>
          <w:rFonts w:hint="eastAsia" w:ascii="宋体" w:hAnsi="宋体" w:cs="宋体"/>
          <w:b/>
          <w:bCs/>
          <w:color w:val="auto"/>
          <w:szCs w:val="21"/>
          <w:highlight w:val="none"/>
        </w:rPr>
        <w:t>I：禁止采购</w:t>
      </w:r>
      <w:r>
        <w:rPr>
          <w:rFonts w:hint="eastAsia" w:ascii="宋体" w:hAnsi="宋体" w:cs="宋体"/>
          <w:color w:val="auto"/>
          <w:szCs w:val="21"/>
          <w:highlight w:val="none"/>
        </w:rPr>
        <w:t>：不利健康的深加工食品，以及采购人提出禁止采购的其他食材。</w:t>
      </w: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3"/>
        </w:numPr>
        <w:spacing w:line="360" w:lineRule="auto"/>
        <w:ind w:firstLineChars="0"/>
        <w:rPr>
          <w:rFonts w:ascii="宋体" w:hAnsi="宋体" w:cs="宋体"/>
          <w:vanish/>
          <w:color w:val="auto"/>
          <w:szCs w:val="21"/>
          <w:highlight w:val="none"/>
        </w:rPr>
      </w:pPr>
    </w:p>
    <w:p>
      <w:pPr>
        <w:pStyle w:val="27"/>
        <w:numPr>
          <w:ilvl w:val="0"/>
          <w:numId w:val="12"/>
        </w:numPr>
        <w:spacing w:line="360" w:lineRule="auto"/>
        <w:ind w:left="21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餐具卫生质量要求。餐具在清洗消毒过程中须严格执行餐具清洗消毒流程，消毒程序</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按分类－去残－浸泡－刷洗－冲洗－消毒－分装－保洁8个程序进行。消毒后餐具要达到</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"https://www.baidu.com/s?wd=《食（饮）具消毒卫生标准》&amp;tn=44039180_cpr&amp;fenlei=mv6quAkxTZn0IZRqIHckPjm4nH00T1YLuj7WnjF-uj6Lnj7Wnj0L0ZwV5Hcvrjm3rH6sPfKWUMw85HfYnjn4nH6sgvPsT6KdThsqpZwYTjCEQLGCpyw9Uz4Bmy-bIi4WUvYETgN-TLwGUv3EPHD3PWb1nH6LPjfsPj6znHcd"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szCs w:val="21"/>
          <w:highlight w:val="none"/>
          <w:u w:val="none"/>
        </w:rPr>
        <w:t>《食（饮）具消毒卫生标准》</w:t>
      </w:r>
      <w:r>
        <w:rPr>
          <w:rStyle w:val="21"/>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rPr>
        <w:t>GB14934-94的标准要求：A、餐具上的</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"https://www.baidu.com/s?wd=大肠菌群&amp;tn=44039180_cpr&amp;fenlei=mv6quAkxTZn0IZRqIHckPjm4nH00T1YLuj7WnjF-uj6Lnj7Wnj0L0ZwV5Hcvrjm3rH6sPfKWUMw85HfYnjn4nH6sgvPsT6KdThsqpZwYTjCEQLGCpyw9Uz4Bmy-bIi4WUvYETgN-TLwGUv3EPHD3PWb1nH6LPjfsPj6znHcd"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szCs w:val="21"/>
          <w:highlight w:val="none"/>
          <w:u w:val="none"/>
        </w:rPr>
        <w:t>大肠菌群</w:t>
      </w:r>
      <w:r>
        <w:rPr>
          <w:rStyle w:val="21"/>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rPr>
        <w:t>少于3个/100</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"https://www.baidu.com/s?wd=平方厘米&amp;tn=44039180_cpr&amp;fenlei=mv6quAkxTZn0IZRqIHckPjm4nH00T1YLuj7WnjF-uj6Lnj7Wnj0L0ZwV5Hcvrjm3rH6sPfKWUMw85HfYnjn4nH6sgvPsT6KdThsqpZwYTjCEQLGCpyw9Uz4Bmy-bIi4WUvYETgN-TLwGUv3EPHD3PWb1nH6LPjfsPj6znHcd"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szCs w:val="21"/>
          <w:highlight w:val="none"/>
          <w:u w:val="none"/>
        </w:rPr>
        <w:t>平方厘米</w:t>
      </w:r>
      <w:r>
        <w:rPr>
          <w:rStyle w:val="21"/>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rPr>
        <w:t>，不得检出致病菌。 B、餐具上残留的游离性余氯低于0.3mg/L。 C、餐具上残留的烷基碘酸钠低于0.1mg/100</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"https://www.baidu.com/s?wd=平方厘米&amp;tn=44039180_cpr&amp;fenlei=mv6quAkxTZn0IZRqIHckPjm4nH00T1YLuj7WnjF-uj6Lnj7Wnj0L0ZwV5Hcvrjm3rH6sPfKWUMw85HfYnjn4nH6sgvPsT6KdThsqpZwYTjCEQLGCpyw9Uz4Bmy-bIi4WUvYETgN-TLwGUv3EPHD3PWb1nH6LPjfsPj6znHcd" </w:instrText>
      </w:r>
      <w:r>
        <w:rPr>
          <w:rFonts w:hint="eastAsia" w:ascii="宋体" w:hAnsi="宋体" w:eastAsia="宋体" w:cs="宋体"/>
          <w:color w:val="auto"/>
          <w:szCs w:val="21"/>
          <w:highlight w:val="none"/>
        </w:rPr>
        <w:fldChar w:fldCharType="separate"/>
      </w:r>
      <w:r>
        <w:rPr>
          <w:rStyle w:val="21"/>
          <w:rFonts w:hint="eastAsia" w:ascii="宋体" w:hAnsi="宋体" w:eastAsia="宋体" w:cs="宋体"/>
          <w:color w:val="auto"/>
          <w:szCs w:val="21"/>
          <w:highlight w:val="none"/>
          <w:u w:val="none"/>
        </w:rPr>
        <w:t>平方厘米</w:t>
      </w:r>
      <w:r>
        <w:rPr>
          <w:rStyle w:val="21"/>
          <w:rFonts w:hint="eastAsia" w:ascii="宋体" w:hAnsi="宋体" w:eastAsia="宋体" w:cs="宋体"/>
          <w:color w:val="auto"/>
          <w:szCs w:val="21"/>
          <w:highlight w:val="none"/>
          <w:u w:val="none"/>
        </w:rPr>
        <w:fldChar w:fldCharType="end"/>
      </w:r>
      <w:r>
        <w:rPr>
          <w:rFonts w:hint="eastAsia" w:ascii="宋体" w:hAnsi="宋体" w:eastAsia="宋体" w:cs="宋体"/>
          <w:color w:val="auto"/>
          <w:szCs w:val="21"/>
          <w:highlight w:val="none"/>
        </w:rPr>
        <w:t>。</w:t>
      </w:r>
    </w:p>
    <w:p>
      <w:pPr>
        <w:pStyle w:val="27"/>
        <w:numPr>
          <w:ilvl w:val="0"/>
          <w:numId w:val="12"/>
        </w:numPr>
        <w:spacing w:line="360" w:lineRule="auto"/>
        <w:ind w:left="21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厨具使用要求。砧板要生、熟分开；清洗蔬菜、肉类水池要分开，不得混用；用于加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工食品的刀、桶、盆等工具容器，须分类摆放，分开使用。</w:t>
      </w:r>
    </w:p>
    <w:p>
      <w:pPr>
        <w:pStyle w:val="27"/>
        <w:numPr>
          <w:ilvl w:val="0"/>
          <w:numId w:val="12"/>
        </w:numPr>
        <w:spacing w:line="360" w:lineRule="auto"/>
        <w:ind w:left="210" w:firstLine="0" w:firstLineChars="0"/>
        <w:outlineLvl w:val="9"/>
        <w:rPr>
          <w:rFonts w:ascii="宋体" w:hAnsi="宋体" w:cs="宋体"/>
          <w:color w:val="auto"/>
          <w:szCs w:val="21"/>
          <w:highlight w:val="none"/>
        </w:rPr>
      </w:pPr>
      <w:r>
        <w:rPr>
          <w:rFonts w:hint="eastAsia" w:ascii="宋体" w:hAnsi="宋体" w:cs="宋体"/>
          <w:color w:val="auto"/>
          <w:szCs w:val="21"/>
          <w:highlight w:val="none"/>
        </w:rPr>
        <w:t>成交人按供货商品的销售额开具餐饮服务发票。</w:t>
      </w:r>
    </w:p>
    <w:p>
      <w:pPr>
        <w:numPr>
          <w:ilvl w:val="0"/>
          <w:numId w:val="7"/>
        </w:numPr>
        <w:spacing w:line="360" w:lineRule="auto"/>
        <w:ind w:left="102" w:hanging="102"/>
        <w:outlineLvl w:val="9"/>
        <w:rPr>
          <w:rFonts w:ascii="宋体" w:hAnsi="宋体" w:cs="宋体"/>
          <w:color w:val="auto"/>
          <w:szCs w:val="21"/>
          <w:highlight w:val="none"/>
        </w:rPr>
      </w:pPr>
      <w:r>
        <w:rPr>
          <w:rFonts w:hint="eastAsia" w:ascii="宋体" w:hAnsi="宋体" w:cs="宋体"/>
          <w:color w:val="auto"/>
          <w:szCs w:val="21"/>
          <w:highlight w:val="none"/>
        </w:rPr>
        <w:t>就餐要求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就餐方式采用自由点配餐和分类套餐模式，丰俭由人，就餐人员自由搭配饭餐，成交人制定的菜单须经采购人审核同意，根据采购人实际要求补充或修改，饭菜样式要经常更新，每周提前公示菜单，滚动推出新菜品，确保满足职工的饮食营养需求。</w:t>
      </w:r>
    </w:p>
    <w:p>
      <w:pPr>
        <w:ind w:firstLine="420" w:firstLineChars="200"/>
        <w:rPr>
          <w:rFonts w:ascii="宋体" w:hAnsi="宋体" w:cs="宋体"/>
          <w:b/>
          <w:bCs/>
          <w:color w:val="auto"/>
          <w:szCs w:val="21"/>
          <w:highlight w:val="none"/>
        </w:rPr>
      </w:pPr>
      <w:r>
        <w:rPr>
          <w:rFonts w:hint="eastAsia" w:ascii="宋体" w:hAnsi="宋体" w:cs="宋体"/>
          <w:color w:val="auto"/>
          <w:szCs w:val="21"/>
          <w:highlight w:val="none"/>
        </w:rPr>
        <w:t>积极响应和满足甲方提出的其他膳食要求或开膳方式，完成对甲方的饮食服务。</w:t>
      </w:r>
    </w:p>
    <w:bookmarkEnd w:id="9"/>
    <w:bookmarkEnd w:id="10"/>
    <w:bookmarkEnd w:id="11"/>
    <w:bookmarkEnd w:id="12"/>
    <w:bookmarkEnd w:id="13"/>
    <w:p>
      <w:pPr>
        <w:numPr>
          <w:ilvl w:val="0"/>
          <w:numId w:val="0"/>
        </w:numPr>
        <w:tabs>
          <w:tab w:val="left" w:pos="3252"/>
        </w:tabs>
        <w:snapToGrid/>
        <w:spacing w:before="156" w:beforeLines="50" w:after="156" w:afterLines="50" w:line="240" w:lineRule="auto"/>
        <w:ind w:left="0" w:firstLine="0"/>
        <w:outlineLvl w:val="1"/>
        <w:rPr>
          <w:rFonts w:hint="eastAsia" w:ascii="Times New Roman" w:hAnsi="Times New Roman" w:eastAsia="宋体" w:cs="Times New Roman"/>
          <w:b/>
          <w:bCs/>
          <w:color w:val="000000"/>
          <w:sz w:val="24"/>
          <w:szCs w:val="24"/>
        </w:rPr>
      </w:pPr>
      <w:bookmarkStart w:id="21" w:name="_Toc4813"/>
      <w:bookmarkStart w:id="22" w:name="_Toc29497"/>
      <w:bookmarkStart w:id="23" w:name="_Toc30710"/>
      <w:bookmarkStart w:id="24" w:name="_Toc101710281"/>
      <w:bookmarkStart w:id="25" w:name="_Toc133505604"/>
      <w:bookmarkStart w:id="26" w:name="_Toc13262"/>
      <w:bookmarkStart w:id="27" w:name="_Toc101710504"/>
      <w:bookmarkStart w:id="28" w:name="_Toc101710814"/>
      <w:bookmarkStart w:id="29" w:name="_Toc24004"/>
      <w:bookmarkStart w:id="30" w:name="_Toc101710949"/>
      <w:bookmarkStart w:id="31" w:name="_Toc21302"/>
      <w:bookmarkStart w:id="32" w:name="_Toc32587"/>
      <w:bookmarkStart w:id="33" w:name="_Toc102642788"/>
      <w:r>
        <w:rPr>
          <w:rFonts w:hint="eastAsia" w:ascii="Times New Roman" w:hAnsi="Times New Roman" w:eastAsia="宋体" w:cs="Times New Roman"/>
          <w:b/>
          <w:bCs/>
          <w:color w:val="000000"/>
          <w:sz w:val="24"/>
          <w:szCs w:val="24"/>
          <w:lang w:val="en-US" w:eastAsia="zh-CN"/>
        </w:rPr>
        <w:t>五、</w:t>
      </w:r>
      <w:r>
        <w:rPr>
          <w:rFonts w:hint="eastAsia" w:ascii="Times New Roman" w:hAnsi="Times New Roman" w:eastAsia="宋体" w:cs="Times New Roman"/>
          <w:b/>
          <w:bCs/>
          <w:color w:val="000000"/>
          <w:sz w:val="24"/>
          <w:szCs w:val="24"/>
        </w:rPr>
        <w:t>商务要求</w:t>
      </w:r>
      <w:bookmarkEnd w:id="21"/>
      <w:bookmarkEnd w:id="22"/>
      <w:bookmarkEnd w:id="23"/>
      <w:bookmarkEnd w:id="24"/>
      <w:bookmarkEnd w:id="25"/>
      <w:bookmarkEnd w:id="26"/>
      <w:bookmarkEnd w:id="27"/>
      <w:bookmarkEnd w:id="28"/>
      <w:bookmarkEnd w:id="29"/>
      <w:bookmarkEnd w:id="30"/>
      <w:bookmarkEnd w:id="31"/>
      <w:bookmarkEnd w:id="32"/>
      <w:bookmarkEnd w:id="33"/>
    </w:p>
    <w:p>
      <w:pPr>
        <w:pStyle w:val="9"/>
        <w:numPr>
          <w:ilvl w:val="0"/>
          <w:numId w:val="0"/>
        </w:numPr>
        <w:tabs>
          <w:tab w:val="left" w:pos="540"/>
        </w:tabs>
        <w:adjustRightInd w:val="0"/>
        <w:snapToGrid w:val="0"/>
        <w:spacing w:line="360" w:lineRule="auto"/>
        <w:ind w:left="0" w:firstLine="0"/>
        <w:outlineLvl w:val="1"/>
        <w:rPr>
          <w:rFonts w:hint="eastAsia"/>
          <w:b/>
          <w:bCs/>
          <w:color w:val="auto"/>
          <w:sz w:val="21"/>
          <w:highlight w:val="none"/>
        </w:rPr>
      </w:pPr>
      <w:bookmarkStart w:id="34" w:name="_Toc29783"/>
      <w:bookmarkStart w:id="35" w:name="_Toc21390"/>
      <w:r>
        <w:rPr>
          <w:rFonts w:hint="eastAsia"/>
          <w:b/>
          <w:bCs/>
          <w:color w:val="auto"/>
          <w:sz w:val="21"/>
          <w:highlight w:val="none"/>
          <w:lang w:eastAsia="zh-CN"/>
        </w:rPr>
        <w:t>（</w:t>
      </w:r>
      <w:r>
        <w:rPr>
          <w:rFonts w:hint="eastAsia"/>
          <w:b/>
          <w:bCs/>
          <w:color w:val="auto"/>
          <w:sz w:val="21"/>
          <w:highlight w:val="none"/>
          <w:lang w:val="en-US" w:eastAsia="zh-CN"/>
        </w:rPr>
        <w:t>一）</w:t>
      </w:r>
      <w:r>
        <w:rPr>
          <w:rFonts w:hint="eastAsia"/>
          <w:b/>
          <w:bCs/>
          <w:color w:val="auto"/>
          <w:sz w:val="21"/>
          <w:highlight w:val="none"/>
        </w:rPr>
        <w:t>付款方式</w:t>
      </w:r>
      <w:bookmarkEnd w:id="34"/>
      <w:bookmarkEnd w:id="35"/>
    </w:p>
    <w:p>
      <w:pPr>
        <w:numPr>
          <w:ilvl w:val="0"/>
          <w:numId w:val="0"/>
        </w:numPr>
        <w:tabs>
          <w:tab w:val="left" w:pos="567"/>
        </w:tabs>
        <w:autoSpaceDE w:val="0"/>
        <w:autoSpaceDN w:val="0"/>
        <w:snapToGrid w:val="0"/>
        <w:spacing w:line="360" w:lineRule="auto"/>
        <w:ind w:left="142" w:firstLine="0"/>
        <w:outlineLvl w:val="9"/>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1. </w:t>
      </w:r>
      <w:r>
        <w:rPr>
          <w:rFonts w:hint="eastAsia" w:ascii="宋体" w:hAnsi="宋体" w:eastAsia="宋体" w:cs="宋体"/>
          <w:color w:val="auto"/>
          <w:szCs w:val="21"/>
          <w:highlight w:val="none"/>
        </w:rPr>
        <w:t>合同款支付：</w:t>
      </w:r>
    </w:p>
    <w:p>
      <w:pPr>
        <w:numPr>
          <w:ilvl w:val="0"/>
          <w:numId w:val="0"/>
        </w:numPr>
        <w:tabs>
          <w:tab w:val="left" w:pos="840"/>
        </w:tabs>
        <w:snapToGrid w:val="0"/>
        <w:spacing w:line="360" w:lineRule="auto"/>
        <w:ind w:left="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双方签订合同之日起，成交人每月10日前自行到银行缴纳当月所有租赁费用到采购人的账户，并携带银行转账凭证到采购人财务科开具收据。成交人凭银行出具的资金转入有效证明和茂名市人民医院确认该款项到帐后到茂名市人民医院财务处领取租金收款收据。</w:t>
      </w:r>
    </w:p>
    <w:p>
      <w:pPr>
        <w:numPr>
          <w:ilvl w:val="0"/>
          <w:numId w:val="0"/>
        </w:numPr>
        <w:tabs>
          <w:tab w:val="left" w:pos="567"/>
        </w:tabs>
        <w:autoSpaceDE w:val="0"/>
        <w:autoSpaceDN w:val="0"/>
        <w:snapToGrid w:val="0"/>
        <w:spacing w:line="360" w:lineRule="auto"/>
        <w:ind w:left="142" w:firstLine="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2. </w:t>
      </w:r>
      <w:r>
        <w:rPr>
          <w:rFonts w:hint="eastAsia" w:ascii="宋体" w:hAnsi="宋体" w:eastAsia="宋体" w:cs="宋体"/>
          <w:color w:val="auto"/>
          <w:szCs w:val="21"/>
          <w:highlight w:val="none"/>
        </w:rPr>
        <w:t>付款方式：</w:t>
      </w:r>
      <w:r>
        <w:rPr>
          <w:rFonts w:hint="eastAsia" w:ascii="宋体" w:hAnsi="宋体" w:cs="宋体"/>
          <w:color w:val="auto"/>
          <w:szCs w:val="21"/>
          <w:highlight w:val="none"/>
          <w:lang w:val="en-US" w:eastAsia="zh-CN"/>
        </w:rPr>
        <w:t>可以</w:t>
      </w:r>
      <w:r>
        <w:rPr>
          <w:rFonts w:hint="eastAsia" w:ascii="宋体" w:hAnsi="宋体" w:eastAsia="宋体" w:cs="宋体"/>
          <w:color w:val="auto"/>
          <w:szCs w:val="21"/>
          <w:highlight w:val="none"/>
        </w:rPr>
        <w:t>采用支票、银行汇票、电汇</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转账等</w:t>
      </w:r>
      <w:r>
        <w:rPr>
          <w:rFonts w:hint="eastAsia" w:ascii="宋体" w:hAnsi="宋体" w:eastAsia="宋体" w:cs="宋体"/>
          <w:color w:val="auto"/>
          <w:szCs w:val="21"/>
          <w:highlight w:val="none"/>
        </w:rPr>
        <w:t>形式</w:t>
      </w:r>
    </w:p>
    <w:p>
      <w:pPr>
        <w:pStyle w:val="9"/>
        <w:numPr>
          <w:ilvl w:val="0"/>
          <w:numId w:val="0"/>
        </w:numPr>
        <w:tabs>
          <w:tab w:val="left" w:pos="540"/>
        </w:tabs>
        <w:adjustRightInd w:val="0"/>
        <w:snapToGrid w:val="0"/>
        <w:spacing w:before="157" w:beforeLines="50" w:line="360" w:lineRule="auto"/>
        <w:ind w:left="0" w:firstLine="0"/>
        <w:outlineLvl w:val="1"/>
        <w:rPr>
          <w:rFonts w:hint="eastAsia"/>
          <w:b/>
          <w:bCs/>
          <w:color w:val="auto"/>
          <w:sz w:val="21"/>
          <w:highlight w:val="none"/>
        </w:rPr>
      </w:pPr>
      <w:bookmarkStart w:id="36" w:name="_Toc18681"/>
      <w:bookmarkStart w:id="37" w:name="_Toc20130"/>
      <w:r>
        <w:rPr>
          <w:rFonts w:hint="eastAsia"/>
          <w:b/>
          <w:bCs/>
          <w:color w:val="auto"/>
          <w:sz w:val="21"/>
          <w:highlight w:val="none"/>
          <w:lang w:eastAsia="zh-CN"/>
        </w:rPr>
        <w:t>（</w:t>
      </w:r>
      <w:r>
        <w:rPr>
          <w:rFonts w:hint="eastAsia"/>
          <w:b/>
          <w:bCs/>
          <w:color w:val="auto"/>
          <w:sz w:val="21"/>
          <w:highlight w:val="none"/>
          <w:lang w:val="en-US" w:eastAsia="zh-CN"/>
        </w:rPr>
        <w:t>二）</w:t>
      </w:r>
      <w:r>
        <w:rPr>
          <w:rFonts w:hint="eastAsia"/>
          <w:b/>
          <w:bCs/>
          <w:color w:val="auto"/>
          <w:sz w:val="21"/>
          <w:highlight w:val="none"/>
        </w:rPr>
        <w:t>保险</w:t>
      </w:r>
      <w:bookmarkEnd w:id="36"/>
      <w:bookmarkEnd w:id="37"/>
    </w:p>
    <w:p>
      <w:pPr>
        <w:pStyle w:val="9"/>
        <w:numPr>
          <w:ilvl w:val="0"/>
          <w:numId w:val="0"/>
        </w:numPr>
        <w:tabs>
          <w:tab w:val="left" w:pos="540"/>
        </w:tabs>
        <w:adjustRightInd w:val="0"/>
        <w:snapToGrid w:val="0"/>
        <w:spacing w:line="360" w:lineRule="auto"/>
        <w:ind w:left="0" w:firstLine="482" w:firstLineChars="200"/>
        <w:outlineLvl w:val="9"/>
        <w:rPr>
          <w:rFonts w:hint="eastAsia"/>
          <w:b/>
          <w:bCs/>
          <w:color w:val="auto"/>
          <w:sz w:val="21"/>
          <w:highlight w:val="none"/>
        </w:rPr>
      </w:pPr>
      <w:r>
        <w:rPr>
          <w:rFonts w:hint="eastAsia" w:ascii="宋体" w:hAnsi="宋体" w:cs="宋体"/>
          <w:b/>
          <w:bCs/>
          <w:color w:val="auto"/>
          <w:szCs w:val="21"/>
          <w:highlight w:val="none"/>
        </w:rPr>
        <w:t>★本项目成交人必须提供购买保额不低于</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2</w:t>
      </w:r>
      <w:r>
        <w:rPr>
          <w:rFonts w:hint="eastAsia" w:ascii="宋体" w:hAnsi="宋体" w:cs="宋体"/>
          <w:b/>
          <w:bCs/>
          <w:color w:val="auto"/>
          <w:szCs w:val="21"/>
          <w:highlight w:val="none"/>
          <w:u w:val="single"/>
        </w:rPr>
        <w:t xml:space="preserve">00 </w:t>
      </w:r>
      <w:r>
        <w:rPr>
          <w:rFonts w:hint="eastAsia" w:ascii="宋体" w:hAnsi="宋体" w:cs="宋体"/>
          <w:b/>
          <w:bCs/>
          <w:color w:val="auto"/>
          <w:szCs w:val="21"/>
          <w:highlight w:val="none"/>
        </w:rPr>
        <w:t>万元的餐饮公众责任险，并于进场后</w:t>
      </w:r>
      <w:r>
        <w:rPr>
          <w:rFonts w:hint="eastAsia" w:ascii="宋体" w:hAnsi="宋体" w:cs="宋体"/>
          <w:b/>
          <w:bCs/>
          <w:color w:val="auto"/>
          <w:szCs w:val="21"/>
          <w:highlight w:val="none"/>
          <w:u w:val="single"/>
        </w:rPr>
        <w:t>5</w:t>
      </w:r>
      <w:r>
        <w:rPr>
          <w:rFonts w:hint="eastAsia" w:ascii="宋体" w:hAnsi="宋体" w:cs="宋体"/>
          <w:b/>
          <w:bCs/>
          <w:color w:val="auto"/>
          <w:szCs w:val="21"/>
          <w:highlight w:val="none"/>
        </w:rPr>
        <w:t>个工作日内向采购人提供保险费缴纳文件。否则</w:t>
      </w:r>
      <w:r>
        <w:rPr>
          <w:rFonts w:hint="eastAsia"/>
          <w:b/>
          <w:bCs/>
          <w:color w:val="auto"/>
          <w:highlight w:val="none"/>
        </w:rPr>
        <w:t>视作成交人违约，采购人有权解除合同</w:t>
      </w:r>
      <w:r>
        <w:rPr>
          <w:rFonts w:hint="eastAsia" w:ascii="宋体" w:hAnsi="宋体" w:cs="宋体"/>
          <w:b/>
          <w:bCs/>
          <w:color w:val="auto"/>
          <w:szCs w:val="21"/>
          <w:highlight w:val="none"/>
        </w:rPr>
        <w:t>。</w:t>
      </w:r>
    </w:p>
    <w:p>
      <w:pPr>
        <w:pStyle w:val="22"/>
        <w:numPr>
          <w:ilvl w:val="0"/>
          <w:numId w:val="0"/>
        </w:numPr>
        <w:spacing w:line="360" w:lineRule="auto"/>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r>
        <w:rPr>
          <w:rFonts w:hint="eastAsia" w:ascii="宋体" w:hAnsi="宋体" w:cs="宋体"/>
          <w:bCs/>
          <w:szCs w:val="24"/>
        </w:rPr>
        <w:t>副本可用正本复印件，但封面必须加盖单位公章并加盖骑缝章</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ascii="宋体" w:hAnsi="宋体" w:cs="宋体"/>
        </w:rPr>
      </w:pPr>
      <w:r>
        <w:rPr>
          <w:rFonts w:hint="eastAsia" w:ascii="宋体" w:hAnsi="宋体" w:cs="宋体"/>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9"/>
        <w:tabs>
          <w:tab w:val="left" w:pos="1260"/>
        </w:tabs>
        <w:spacing w:line="680" w:lineRule="auto"/>
        <w:ind w:firstLine="0" w:firstLineChars="0"/>
        <w:jc w:val="center"/>
        <w:rPr>
          <w:rFonts w:hAnsi="宋体" w:cs="仿宋"/>
          <w:b/>
          <w:spacing w:val="100"/>
          <w:w w:val="110"/>
          <w:sz w:val="44"/>
          <w:szCs w:val="44"/>
        </w:rPr>
      </w:pP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9"/>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9"/>
        <w:spacing w:line="680" w:lineRule="auto"/>
        <w:ind w:firstLine="482"/>
        <w:jc w:val="center"/>
        <w:rPr>
          <w:rFonts w:hAnsi="宋体" w:cs="仿宋"/>
          <w:b/>
          <w:szCs w:val="24"/>
        </w:rPr>
      </w:pPr>
    </w:p>
    <w:p>
      <w:pPr>
        <w:pStyle w:val="9"/>
        <w:spacing w:line="440" w:lineRule="auto"/>
        <w:ind w:firstLine="482"/>
        <w:jc w:val="center"/>
        <w:rPr>
          <w:rFonts w:hAnsi="宋体" w:cs="仿宋"/>
          <w:b/>
          <w:szCs w:val="24"/>
        </w:rPr>
      </w:pPr>
    </w:p>
    <w:p>
      <w:pPr>
        <w:pStyle w:val="7"/>
        <w:spacing w:line="440" w:lineRule="auto"/>
        <w:ind w:firstLine="0" w:firstLineChars="0"/>
        <w:rPr>
          <w:rFonts w:ascii="宋体" w:hAnsi="宋体" w:eastAsia="宋体" w:cs="仿宋"/>
          <w:sz w:val="24"/>
          <w:szCs w:val="24"/>
          <w:u w:val="single"/>
        </w:rPr>
      </w:pPr>
    </w:p>
    <w:p>
      <w:pPr>
        <w:pStyle w:val="7"/>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9"/>
        <w:spacing w:line="440" w:lineRule="auto"/>
        <w:ind w:firstLine="1687" w:firstLineChars="7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723" w:firstLineChars="300"/>
        <w:rPr>
          <w:rFonts w:hAnsi="宋体" w:cs="仿宋"/>
          <w:b/>
          <w:szCs w:val="24"/>
        </w:rPr>
      </w:pPr>
    </w:p>
    <w:p>
      <w:pPr>
        <w:pStyle w:val="9"/>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9"/>
        <w:ind w:firstLine="0" w:firstLineChars="0"/>
        <w:rPr>
          <w:rFonts w:hAnsi="宋体"/>
          <w:b/>
          <w:bCs/>
          <w:sz w:val="21"/>
        </w:rPr>
      </w:pP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pStyle w:val="31"/>
        <w:ind w:firstLine="480"/>
        <w:rPr>
          <w:rFonts w:ascii="宋体" w:hAnsi="宋体"/>
        </w:rPr>
      </w:pPr>
      <w:r>
        <w:rPr>
          <w:rFonts w:hint="eastAsia" w:ascii="宋体" w:hAnsi="宋体" w:cs="宋体"/>
        </w:rPr>
        <w:br w:type="page"/>
      </w:r>
    </w:p>
    <w:p>
      <w:pPr>
        <w:pStyle w:val="3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9"/>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9"/>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bCs/>
          <w:lang w:val="en-US" w:eastAsia="zh-CN"/>
        </w:rPr>
      </w:pPr>
      <w:r>
        <w:rPr>
          <w:rFonts w:hint="eastAsia" w:ascii="宋体" w:hAnsi="宋体" w:cs="仿宋"/>
          <w:b/>
          <w:bCs/>
          <w:lang w:val="en-US" w:eastAsia="zh-CN"/>
        </w:rPr>
        <w:t>二．供应商证件</w:t>
      </w: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ascii="宋体" w:hAnsi="宋体" w:cs="仿宋"/>
          <w:b/>
          <w:sz w:val="28"/>
          <w:szCs w:val="28"/>
        </w:rPr>
      </w:pPr>
      <w:r>
        <w:rPr>
          <w:rFonts w:hint="eastAsia" w:ascii="宋体" w:hAnsi="宋体" w:cs="仿宋"/>
          <w:b/>
          <w:bCs/>
          <w:lang w:val="en-US" w:eastAsia="zh-CN"/>
        </w:rPr>
        <w:t>三</w:t>
      </w:r>
      <w:r>
        <w:rPr>
          <w:rFonts w:hint="eastAsia" w:ascii="宋体" w:hAnsi="宋体" w:cs="仿宋"/>
          <w:b/>
          <w:bCs/>
        </w:rPr>
        <w:t>．关于资格的声明函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38" w:name="_Toc202254106"/>
      <w:bookmarkStart w:id="39" w:name="_Toc202251701"/>
      <w:bookmarkStart w:id="40" w:name="_Toc395800949"/>
      <w:bookmarkStart w:id="41" w:name="_Toc202251076"/>
      <w:bookmarkStart w:id="42" w:name="_Toc202816997"/>
      <w:bookmarkStart w:id="43" w:name="_Toc202820352"/>
      <w:bookmarkStart w:id="44" w:name="_Toc31980"/>
      <w:bookmarkStart w:id="45" w:name="_Toc202819879"/>
      <w:bookmarkStart w:id="46" w:name="_Toc202252035"/>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38"/>
    <w:bookmarkEnd w:id="39"/>
    <w:bookmarkEnd w:id="40"/>
    <w:bookmarkEnd w:id="41"/>
    <w:bookmarkEnd w:id="42"/>
    <w:bookmarkEnd w:id="43"/>
    <w:bookmarkEnd w:id="44"/>
    <w:bookmarkEnd w:id="45"/>
    <w:bookmarkEnd w:id="46"/>
    <w:p>
      <w:pPr>
        <w:ind w:firstLine="482"/>
        <w:rPr>
          <w:rFonts w:ascii="宋体" w:hAnsi="宋体" w:cs="仿宋"/>
          <w:b/>
          <w:bCs/>
        </w:rPr>
      </w:pPr>
      <w:bookmarkStart w:id="47" w:name="_Toc6273"/>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1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39"/>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8"/>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47"/>
    <w:p>
      <w:pPr>
        <w:jc w:val="both"/>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17"/>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2"/>
        <w:rPr>
          <w:rFonts w:ascii="宋体" w:hAnsi="宋体" w:cs="仿宋"/>
        </w:rPr>
      </w:pPr>
    </w:p>
    <w:p>
      <w:pPr>
        <w:pStyle w:val="22"/>
        <w:rPr>
          <w:rFonts w:ascii="宋体" w:hAnsi="宋体" w:cs="仿宋"/>
        </w:rPr>
      </w:pPr>
    </w:p>
    <w:p>
      <w:pPr>
        <w:pStyle w:val="2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7"/>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jc w:val="both"/>
        <w:rPr>
          <w:rFonts w:hint="eastAsia" w:ascii="宋体" w:hAnsi="宋体" w:eastAsia="宋体" w:cs="宋体"/>
          <w:b/>
          <w:sz w:val="21"/>
          <w:szCs w:val="21"/>
        </w:rPr>
      </w:pPr>
      <w:r>
        <w:rPr>
          <w:rFonts w:hint="eastAsia" w:ascii="宋体" w:hAnsi="宋体" w:eastAsia="宋体" w:cs="宋体"/>
          <w:b/>
          <w:sz w:val="21"/>
          <w:szCs w:val="21"/>
          <w:lang w:val="en-US" w:eastAsia="zh-CN"/>
        </w:rPr>
        <w:t>七、</w:t>
      </w:r>
      <w:r>
        <w:rPr>
          <w:rFonts w:hint="eastAsia" w:ascii="宋体" w:hAnsi="宋体" w:eastAsia="宋体" w:cs="宋体"/>
          <w:b/>
          <w:sz w:val="21"/>
          <w:szCs w:val="21"/>
        </w:rPr>
        <w:t>采购需求的“负面清单”</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为有利于后期项目的合理竞争，请供应商提供如下“负面清单”，并注意以下事项：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1.供应商完成该项目不需要额外具备的供应商资格条件。</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2.供应商认为《</w:t>
      </w:r>
      <w:r>
        <w:rPr>
          <w:rFonts w:hint="eastAsia" w:ascii="宋体" w:hAnsi="宋体" w:eastAsia="宋体" w:cs="宋体"/>
          <w:sz w:val="21"/>
          <w:szCs w:val="21"/>
          <w:lang w:val="en-US" w:eastAsia="zh-CN"/>
        </w:rPr>
        <w:t>用户需求书</w:t>
      </w:r>
      <w:r>
        <w:rPr>
          <w:rFonts w:hint="eastAsia" w:ascii="宋体" w:hAnsi="宋体" w:eastAsia="宋体" w:cs="宋体"/>
          <w:sz w:val="21"/>
          <w:szCs w:val="21"/>
        </w:rPr>
        <w:t>》信息中的内容，哪些可能会对采购项目的采购预算或者最高限价的合理设定，带来不利影响的内容。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5.具体参考的标准</w:t>
      </w:r>
    </w:p>
    <w:tbl>
      <w:tblPr>
        <w:tblStyle w:val="18"/>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43" w:type="dxa"/>
          </w:tcPr>
          <w:p>
            <w:pPr>
              <w:jc w:val="center"/>
              <w:rPr>
                <w:rFonts w:hint="eastAsia" w:ascii="宋体" w:hAnsi="宋体" w:eastAsia="宋体" w:cs="宋体"/>
                <w:b/>
                <w:sz w:val="21"/>
                <w:szCs w:val="21"/>
              </w:rPr>
            </w:pPr>
            <w:r>
              <w:rPr>
                <w:rFonts w:hint="eastAsia" w:ascii="宋体" w:hAnsi="宋体" w:eastAsia="宋体" w:cs="宋体"/>
                <w:b/>
                <w:sz w:val="21"/>
                <w:szCs w:val="21"/>
              </w:rPr>
              <w:t>内容</w:t>
            </w:r>
          </w:p>
        </w:tc>
        <w:tc>
          <w:tcPr>
            <w:tcW w:w="2401" w:type="dxa"/>
          </w:tcPr>
          <w:p>
            <w:pPr>
              <w:jc w:val="center"/>
              <w:rPr>
                <w:rFonts w:hint="eastAsia" w:ascii="宋体" w:hAnsi="宋体" w:eastAsia="宋体" w:cs="宋体"/>
                <w:b/>
                <w:sz w:val="21"/>
                <w:szCs w:val="21"/>
              </w:rPr>
            </w:pPr>
            <w:r>
              <w:rPr>
                <w:rFonts w:hint="eastAsia" w:ascii="宋体" w:hAnsi="宋体" w:eastAsia="宋体" w:cs="宋体"/>
                <w:b/>
                <w:sz w:val="21"/>
                <w:szCs w:val="21"/>
              </w:rPr>
              <w:t>具体事项</w:t>
            </w:r>
          </w:p>
        </w:tc>
        <w:tc>
          <w:tcPr>
            <w:tcW w:w="3402" w:type="dxa"/>
          </w:tcPr>
          <w:p>
            <w:pPr>
              <w:jc w:val="center"/>
              <w:rPr>
                <w:rFonts w:hint="eastAsia" w:ascii="宋体" w:hAnsi="宋体" w:eastAsia="宋体" w:cs="宋体"/>
                <w:b/>
                <w:sz w:val="21"/>
                <w:szCs w:val="21"/>
              </w:rPr>
            </w:pPr>
            <w:r>
              <w:rPr>
                <w:rFonts w:hint="eastAsia" w:ascii="宋体" w:hAnsi="宋体" w:eastAsia="宋体" w:cs="宋体"/>
                <w:b/>
                <w:sz w:val="21"/>
                <w:szCs w:val="21"/>
              </w:rPr>
              <w:t>具体填写说明</w:t>
            </w:r>
          </w:p>
        </w:tc>
        <w:tc>
          <w:tcPr>
            <w:tcW w:w="2101" w:type="dxa"/>
          </w:tcPr>
          <w:p>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本项目应当具备的供应商资格条件</w:t>
            </w:r>
          </w:p>
        </w:tc>
        <w:tc>
          <w:tcPr>
            <w:tcW w:w="3402" w:type="dxa"/>
          </w:tcPr>
          <w:p>
            <w:pPr>
              <w:pStyle w:val="27"/>
              <w:numPr>
                <w:ilvl w:val="0"/>
                <w:numId w:val="14"/>
              </w:numPr>
              <w:ind w:firstLineChars="0"/>
              <w:rPr>
                <w:rFonts w:hint="eastAsia" w:ascii="宋体" w:hAnsi="宋体" w:eastAsia="宋体" w:cs="宋体"/>
                <w:sz w:val="21"/>
                <w:szCs w:val="21"/>
              </w:rPr>
            </w:pPr>
            <w:r>
              <w:rPr>
                <w:rFonts w:hint="eastAsia" w:ascii="宋体" w:hAnsi="宋体" w:eastAsia="宋体" w:cs="宋体"/>
                <w:sz w:val="21"/>
                <w:szCs w:val="21"/>
              </w:rPr>
              <w:t>政府采购法第22条；</w:t>
            </w:r>
          </w:p>
          <w:p>
            <w:pPr>
              <w:pStyle w:val="27"/>
              <w:numPr>
                <w:ilvl w:val="0"/>
                <w:numId w:val="14"/>
              </w:numPr>
              <w:ind w:firstLineChars="0"/>
              <w:rPr>
                <w:rFonts w:hint="eastAsia" w:ascii="宋体" w:hAnsi="宋体" w:eastAsia="宋体" w:cs="宋体"/>
                <w:sz w:val="21"/>
                <w:szCs w:val="21"/>
              </w:rPr>
            </w:pPr>
            <w:r>
              <w:rPr>
                <w:rFonts w:hint="eastAsia" w:ascii="宋体" w:hAnsi="宋体" w:eastAsia="宋体" w:cs="宋体"/>
                <w:sz w:val="21"/>
                <w:szCs w:val="21"/>
              </w:rPr>
              <w:t>采购项目对供应商的特定要求。</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本项目不应当包含在内的供应商资格条件</w:t>
            </w:r>
          </w:p>
        </w:tc>
        <w:tc>
          <w:tcPr>
            <w:tcW w:w="3402" w:type="dxa"/>
          </w:tcPr>
          <w:p>
            <w:pPr>
              <w:pStyle w:val="27"/>
              <w:numPr>
                <w:ilvl w:val="0"/>
                <w:numId w:val="15"/>
              </w:numPr>
              <w:ind w:firstLineChars="0"/>
              <w:rPr>
                <w:rFonts w:hint="eastAsia" w:ascii="宋体" w:hAnsi="宋体" w:eastAsia="宋体" w:cs="宋体"/>
                <w:sz w:val="21"/>
                <w:szCs w:val="21"/>
              </w:rPr>
            </w:pPr>
            <w:r>
              <w:rPr>
                <w:rFonts w:hint="eastAsia" w:ascii="宋体" w:hAnsi="宋体" w:eastAsia="宋体" w:cs="宋体"/>
                <w:sz w:val="21"/>
                <w:szCs w:val="21"/>
              </w:rPr>
              <w:t>供应商后期履行本项目不需要包含的资格条件。</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技术需求</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根据本项目需要达到的绩效，后期采购时包含的技术需求</w:t>
            </w:r>
          </w:p>
        </w:tc>
        <w:tc>
          <w:tcPr>
            <w:tcW w:w="3402" w:type="dxa"/>
          </w:tcPr>
          <w:p>
            <w:pPr>
              <w:pStyle w:val="27"/>
              <w:numPr>
                <w:ilvl w:val="0"/>
                <w:numId w:val="16"/>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7"/>
              <w:numPr>
                <w:ilvl w:val="0"/>
                <w:numId w:val="17"/>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根据本项目需要达到的绩效，后期采购时可以不需要包含的技术需求</w:t>
            </w:r>
          </w:p>
        </w:tc>
        <w:tc>
          <w:tcPr>
            <w:tcW w:w="3402" w:type="dxa"/>
          </w:tcPr>
          <w:p>
            <w:pPr>
              <w:pStyle w:val="27"/>
              <w:numPr>
                <w:ilvl w:val="0"/>
                <w:numId w:val="18"/>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供应商以列举的方式，认为其他供应商在技术需求制定过程中会作为实质性要求的技术参数。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7"/>
              <w:numPr>
                <w:ilvl w:val="0"/>
                <w:numId w:val="19"/>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征集基本需求中的技术参数是否具有倾向性、排他性情况</w:t>
            </w:r>
          </w:p>
        </w:tc>
        <w:tc>
          <w:tcPr>
            <w:tcW w:w="3402" w:type="dxa"/>
          </w:tcPr>
          <w:p>
            <w:pPr>
              <w:pStyle w:val="27"/>
              <w:numPr>
                <w:ilvl w:val="0"/>
                <w:numId w:val="20"/>
              </w:numPr>
              <w:ind w:firstLineChars="0"/>
              <w:rPr>
                <w:rFonts w:hint="eastAsia" w:ascii="宋体" w:hAnsi="宋体" w:eastAsia="宋体" w:cs="宋体"/>
                <w:sz w:val="21"/>
                <w:szCs w:val="21"/>
              </w:rPr>
            </w:pPr>
            <w:r>
              <w:rPr>
                <w:rFonts w:hint="eastAsia" w:ascii="宋体" w:hAnsi="宋体" w:eastAsia="宋体" w:cs="宋体"/>
                <w:sz w:val="21"/>
                <w:szCs w:val="21"/>
              </w:rPr>
              <w:t>采购人在本项目提供的征集基本需求中，是否存在倾向于某一个品牌或某一个供应商的情形？或者存在排他技术参数的情形？</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7"/>
              <w:numPr>
                <w:ilvl w:val="0"/>
                <w:numId w:val="21"/>
              </w:numPr>
              <w:ind w:firstLineChars="0"/>
              <w:rPr>
                <w:rFonts w:hint="eastAsia" w:ascii="宋体" w:hAnsi="宋体" w:eastAsia="宋体" w:cs="宋体"/>
                <w:sz w:val="21"/>
                <w:szCs w:val="21"/>
              </w:rPr>
            </w:pPr>
            <w:r>
              <w:rPr>
                <w:rFonts w:hint="eastAsia" w:ascii="宋体" w:hAnsi="宋体" w:eastAsia="宋体" w:cs="宋体"/>
                <w:sz w:val="21"/>
                <w:szCs w:val="21"/>
              </w:rPr>
              <w:t>针对征集基本需求中的技术参数，供应商建议应当如何设定较为合理。</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rFonts w:hint="eastAsia" w:ascii="宋体" w:hAnsi="宋体" w:eastAsia="宋体" w:cs="宋体"/>
                <w:sz w:val="21"/>
                <w:szCs w:val="21"/>
              </w:rPr>
            </w:pPr>
            <w:r>
              <w:rPr>
                <w:rFonts w:hint="eastAsia" w:ascii="宋体" w:hAnsi="宋体" w:eastAsia="宋体" w:cs="宋体"/>
                <w:sz w:val="21"/>
                <w:szCs w:val="21"/>
              </w:rPr>
              <w:t>3</w:t>
            </w:r>
          </w:p>
        </w:tc>
        <w:tc>
          <w:tcPr>
            <w:tcW w:w="1143" w:type="dxa"/>
            <w:vMerge w:val="restart"/>
          </w:tcPr>
          <w:p>
            <w:pPr>
              <w:rPr>
                <w:rFonts w:hint="eastAsia" w:ascii="宋体" w:hAnsi="宋体" w:eastAsia="宋体" w:cs="宋体"/>
                <w:sz w:val="21"/>
                <w:szCs w:val="21"/>
              </w:rPr>
            </w:pPr>
            <w:r>
              <w:rPr>
                <w:rFonts w:hint="eastAsia" w:ascii="宋体" w:hAnsi="宋体" w:eastAsia="宋体" w:cs="宋体"/>
                <w:sz w:val="21"/>
                <w:szCs w:val="21"/>
              </w:rPr>
              <w:t>商务需求</w:t>
            </w: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根据本项目需要达到的绩效，后期采购时包含的商务需求</w:t>
            </w:r>
          </w:p>
        </w:tc>
        <w:tc>
          <w:tcPr>
            <w:tcW w:w="3402" w:type="dxa"/>
          </w:tcPr>
          <w:p>
            <w:pPr>
              <w:pStyle w:val="27"/>
              <w:numPr>
                <w:ilvl w:val="0"/>
                <w:numId w:val="22"/>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不应将自身具有核心竞争力的商务参数填入</w:t>
            </w:r>
          </w:p>
        </w:tc>
      </w:tr>
      <w:tr>
        <w:tblPrEx>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27"/>
              <w:numPr>
                <w:ilvl w:val="0"/>
                <w:numId w:val="23"/>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即后期认为应当作为实质性要求的商务参数，货物项目包括保修年限、耗材提供等</w:t>
            </w:r>
          </w:p>
        </w:tc>
      </w:tr>
      <w:tr>
        <w:tblPrEx>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根据本项目需要达到的绩效，后期采购时可以不需要包含的商务需求</w:t>
            </w:r>
          </w:p>
        </w:tc>
        <w:tc>
          <w:tcPr>
            <w:tcW w:w="3402" w:type="dxa"/>
          </w:tcPr>
          <w:p>
            <w:pPr>
              <w:pStyle w:val="27"/>
              <w:numPr>
                <w:ilvl w:val="0"/>
                <w:numId w:val="24"/>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供应商以列举的方式，认为其他供应商在商务需求制定过程中会作为实质性要求的商务参数。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27"/>
              <w:numPr>
                <w:ilvl w:val="0"/>
                <w:numId w:val="25"/>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评审因素</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供应商根据过往参与的同类采购项目，对评审因素的设定提出建议和意见</w:t>
            </w:r>
          </w:p>
        </w:tc>
        <w:tc>
          <w:tcPr>
            <w:tcW w:w="3402" w:type="dxa"/>
          </w:tcPr>
          <w:p>
            <w:pPr>
              <w:pStyle w:val="27"/>
              <w:numPr>
                <w:ilvl w:val="0"/>
                <w:numId w:val="26"/>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本项目在后期评审因素制定时，哪些因素应当重点考虑？</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7"/>
              <w:numPr>
                <w:ilvl w:val="0"/>
                <w:numId w:val="26"/>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本项目在后期评审因素制定时，哪些因素不应当重点考虑？</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1143" w:type="dxa"/>
            <w:vAlign w:val="center"/>
          </w:tcPr>
          <w:p>
            <w:pPr>
              <w:rPr>
                <w:rFonts w:hint="eastAsia" w:ascii="宋体" w:hAnsi="宋体" w:eastAsia="宋体" w:cs="宋体"/>
                <w:sz w:val="21"/>
                <w:szCs w:val="21"/>
              </w:rPr>
            </w:pPr>
            <w:r>
              <w:rPr>
                <w:rFonts w:hint="eastAsia" w:ascii="宋体" w:hAnsi="宋体" w:eastAsia="宋体" w:cs="宋体"/>
                <w:sz w:val="21"/>
                <w:szCs w:val="21"/>
              </w:rPr>
              <w:t>预算与最高限价</w:t>
            </w:r>
          </w:p>
        </w:tc>
        <w:tc>
          <w:tcPr>
            <w:tcW w:w="2401" w:type="dxa"/>
            <w:vAlign w:val="center"/>
          </w:tcPr>
          <w:p>
            <w:pPr>
              <w:rPr>
                <w:rFonts w:hint="eastAsia" w:ascii="宋体" w:hAnsi="宋体" w:eastAsia="宋体" w:cs="宋体"/>
                <w:sz w:val="21"/>
                <w:szCs w:val="21"/>
              </w:rPr>
            </w:pPr>
            <w:r>
              <w:rPr>
                <w:rFonts w:hint="eastAsia" w:ascii="宋体" w:hAnsi="宋体" w:eastAsia="宋体" w:cs="宋体"/>
                <w:sz w:val="21"/>
                <w:szCs w:val="21"/>
              </w:rPr>
              <w:t>根据本项目的预算提供相关的建议和意见</w:t>
            </w:r>
          </w:p>
        </w:tc>
        <w:tc>
          <w:tcPr>
            <w:tcW w:w="3402" w:type="dxa"/>
          </w:tcPr>
          <w:p>
            <w:pPr>
              <w:pStyle w:val="27"/>
              <w:numPr>
                <w:ilvl w:val="0"/>
                <w:numId w:val="27"/>
              </w:numPr>
              <w:ind w:firstLineChars="0"/>
              <w:rPr>
                <w:rFonts w:hint="eastAsia" w:ascii="宋体" w:hAnsi="宋体" w:eastAsia="宋体" w:cs="宋体"/>
                <w:sz w:val="21"/>
                <w:szCs w:val="21"/>
              </w:rPr>
            </w:pPr>
            <w:r>
              <w:rPr>
                <w:rFonts w:hint="eastAsia" w:ascii="宋体" w:hAnsi="宋体" w:eastAsia="宋体" w:cs="宋体"/>
                <w:sz w:val="21"/>
                <w:szCs w:val="21"/>
              </w:rPr>
              <w:t>本项目提供的征集需求中，技术参数、商务参数对应的最高限价应当设定为多少较为合理？</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供应商在说明的同时，最好提供相关依据，包括过往合同、各地的政府采购网上的中标（成交）结果公告链接，或者合同。</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6.“负面清单”制作参考格式（供应商可以自行调整）</w:t>
      </w:r>
    </w:p>
    <w:tbl>
      <w:tblPr>
        <w:tblStyle w:val="18"/>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rFonts w:hint="eastAsia" w:ascii="宋体" w:hAnsi="宋体" w:eastAsia="宋体" w:cs="宋体"/>
                <w:sz w:val="21"/>
                <w:szCs w:val="21"/>
              </w:rPr>
            </w:pPr>
            <w:r>
              <w:rPr>
                <w:rFonts w:hint="eastAsia" w:ascii="宋体" w:hAnsi="宋体" w:eastAsia="宋体" w:cs="宋体"/>
                <w:sz w:val="21"/>
                <w:szCs w:val="21"/>
              </w:rPr>
              <w:t>所属部分</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4826" w:type="dxa"/>
          </w:tcPr>
          <w:p>
            <w:pPr>
              <w:rPr>
                <w:rFonts w:hint="eastAsia" w:ascii="宋体" w:hAnsi="宋体" w:eastAsia="宋体" w:cs="宋体"/>
                <w:sz w:val="21"/>
                <w:szCs w:val="21"/>
              </w:rPr>
            </w:pPr>
            <w:r>
              <w:rPr>
                <w:rFonts w:hint="eastAsia" w:ascii="宋体" w:hAnsi="宋体" w:eastAsia="宋体" w:cs="宋体"/>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rFonts w:hint="eastAsia" w:ascii="宋体" w:hAnsi="宋体" w:eastAsia="宋体" w:cs="宋体"/>
                <w:sz w:val="21"/>
                <w:szCs w:val="21"/>
              </w:rPr>
            </w:pPr>
            <w:r>
              <w:rPr>
                <w:rFonts w:hint="eastAsia" w:ascii="宋体" w:hAnsi="宋体" w:eastAsia="宋体" w:cs="宋体"/>
                <w:sz w:val="21"/>
                <w:szCs w:val="21"/>
              </w:rPr>
              <w:t>修改建议或意见</w:t>
            </w:r>
          </w:p>
        </w:tc>
        <w:tc>
          <w:tcPr>
            <w:tcW w:w="1034" w:type="dxa"/>
          </w:tcPr>
          <w:p>
            <w:pPr>
              <w:rPr>
                <w:rFonts w:hint="eastAsia" w:ascii="宋体" w:hAnsi="宋体" w:eastAsia="宋体" w:cs="宋体"/>
                <w:sz w:val="21"/>
                <w:szCs w:val="21"/>
              </w:rPr>
            </w:pPr>
            <w:r>
              <w:rPr>
                <w:rFonts w:hint="eastAsia" w:ascii="宋体" w:hAnsi="宋体" w:eastAsia="宋体" w:cs="宋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技术要求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商务要求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评审规则</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预算或最高限价制定</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合同条款</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其他（如有）</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right"/>
        <w:rPr>
          <w:rFonts w:hint="eastAsia" w:ascii="宋体" w:hAnsi="宋体" w:eastAsia="宋体" w:cs="宋体"/>
          <w:sz w:val="21"/>
          <w:szCs w:val="21"/>
        </w:rPr>
      </w:pPr>
      <w:r>
        <w:rPr>
          <w:rFonts w:hint="eastAsia" w:ascii="宋体" w:hAnsi="宋体" w:eastAsia="宋体" w:cs="宋体"/>
          <w:sz w:val="21"/>
          <w:szCs w:val="21"/>
        </w:rPr>
        <w:t>供应商（加盖公章）：</w:t>
      </w:r>
    </w:p>
    <w:p>
      <w:pPr>
        <w:widowControl/>
        <w:jc w:val="left"/>
        <w:rPr>
          <w:rFonts w:ascii="宋体" w:hAnsi="宋体"/>
        </w:rPr>
      </w:pPr>
      <w:r>
        <w:rPr>
          <w:rFonts w:hint="eastAsia" w:ascii="宋体" w:hAnsi="宋体" w:eastAsia="宋体" w:cs="宋体"/>
          <w:sz w:val="21"/>
          <w:szCs w:val="21"/>
        </w:rPr>
        <w:t>202</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29BB7"/>
    <w:multiLevelType w:val="singleLevel"/>
    <w:tmpl w:val="84129BB7"/>
    <w:lvl w:ilvl="0" w:tentative="0">
      <w:start w:val="1"/>
      <w:numFmt w:val="decimal"/>
      <w:lvlText w:val="%1."/>
      <w:lvlJc w:val="left"/>
      <w:pPr>
        <w:tabs>
          <w:tab w:val="left" w:pos="312"/>
        </w:tabs>
      </w:pPr>
    </w:lvl>
  </w:abstractNum>
  <w:abstractNum w:abstractNumId="1">
    <w:nsid w:val="975D15EA"/>
    <w:multiLevelType w:val="singleLevel"/>
    <w:tmpl w:val="975D15EA"/>
    <w:lvl w:ilvl="0" w:tentative="0">
      <w:start w:val="1"/>
      <w:numFmt w:val="decimal"/>
      <w:lvlText w:val="%1."/>
      <w:lvlJc w:val="left"/>
      <w:pPr>
        <w:ind w:left="425" w:hanging="425"/>
      </w:pPr>
      <w:rPr>
        <w:rFonts w:hint="default"/>
      </w:rPr>
    </w:lvl>
  </w:abstractNum>
  <w:abstractNum w:abstractNumId="2">
    <w:nsid w:val="9A248F29"/>
    <w:multiLevelType w:val="singleLevel"/>
    <w:tmpl w:val="9A248F29"/>
    <w:lvl w:ilvl="0" w:tentative="0">
      <w:start w:val="1"/>
      <w:numFmt w:val="decimal"/>
      <w:lvlText w:val="%1."/>
      <w:lvlJc w:val="left"/>
      <w:pPr>
        <w:ind w:left="425" w:hanging="425"/>
      </w:pPr>
      <w:rPr>
        <w:rFonts w:hint="default"/>
      </w:rPr>
    </w:lvl>
  </w:abstractNum>
  <w:abstractNum w:abstractNumId="3">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4B8BC7A"/>
    <w:multiLevelType w:val="singleLevel"/>
    <w:tmpl w:val="04B8BC7A"/>
    <w:lvl w:ilvl="0" w:tentative="0">
      <w:start w:val="1"/>
      <w:numFmt w:val="decimal"/>
      <w:suff w:val="space"/>
      <w:lvlText w:val="%1."/>
      <w:lvlJc w:val="left"/>
    </w:lvl>
  </w:abstractNum>
  <w:abstractNum w:abstractNumId="5">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7705F3C"/>
    <w:multiLevelType w:val="singleLevel"/>
    <w:tmpl w:val="17705F3C"/>
    <w:lvl w:ilvl="0" w:tentative="0">
      <w:start w:val="1"/>
      <w:numFmt w:val="decimal"/>
      <w:suff w:val="space"/>
      <w:lvlText w:val="%1."/>
      <w:lvlJc w:val="left"/>
    </w:lvl>
  </w:abstractNum>
  <w:abstractNum w:abstractNumId="9">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39AC34"/>
    <w:multiLevelType w:val="singleLevel"/>
    <w:tmpl w:val="2839AC34"/>
    <w:lvl w:ilvl="0" w:tentative="0">
      <w:start w:val="1"/>
      <w:numFmt w:val="decimal"/>
      <w:suff w:val="space"/>
      <w:lvlText w:val="%1."/>
      <w:lvlJc w:val="left"/>
    </w:lvl>
  </w:abstractNum>
  <w:abstractNum w:abstractNumId="11">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288C6B2"/>
    <w:multiLevelType w:val="singleLevel"/>
    <w:tmpl w:val="3288C6B2"/>
    <w:lvl w:ilvl="0" w:tentative="0">
      <w:start w:val="1"/>
      <w:numFmt w:val="chineseCounting"/>
      <w:suff w:val="nothing"/>
      <w:lvlText w:val="%1、"/>
      <w:lvlJc w:val="left"/>
      <w:rPr>
        <w:rFonts w:hint="eastAsia"/>
      </w:rPr>
    </w:lvl>
  </w:abstractNum>
  <w:abstractNum w:abstractNumId="13">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9895AED"/>
    <w:multiLevelType w:val="singleLevel"/>
    <w:tmpl w:val="39895AED"/>
    <w:lvl w:ilvl="0" w:tentative="0">
      <w:start w:val="1"/>
      <w:numFmt w:val="decimal"/>
      <w:suff w:val="nothing"/>
      <w:lvlText w:val="（%1）"/>
      <w:lvlJc w:val="left"/>
    </w:lvl>
  </w:abstractNum>
  <w:abstractNum w:abstractNumId="17">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FC4746"/>
    <w:multiLevelType w:val="multilevel"/>
    <w:tmpl w:val="5AFC4746"/>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1">
    <w:nsid w:val="60B3CD8B"/>
    <w:multiLevelType w:val="singleLevel"/>
    <w:tmpl w:val="60B3CD8B"/>
    <w:lvl w:ilvl="0" w:tentative="0">
      <w:start w:val="1"/>
      <w:numFmt w:val="chineseCounting"/>
      <w:suff w:val="nothing"/>
      <w:lvlText w:val="（%1）"/>
      <w:lvlJc w:val="left"/>
      <w:pPr>
        <w:ind w:left="102" w:hanging="102"/>
      </w:pPr>
      <w:rPr>
        <w:rFonts w:hint="eastAsia"/>
      </w:rPr>
    </w:lvl>
  </w:abstractNum>
  <w:abstractNum w:abstractNumId="22">
    <w:nsid w:val="63D35B53"/>
    <w:multiLevelType w:val="multilevel"/>
    <w:tmpl w:val="63D35B53"/>
    <w:lvl w:ilvl="0" w:tentative="0">
      <w:start w:val="1"/>
      <w:numFmt w:val="decimal"/>
      <w:pStyle w:val="49"/>
      <w:lvlText w:val="%1."/>
      <w:lvlJc w:val="left"/>
      <w:pPr>
        <w:ind w:left="440" w:hanging="440"/>
      </w:pPr>
      <w:rPr>
        <w:rFonts w:hint="eastAsia"/>
      </w:rPr>
    </w:lvl>
    <w:lvl w:ilvl="1" w:tentative="0">
      <w:start w:val="1"/>
      <w:numFmt w:val="decimal"/>
      <w:pStyle w:val="50"/>
      <w:isLgl/>
      <w:suff w:val="space"/>
      <w:lvlText w:val="%1.%2"/>
      <w:lvlJc w:val="left"/>
      <w:pPr>
        <w:ind w:left="0" w:firstLine="0"/>
      </w:pPr>
      <w:rPr>
        <w:sz w:val="30"/>
        <w:szCs w:val="30"/>
      </w:rPr>
    </w:lvl>
    <w:lvl w:ilvl="2" w:tentative="0">
      <w:start w:val="1"/>
      <w:numFmt w:val="decimal"/>
      <w:pStyle w:val="51"/>
      <w:isLgl/>
      <w:suff w:val="space"/>
      <w:lvlText w:val="%1.%2.%3"/>
      <w:lvlJc w:val="left"/>
      <w:pPr>
        <w:ind w:left="0" w:firstLine="0"/>
      </w:pPr>
    </w:lvl>
    <w:lvl w:ilvl="3" w:tentative="0">
      <w:start w:val="1"/>
      <w:numFmt w:val="decimal"/>
      <w:pStyle w:val="52"/>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23">
    <w:nsid w:val="654708C2"/>
    <w:multiLevelType w:val="singleLevel"/>
    <w:tmpl w:val="654708C2"/>
    <w:lvl w:ilvl="0" w:tentative="0">
      <w:start w:val="1"/>
      <w:numFmt w:val="decimal"/>
      <w:suff w:val="space"/>
      <w:lvlText w:val="%1."/>
      <w:lvlJc w:val="left"/>
    </w:lvl>
  </w:abstractNum>
  <w:abstractNum w:abstractNumId="24">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6CA0DCA"/>
    <w:multiLevelType w:val="multilevel"/>
    <w:tmpl w:val="66CA0DCA"/>
    <w:lvl w:ilvl="0" w:tentative="0">
      <w:start w:val="1"/>
      <w:numFmt w:val="bullet"/>
      <w:pStyle w:val="4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26">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num>
  <w:num w:numId="2">
    <w:abstractNumId w:val="22"/>
  </w:num>
  <w:num w:numId="3">
    <w:abstractNumId w:val="12"/>
  </w:num>
  <w:num w:numId="4">
    <w:abstractNumId w:val="0"/>
  </w:num>
  <w:num w:numId="5">
    <w:abstractNumId w:val="2"/>
  </w:num>
  <w:num w:numId="6">
    <w:abstractNumId w:val="1"/>
  </w:num>
  <w:num w:numId="7">
    <w:abstractNumId w:val="21"/>
  </w:num>
  <w:num w:numId="8">
    <w:abstractNumId w:val="23"/>
  </w:num>
  <w:num w:numId="9">
    <w:abstractNumId w:val="16"/>
  </w:num>
  <w:num w:numId="10">
    <w:abstractNumId w:val="8"/>
  </w:num>
  <w:num w:numId="11">
    <w:abstractNumId w:val="4"/>
  </w:num>
  <w:num w:numId="12">
    <w:abstractNumId w:val="10"/>
  </w:num>
  <w:num w:numId="13">
    <w:abstractNumId w:val="20"/>
  </w:num>
  <w:num w:numId="14">
    <w:abstractNumId w:val="13"/>
  </w:num>
  <w:num w:numId="15">
    <w:abstractNumId w:val="17"/>
  </w:num>
  <w:num w:numId="16">
    <w:abstractNumId w:val="7"/>
  </w:num>
  <w:num w:numId="17">
    <w:abstractNumId w:val="5"/>
  </w:num>
  <w:num w:numId="18">
    <w:abstractNumId w:val="19"/>
  </w:num>
  <w:num w:numId="19">
    <w:abstractNumId w:val="15"/>
  </w:num>
  <w:num w:numId="20">
    <w:abstractNumId w:val="9"/>
  </w:num>
  <w:num w:numId="21">
    <w:abstractNumId w:val="26"/>
  </w:num>
  <w:num w:numId="22">
    <w:abstractNumId w:val="14"/>
  </w:num>
  <w:num w:numId="23">
    <w:abstractNumId w:val="11"/>
  </w:num>
  <w:num w:numId="24">
    <w:abstractNumId w:val="18"/>
  </w:num>
  <w:num w:numId="25">
    <w:abstractNumId w:val="3"/>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23D87429"/>
    <w:rsid w:val="29E028A9"/>
    <w:rsid w:val="3640556A"/>
    <w:rsid w:val="36581172"/>
    <w:rsid w:val="3ED94930"/>
    <w:rsid w:val="47B46B00"/>
    <w:rsid w:val="6BAA3311"/>
    <w:rsid w:val="6F404FE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6"/>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Cambria" w:hAnsi="Cambria" w:eastAsia="黑体"/>
      <w:sz w:val="20"/>
      <w:szCs w:val="20"/>
    </w:rPr>
  </w:style>
  <w:style w:type="paragraph" w:styleId="6">
    <w:name w:val="Body Text"/>
    <w:basedOn w:val="1"/>
    <w:unhideWhenUsed/>
    <w:qFormat/>
    <w:uiPriority w:val="99"/>
    <w:pPr>
      <w:spacing w:after="120"/>
    </w:pPr>
  </w:style>
  <w:style w:type="paragraph" w:styleId="7">
    <w:name w:val="Body Text Indent"/>
    <w:basedOn w:val="1"/>
    <w:next w:val="8"/>
    <w:link w:val="28"/>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8">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9">
    <w:name w:val="Plain Text"/>
    <w:basedOn w:val="1"/>
    <w:link w:val="25"/>
    <w:unhideWhenUsed/>
    <w:qFormat/>
    <w:uiPriority w:val="99"/>
    <w:pPr>
      <w:spacing w:line="440" w:lineRule="exact"/>
      <w:ind w:firstLine="880" w:firstLineChars="200"/>
    </w:pPr>
    <w:rPr>
      <w:rFonts w:ascii="宋体" w:hAnsi="Courier New"/>
      <w:kern w:val="0"/>
      <w:sz w:val="24"/>
      <w:szCs w:val="21"/>
      <w:lang w:val="zh-CN" w:eastAsia="zh-CN"/>
    </w:rPr>
  </w:style>
  <w:style w:type="paragraph" w:styleId="10">
    <w:name w:val="Balloon Text"/>
    <w:basedOn w:val="1"/>
    <w:link w:val="33"/>
    <w:unhideWhenUsed/>
    <w:qFormat/>
    <w:uiPriority w:val="99"/>
    <w:rPr>
      <w:kern w:val="0"/>
      <w:sz w:val="18"/>
      <w:szCs w:val="18"/>
      <w:lang w:val="zh-CN" w:eastAsia="zh-CN"/>
    </w:rPr>
  </w:style>
  <w:style w:type="paragraph" w:styleId="11">
    <w:name w:val="footer"/>
    <w:basedOn w:val="1"/>
    <w:link w:val="35"/>
    <w:unhideWhenUsed/>
    <w:qFormat/>
    <w:uiPriority w:val="99"/>
    <w:pPr>
      <w:tabs>
        <w:tab w:val="center" w:pos="4153"/>
        <w:tab w:val="right" w:pos="8306"/>
      </w:tabs>
      <w:snapToGrid w:val="0"/>
      <w:jc w:val="left"/>
    </w:pPr>
    <w:rPr>
      <w:kern w:val="0"/>
      <w:sz w:val="18"/>
      <w:szCs w:val="18"/>
      <w:lang w:val="zh-CN" w:eastAsia="zh-CN"/>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3">
    <w:name w:val="toc 2"/>
    <w:basedOn w:val="1"/>
    <w:next w:val="1"/>
    <w:unhideWhenUsed/>
    <w:qFormat/>
    <w:uiPriority w:val="39"/>
    <w:pPr>
      <w:ind w:left="240"/>
      <w:jc w:val="left"/>
    </w:pPr>
    <w:rPr>
      <w:rFonts w:ascii="Calibri" w:hAnsi="Calibri" w:cs="Calibri"/>
      <w:smallCaps/>
      <w:sz w:val="20"/>
      <w:szCs w:val="20"/>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Body Text First Indent"/>
    <w:basedOn w:val="6"/>
    <w:next w:val="6"/>
    <w:unhideWhenUsed/>
    <w:qFormat/>
    <w:uiPriority w:val="99"/>
    <w:pPr>
      <w:ind w:firstLine="420" w:firstLineChars="100"/>
    </w:pPr>
    <w:rPr>
      <w:rFonts w:ascii="Calibri" w:hAnsi="Calibri" w:eastAsia="宋体" w:cs="Times New Roman"/>
      <w:szCs w:val="22"/>
    </w:rPr>
  </w:style>
  <w:style w:type="paragraph" w:styleId="16">
    <w:name w:val="Body Text First Indent 2"/>
    <w:basedOn w:val="7"/>
    <w:next w:val="15"/>
    <w:unhideWhenUsed/>
    <w:qFormat/>
    <w:uiPriority w:val="99"/>
    <w:pPr>
      <w:ind w:firstLine="420" w:firstLineChars="200"/>
      <w:jc w:val="left"/>
    </w:pPr>
  </w:style>
  <w:style w:type="table" w:styleId="18">
    <w:name w:val="Table Grid"/>
    <w:basedOn w:val="1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22"/>
    <w:rPr>
      <w:b/>
    </w:rPr>
  </w:style>
  <w:style w:type="character" w:styleId="21">
    <w:name w:val="Hyperlink"/>
    <w:basedOn w:val="19"/>
    <w:unhideWhenUsed/>
    <w:qFormat/>
    <w:uiPriority w:val="99"/>
    <w:rPr>
      <w:color w:val="0563C1"/>
      <w:u w:val="single"/>
    </w:rPr>
  </w:style>
  <w:style w:type="paragraph" w:customStyle="1" w:styleId="22">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01"/>
    <w:qFormat/>
    <w:uiPriority w:val="0"/>
    <w:rPr>
      <w:rFonts w:hint="eastAsia" w:ascii="宋体" w:hAnsi="宋体" w:eastAsia="宋体"/>
      <w:color w:val="000000"/>
      <w:sz w:val="28"/>
      <w:szCs w:val="28"/>
    </w:rPr>
  </w:style>
  <w:style w:type="character" w:customStyle="1" w:styleId="25">
    <w:name w:val="纯文本 字符"/>
    <w:link w:val="9"/>
    <w:qFormat/>
    <w:uiPriority w:val="99"/>
    <w:rPr>
      <w:rFonts w:ascii="宋体" w:hAnsi="Courier New" w:eastAsia="宋体" w:cs="Courier New"/>
      <w:sz w:val="24"/>
      <w:szCs w:val="21"/>
    </w:rPr>
  </w:style>
  <w:style w:type="character" w:customStyle="1" w:styleId="26">
    <w:name w:val="列表段落 字符"/>
    <w:link w:val="27"/>
    <w:qFormat/>
    <w:locked/>
    <w:uiPriority w:val="34"/>
    <w:rPr>
      <w:rFonts w:ascii="Calibri" w:hAnsi="Calibri" w:eastAsia="宋体" w:cs="Times New Roman"/>
    </w:rPr>
  </w:style>
  <w:style w:type="paragraph" w:styleId="27">
    <w:name w:val="List Paragraph"/>
    <w:basedOn w:val="1"/>
    <w:link w:val="26"/>
    <w:qFormat/>
    <w:uiPriority w:val="34"/>
    <w:pPr>
      <w:ind w:firstLine="420" w:firstLineChars="200"/>
    </w:pPr>
    <w:rPr>
      <w:kern w:val="0"/>
      <w:sz w:val="20"/>
      <w:szCs w:val="20"/>
      <w:lang w:val="zh-CN" w:eastAsia="zh-CN"/>
    </w:rPr>
  </w:style>
  <w:style w:type="character" w:customStyle="1" w:styleId="28">
    <w:name w:val="正文文本缩进 字符"/>
    <w:link w:val="7"/>
    <w:qFormat/>
    <w:uiPriority w:val="99"/>
    <w:rPr>
      <w:rFonts w:ascii="仿宋_GB2312" w:hAnsi="Times New Roman" w:eastAsia="仿宋_GB2312" w:cs="Times New Roman"/>
      <w:sz w:val="32"/>
      <w:szCs w:val="20"/>
    </w:rPr>
  </w:style>
  <w:style w:type="character" w:customStyle="1" w:styleId="29">
    <w:name w:val="页眉 字符"/>
    <w:link w:val="12"/>
    <w:qFormat/>
    <w:uiPriority w:val="99"/>
    <w:rPr>
      <w:sz w:val="18"/>
      <w:szCs w:val="18"/>
    </w:rPr>
  </w:style>
  <w:style w:type="character" w:customStyle="1" w:styleId="30">
    <w:name w:val="1J Char"/>
    <w:link w:val="31"/>
    <w:qFormat/>
    <w:uiPriority w:val="0"/>
    <w:rPr>
      <w:rFonts w:eastAsia="宋体"/>
      <w:b/>
      <w:sz w:val="24"/>
      <w:szCs w:val="24"/>
    </w:rPr>
  </w:style>
  <w:style w:type="paragraph" w:customStyle="1" w:styleId="31">
    <w:name w:val="1J"/>
    <w:basedOn w:val="1"/>
    <w:link w:val="30"/>
    <w:qFormat/>
    <w:uiPriority w:val="0"/>
    <w:pPr>
      <w:jc w:val="center"/>
    </w:pPr>
    <w:rPr>
      <w:b/>
      <w:kern w:val="0"/>
      <w:sz w:val="24"/>
      <w:szCs w:val="24"/>
      <w:lang w:val="zh-CN" w:eastAsia="zh-CN"/>
    </w:rPr>
  </w:style>
  <w:style w:type="character" w:customStyle="1" w:styleId="32">
    <w:name w:val="fontstyle31"/>
    <w:qFormat/>
    <w:uiPriority w:val="0"/>
    <w:rPr>
      <w:rFonts w:hint="default" w:ascii="Calibri" w:hAnsi="Calibri"/>
      <w:color w:val="000000"/>
      <w:sz w:val="22"/>
      <w:szCs w:val="22"/>
    </w:rPr>
  </w:style>
  <w:style w:type="character" w:customStyle="1" w:styleId="33">
    <w:name w:val="批注框文本 字符"/>
    <w:link w:val="10"/>
    <w:semiHidden/>
    <w:qFormat/>
    <w:uiPriority w:val="99"/>
    <w:rPr>
      <w:sz w:val="18"/>
      <w:szCs w:val="18"/>
    </w:rPr>
  </w:style>
  <w:style w:type="character" w:customStyle="1" w:styleId="34">
    <w:name w:val="fontstyle21"/>
    <w:qFormat/>
    <w:uiPriority w:val="0"/>
    <w:rPr>
      <w:rFonts w:hint="default" w:ascii="TimesNewRomanPSMT" w:hAnsi="TimesNewRomanPSMT"/>
      <w:color w:val="000000"/>
      <w:sz w:val="18"/>
      <w:szCs w:val="18"/>
    </w:rPr>
  </w:style>
  <w:style w:type="character" w:customStyle="1" w:styleId="35">
    <w:name w:val="页脚 字符"/>
    <w:link w:val="11"/>
    <w:qFormat/>
    <w:uiPriority w:val="99"/>
    <w:rPr>
      <w:sz w:val="18"/>
      <w:szCs w:val="18"/>
    </w:rPr>
  </w:style>
  <w:style w:type="character" w:customStyle="1" w:styleId="36">
    <w:name w:val="标题 3 字符"/>
    <w:link w:val="4"/>
    <w:qFormat/>
    <w:uiPriority w:val="9"/>
    <w:rPr>
      <w:rFonts w:ascii="Times New Roman" w:hAnsi="Times New Roman" w:eastAsia="宋体" w:cs="Times New Roman"/>
      <w:b/>
      <w:kern w:val="0"/>
      <w:sz w:val="28"/>
      <w:szCs w:val="20"/>
    </w:rPr>
  </w:style>
  <w:style w:type="paragraph" w:customStyle="1" w:styleId="3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8">
    <w:name w:val="题注4"/>
    <w:basedOn w:val="1"/>
    <w:next w:val="5"/>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9">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0">
    <w:name w:val="列表段落1"/>
    <w:basedOn w:val="1"/>
    <w:qFormat/>
    <w:uiPriority w:val="0"/>
    <w:pPr>
      <w:ind w:firstLine="420" w:firstLineChars="200"/>
    </w:pPr>
    <w:rPr>
      <w:rFonts w:ascii="Times New Roman" w:hAnsi="Times New Roman"/>
      <w:sz w:val="28"/>
      <w:szCs w:val="24"/>
    </w:rPr>
  </w:style>
  <w:style w:type="paragraph" w:customStyle="1" w:styleId="41">
    <w:name w:val="编号1"/>
    <w:basedOn w:val="1"/>
    <w:qFormat/>
    <w:uiPriority w:val="0"/>
    <w:pPr>
      <w:numPr>
        <w:ilvl w:val="0"/>
        <w:numId w:val="1"/>
      </w:numPr>
    </w:pPr>
    <w:rPr>
      <w:rFonts w:ascii="Times New Roman" w:hAnsi="Times New Roman"/>
      <w:szCs w:val="24"/>
    </w:rPr>
  </w:style>
  <w:style w:type="character" w:customStyle="1" w:styleId="42">
    <w:name w:val="标题 1 字符"/>
    <w:link w:val="2"/>
    <w:qFormat/>
    <w:uiPriority w:val="9"/>
    <w:rPr>
      <w:b/>
      <w:bCs/>
      <w:kern w:val="44"/>
      <w:sz w:val="44"/>
      <w:szCs w:val="44"/>
    </w:rPr>
  </w:style>
  <w:style w:type="character" w:customStyle="1" w:styleId="43">
    <w:name w:val="Unresolved Mention"/>
    <w:semiHidden/>
    <w:unhideWhenUsed/>
    <w:qFormat/>
    <w:uiPriority w:val="99"/>
    <w:rPr>
      <w:color w:val="605E5C"/>
      <w:shd w:val="clear" w:color="auto" w:fill="E1DFDD"/>
    </w:rPr>
  </w:style>
  <w:style w:type="paragraph" w:customStyle="1" w:styleId="44">
    <w:name w:val="列出段落1"/>
    <w:basedOn w:val="1"/>
    <w:qFormat/>
    <w:uiPriority w:val="34"/>
    <w:pPr>
      <w:ind w:firstLine="420" w:firstLineChars="200"/>
    </w:pPr>
  </w:style>
  <w:style w:type="character" w:customStyle="1" w:styleId="45">
    <w:name w:val="标题 2 字符"/>
    <w:link w:val="3"/>
    <w:semiHidden/>
    <w:qFormat/>
    <w:uiPriority w:val="9"/>
    <w:rPr>
      <w:rFonts w:ascii="等线 Light" w:hAnsi="等线 Light" w:eastAsia="等线 Light" w:cs="Times New Roman"/>
      <w:b/>
      <w:bCs/>
      <w:kern w:val="2"/>
      <w:sz w:val="32"/>
      <w:szCs w:val="32"/>
    </w:rPr>
  </w:style>
  <w:style w:type="table" w:customStyle="1" w:styleId="46">
    <w:name w:val="网格型1"/>
    <w:basedOn w:val="1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8">
    <w:name w:val="投标正文小四"/>
    <w:basedOn w:val="1"/>
    <w:qFormat/>
    <w:uiPriority w:val="0"/>
    <w:pPr>
      <w:ind w:firstLine="200" w:firstLineChars="200"/>
    </w:pPr>
    <w:rPr>
      <w:rFonts w:ascii="Calibri" w:hAnsi="Calibri"/>
      <w:szCs w:val="22"/>
    </w:rPr>
  </w:style>
  <w:style w:type="paragraph" w:customStyle="1" w:styleId="49">
    <w:name w:val="标题1"/>
    <w:basedOn w:val="1"/>
    <w:next w:val="1"/>
    <w:qFormat/>
    <w:uiPriority w:val="0"/>
    <w:pPr>
      <w:numPr>
        <w:ilvl w:val="0"/>
        <w:numId w:val="2"/>
      </w:numPr>
      <w:snapToGrid/>
      <w:ind w:firstLine="0" w:firstLineChars="0"/>
      <w:jc w:val="left"/>
      <w:outlineLvl w:val="0"/>
    </w:pPr>
    <w:rPr>
      <w:b/>
      <w:sz w:val="32"/>
    </w:rPr>
  </w:style>
  <w:style w:type="paragraph" w:customStyle="1" w:styleId="50">
    <w:name w:val="标题2"/>
    <w:basedOn w:val="49"/>
    <w:next w:val="1"/>
    <w:qFormat/>
    <w:uiPriority w:val="0"/>
    <w:pPr>
      <w:numPr>
        <w:ilvl w:val="1"/>
      </w:numPr>
      <w:outlineLvl w:val="1"/>
    </w:pPr>
    <w:rPr>
      <w:rFonts w:ascii="宋体" w:hAnsi="宋体"/>
      <w:sz w:val="30"/>
      <w:szCs w:val="20"/>
    </w:rPr>
  </w:style>
  <w:style w:type="paragraph" w:customStyle="1" w:styleId="51">
    <w:name w:val="标题3"/>
    <w:basedOn w:val="50"/>
    <w:next w:val="1"/>
    <w:qFormat/>
    <w:uiPriority w:val="0"/>
    <w:pPr>
      <w:numPr>
        <w:ilvl w:val="2"/>
      </w:numPr>
      <w:outlineLvl w:val="2"/>
    </w:pPr>
    <w:rPr>
      <w:sz w:val="28"/>
    </w:rPr>
  </w:style>
  <w:style w:type="paragraph" w:customStyle="1" w:styleId="52">
    <w:name w:val="标题4"/>
    <w:basedOn w:val="51"/>
    <w:next w:val="1"/>
    <w:qFormat/>
    <w:uiPriority w:val="0"/>
    <w:pPr>
      <w:numPr>
        <w:ilvl w:val="3"/>
      </w:numPr>
      <w:outlineLvl w:val="3"/>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1</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2024-01-25T06:55:58Z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CE062A6250F34380BD24A960F6D31AAE</vt:lpwstr>
  </property>
</Properties>
</file>