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highlight w:val="none"/>
        </w:rPr>
      </w:pPr>
    </w:p>
    <w:p>
      <w:pPr>
        <w:adjustRightInd w:val="0"/>
        <w:snapToGrid w:val="0"/>
        <w:spacing w:line="360" w:lineRule="auto"/>
        <w:jc w:val="center"/>
        <w:rPr>
          <w:rFonts w:ascii="楷体" w:hAnsi="楷体" w:eastAsia="楷体" w:cs="楷体"/>
          <w:b/>
          <w:kern w:val="0"/>
          <w:sz w:val="32"/>
          <w:szCs w:val="32"/>
          <w:highlight w:val="none"/>
        </w:rPr>
      </w:pPr>
      <w:r>
        <w:rPr>
          <w:rFonts w:hint="eastAsia" w:ascii="方正小标宋简体" w:hAnsi="宋体" w:eastAsia="方正小标宋简体"/>
          <w:b/>
          <w:bCs/>
          <w:kern w:val="0"/>
          <w:sz w:val="52"/>
          <w:szCs w:val="52"/>
          <w:highlight w:val="none"/>
        </w:rPr>
        <w:t>茂名市人民医院公立医院绩效考核管理系统采购项目</w:t>
      </w:r>
    </w:p>
    <w:p>
      <w:pPr>
        <w:adjustRightInd w:val="0"/>
        <w:snapToGrid w:val="0"/>
        <w:spacing w:line="360" w:lineRule="auto"/>
        <w:jc w:val="center"/>
        <w:rPr>
          <w:rFonts w:ascii="仿宋_GB2312" w:hAnsi="宋体" w:eastAsia="仿宋_GB2312"/>
          <w:b/>
          <w:bCs/>
          <w:spacing w:val="20"/>
          <w:sz w:val="52"/>
          <w:szCs w:val="52"/>
          <w:highlight w:val="none"/>
        </w:rPr>
      </w:pPr>
    </w:p>
    <w:p>
      <w:pPr>
        <w:adjustRightInd w:val="0"/>
        <w:snapToGrid w:val="0"/>
        <w:spacing w:line="360" w:lineRule="auto"/>
        <w:jc w:val="center"/>
        <w:rPr>
          <w:rFonts w:hint="eastAsia" w:ascii="仿宋_GB2312" w:hAnsi="宋体" w:eastAsia="仿宋_GB2312"/>
          <w:b/>
          <w:bCs/>
          <w:spacing w:val="20"/>
          <w:sz w:val="52"/>
          <w:szCs w:val="52"/>
          <w:highlight w:val="none"/>
          <w:lang w:val="en-US" w:eastAsia="zh-CN"/>
        </w:rPr>
      </w:pPr>
      <w:r>
        <w:rPr>
          <w:rFonts w:hint="eastAsia" w:ascii="仿宋_GB2312" w:hAnsi="宋体" w:eastAsia="仿宋_GB2312"/>
          <w:b/>
          <w:bCs/>
          <w:spacing w:val="20"/>
          <w:sz w:val="52"/>
          <w:szCs w:val="52"/>
          <w:highlight w:val="none"/>
          <w:lang w:val="en-US" w:eastAsia="zh-CN"/>
        </w:rPr>
        <w:t>需</w:t>
      </w:r>
    </w:p>
    <w:p>
      <w:pPr>
        <w:adjustRightInd w:val="0"/>
        <w:snapToGrid w:val="0"/>
        <w:spacing w:line="360" w:lineRule="auto"/>
        <w:jc w:val="center"/>
        <w:rPr>
          <w:rFonts w:hint="default" w:ascii="仿宋_GB2312" w:hAnsi="宋体" w:eastAsia="仿宋_GB2312"/>
          <w:b/>
          <w:bCs/>
          <w:spacing w:val="20"/>
          <w:sz w:val="52"/>
          <w:szCs w:val="52"/>
          <w:highlight w:val="none"/>
          <w:lang w:val="en-US" w:eastAsia="zh-CN"/>
        </w:rPr>
      </w:pPr>
      <w:r>
        <w:rPr>
          <w:rFonts w:hint="eastAsia" w:ascii="仿宋_GB2312" w:hAnsi="宋体" w:eastAsia="仿宋_GB2312"/>
          <w:b/>
          <w:bCs/>
          <w:spacing w:val="20"/>
          <w:sz w:val="52"/>
          <w:szCs w:val="52"/>
          <w:highlight w:val="none"/>
          <w:lang w:val="en-US" w:eastAsia="zh-CN"/>
        </w:rPr>
        <w:t>求</w:t>
      </w:r>
    </w:p>
    <w:p>
      <w:pPr>
        <w:adjustRightInd w:val="0"/>
        <w:snapToGrid w:val="0"/>
        <w:spacing w:line="360" w:lineRule="auto"/>
        <w:jc w:val="center"/>
        <w:rPr>
          <w:rFonts w:ascii="仿宋_GB2312" w:hAnsi="宋体" w:eastAsia="仿宋_GB2312"/>
          <w:b/>
          <w:bCs/>
          <w:spacing w:val="20"/>
          <w:sz w:val="52"/>
          <w:szCs w:val="52"/>
          <w:highlight w:val="none"/>
        </w:rPr>
      </w:pPr>
      <w:r>
        <w:rPr>
          <w:rFonts w:hint="eastAsia" w:ascii="仿宋_GB2312" w:hAnsi="宋体" w:eastAsia="仿宋_GB2312"/>
          <w:b/>
          <w:bCs/>
          <w:spacing w:val="20"/>
          <w:sz w:val="52"/>
          <w:szCs w:val="52"/>
          <w:highlight w:val="none"/>
        </w:rPr>
        <w:t>征</w:t>
      </w:r>
    </w:p>
    <w:p>
      <w:pPr>
        <w:adjustRightInd w:val="0"/>
        <w:snapToGrid w:val="0"/>
        <w:spacing w:line="360" w:lineRule="auto"/>
        <w:jc w:val="center"/>
        <w:rPr>
          <w:rFonts w:ascii="仿宋_GB2312" w:hAnsi="宋体" w:eastAsia="仿宋_GB2312"/>
          <w:b/>
          <w:bCs/>
          <w:spacing w:val="20"/>
          <w:sz w:val="52"/>
          <w:szCs w:val="52"/>
          <w:highlight w:val="none"/>
        </w:rPr>
      </w:pPr>
      <w:r>
        <w:rPr>
          <w:rFonts w:hint="eastAsia" w:ascii="仿宋_GB2312" w:hAnsi="宋体" w:eastAsia="仿宋_GB2312"/>
          <w:b/>
          <w:bCs/>
          <w:spacing w:val="20"/>
          <w:sz w:val="52"/>
          <w:szCs w:val="52"/>
          <w:highlight w:val="none"/>
        </w:rPr>
        <w:t>集</w:t>
      </w:r>
    </w:p>
    <w:p>
      <w:pPr>
        <w:adjustRightInd w:val="0"/>
        <w:snapToGrid w:val="0"/>
        <w:spacing w:line="360" w:lineRule="auto"/>
        <w:jc w:val="center"/>
        <w:rPr>
          <w:rFonts w:ascii="仿宋_GB2312" w:hAnsi="宋体" w:eastAsia="仿宋_GB2312"/>
          <w:b/>
          <w:bCs/>
          <w:spacing w:val="20"/>
          <w:sz w:val="52"/>
          <w:szCs w:val="52"/>
          <w:highlight w:val="none"/>
        </w:rPr>
      </w:pPr>
      <w:r>
        <w:rPr>
          <w:rFonts w:hint="eastAsia" w:ascii="仿宋_GB2312" w:hAnsi="宋体" w:eastAsia="仿宋_GB2312"/>
          <w:b/>
          <w:bCs/>
          <w:spacing w:val="20"/>
          <w:sz w:val="52"/>
          <w:szCs w:val="52"/>
          <w:highlight w:val="none"/>
        </w:rPr>
        <w:t>文</w:t>
      </w:r>
    </w:p>
    <w:p>
      <w:pPr>
        <w:adjustRightInd w:val="0"/>
        <w:snapToGrid w:val="0"/>
        <w:spacing w:line="360" w:lineRule="auto"/>
        <w:jc w:val="center"/>
        <w:rPr>
          <w:rFonts w:ascii="仿宋_GB2312" w:hAnsi="宋体" w:eastAsia="仿宋_GB2312"/>
          <w:b/>
          <w:bCs/>
          <w:spacing w:val="20"/>
          <w:sz w:val="52"/>
          <w:szCs w:val="52"/>
          <w:highlight w:val="none"/>
        </w:rPr>
      </w:pPr>
      <w:r>
        <w:rPr>
          <w:rFonts w:hint="eastAsia" w:ascii="仿宋_GB2312" w:hAnsi="宋体" w:eastAsia="仿宋_GB2312"/>
          <w:b/>
          <w:bCs/>
          <w:spacing w:val="20"/>
          <w:sz w:val="52"/>
          <w:szCs w:val="52"/>
          <w:highlight w:val="none"/>
        </w:rPr>
        <w:t>件</w:t>
      </w:r>
    </w:p>
    <w:p>
      <w:pPr>
        <w:adjustRightInd w:val="0"/>
        <w:snapToGrid w:val="0"/>
        <w:spacing w:line="360" w:lineRule="auto"/>
        <w:jc w:val="center"/>
        <w:rPr>
          <w:rFonts w:ascii="仿宋_GB2312" w:hAnsi="宋体" w:eastAsia="仿宋_GB2312"/>
          <w:b/>
          <w:bCs/>
          <w:spacing w:val="20"/>
          <w:sz w:val="52"/>
          <w:szCs w:val="52"/>
          <w:highlight w:val="none"/>
        </w:rPr>
      </w:pPr>
    </w:p>
    <w:p>
      <w:pPr>
        <w:spacing w:line="360" w:lineRule="auto"/>
        <w:jc w:val="center"/>
        <w:rPr>
          <w:rFonts w:ascii="仿宋" w:hAnsi="仿宋" w:eastAsia="仿宋"/>
          <w:b/>
          <w:bCs/>
          <w:kern w:val="13"/>
          <w:sz w:val="36"/>
          <w:szCs w:val="36"/>
          <w:highlight w:val="none"/>
        </w:rPr>
      </w:pPr>
      <w:r>
        <w:rPr>
          <w:rFonts w:hint="eastAsia" w:ascii="仿宋" w:hAnsi="仿宋" w:eastAsia="仿宋"/>
          <w:b/>
          <w:bCs/>
          <w:kern w:val="13"/>
          <w:sz w:val="36"/>
          <w:szCs w:val="36"/>
          <w:highlight w:val="none"/>
        </w:rPr>
        <w:t>茂名市人民医院</w:t>
      </w:r>
    </w:p>
    <w:p>
      <w:pPr>
        <w:pStyle w:val="12"/>
        <w:tabs>
          <w:tab w:val="left" w:pos="1260"/>
        </w:tabs>
        <w:spacing w:line="680" w:lineRule="auto"/>
        <w:ind w:firstLine="0" w:firstLineChars="0"/>
        <w:jc w:val="center"/>
        <w:rPr>
          <w:rFonts w:ascii="仿宋" w:hAnsi="仿宋" w:eastAsia="仿宋" w:cs="仿宋"/>
          <w:b/>
          <w:w w:val="110"/>
          <w:sz w:val="36"/>
          <w:szCs w:val="36"/>
          <w:highlight w:val="none"/>
        </w:rPr>
      </w:pPr>
      <w:r>
        <w:rPr>
          <w:rFonts w:hint="eastAsia" w:ascii="仿宋" w:hAnsi="仿宋" w:eastAsia="仿宋" w:cs="仿宋"/>
          <w:b/>
          <w:w w:val="110"/>
          <w:sz w:val="36"/>
          <w:szCs w:val="36"/>
          <w:highlight w:val="none"/>
        </w:rPr>
        <w:t>202</w:t>
      </w:r>
      <w:r>
        <w:rPr>
          <w:rFonts w:hint="eastAsia" w:ascii="仿宋" w:hAnsi="仿宋" w:eastAsia="仿宋" w:cs="仿宋"/>
          <w:b/>
          <w:w w:val="110"/>
          <w:sz w:val="36"/>
          <w:szCs w:val="36"/>
          <w:highlight w:val="none"/>
          <w:lang w:val="en-US" w:eastAsia="zh-CN"/>
        </w:rPr>
        <w:t>4</w:t>
      </w:r>
      <w:r>
        <w:rPr>
          <w:rFonts w:hint="eastAsia" w:ascii="仿宋" w:hAnsi="仿宋" w:eastAsia="仿宋" w:cs="仿宋"/>
          <w:b/>
          <w:w w:val="110"/>
          <w:sz w:val="36"/>
          <w:szCs w:val="36"/>
          <w:highlight w:val="none"/>
        </w:rPr>
        <w:t>年</w:t>
      </w:r>
      <w:r>
        <w:rPr>
          <w:rFonts w:hint="eastAsia" w:ascii="仿宋" w:hAnsi="仿宋" w:eastAsia="仿宋" w:cs="仿宋"/>
          <w:b/>
          <w:w w:val="110"/>
          <w:sz w:val="36"/>
          <w:szCs w:val="36"/>
          <w:highlight w:val="none"/>
          <w:lang w:val="en-US" w:eastAsia="zh-CN"/>
        </w:rPr>
        <w:t>1</w:t>
      </w:r>
      <w:r>
        <w:rPr>
          <w:rFonts w:hint="eastAsia" w:ascii="仿宋" w:hAnsi="仿宋" w:eastAsia="仿宋" w:cs="仿宋"/>
          <w:b/>
          <w:w w:val="110"/>
          <w:sz w:val="36"/>
          <w:szCs w:val="36"/>
          <w:highlight w:val="none"/>
        </w:rPr>
        <w:t>月</w:t>
      </w:r>
    </w:p>
    <w:p>
      <w:pPr>
        <w:jc w:val="center"/>
        <w:rPr>
          <w:rFonts w:ascii="宋体" w:hAnsi="宋体" w:cs="宋体"/>
          <w:color w:val="000000"/>
          <w:kern w:val="0"/>
          <w:sz w:val="28"/>
          <w:szCs w:val="28"/>
          <w:highlight w:val="none"/>
        </w:rPr>
      </w:pPr>
      <w:r>
        <w:rPr>
          <w:rFonts w:ascii="宋体" w:hAnsi="宋体" w:cs="仿宋"/>
          <w:b/>
          <w:spacing w:val="100"/>
          <w:w w:val="110"/>
          <w:kern w:val="0"/>
          <w:sz w:val="44"/>
          <w:szCs w:val="44"/>
          <w:highlight w:val="none"/>
        </w:rPr>
        <w:br w:type="page"/>
      </w:r>
      <w:r>
        <w:rPr>
          <w:rFonts w:ascii="宋体" w:hAnsi="宋体" w:cs="宋体"/>
          <w:color w:val="000000"/>
          <w:kern w:val="0"/>
          <w:sz w:val="28"/>
          <w:highlight w:val="none"/>
        </w:rPr>
        <w:t>第一部分邀请函</w:t>
      </w:r>
    </w:p>
    <w:p>
      <w:pPr>
        <w:spacing w:line="360" w:lineRule="auto"/>
        <w:ind w:firstLine="440" w:firstLineChars="200"/>
        <w:rPr>
          <w:rFonts w:ascii="宋体" w:hAnsi="宋体" w:cs="宋体"/>
          <w:color w:val="000000"/>
          <w:kern w:val="0"/>
          <w:sz w:val="22"/>
          <w:highlight w:val="none"/>
        </w:rPr>
      </w:pPr>
      <w:r>
        <w:rPr>
          <w:rFonts w:hint="eastAsia" w:ascii="宋体" w:hAnsi="宋体" w:cs="宋体"/>
          <w:color w:val="000000"/>
          <w:kern w:val="0"/>
          <w:sz w:val="22"/>
          <w:highlight w:val="none"/>
        </w:rPr>
        <w:t>我院</w:t>
      </w:r>
      <w:r>
        <w:rPr>
          <w:rFonts w:hint="eastAsia" w:ascii="宋体" w:hAnsi="宋体" w:cs="宋体"/>
          <w:color w:val="000000"/>
          <w:kern w:val="0"/>
          <w:sz w:val="22"/>
          <w:highlight w:val="none"/>
          <w:lang w:val="en-US" w:eastAsia="zh-CN"/>
        </w:rPr>
        <w:t>现</w:t>
      </w:r>
      <w:r>
        <w:rPr>
          <w:rFonts w:hint="eastAsia" w:ascii="宋体" w:hAnsi="宋体" w:cs="宋体"/>
          <w:color w:val="000000"/>
          <w:kern w:val="0"/>
          <w:sz w:val="22"/>
          <w:highlight w:val="none"/>
        </w:rPr>
        <w:t>对</w:t>
      </w:r>
      <w:r>
        <w:rPr>
          <w:rFonts w:hint="eastAsia" w:ascii="宋体" w:hAnsi="宋体" w:cs="宋体"/>
          <w:b/>
          <w:color w:val="000000"/>
          <w:kern w:val="0"/>
          <w:sz w:val="22"/>
          <w:highlight w:val="none"/>
        </w:rPr>
        <w:t>茂名市人民医院公立医院绩效考核管理系统采购项目</w:t>
      </w:r>
      <w:r>
        <w:rPr>
          <w:rFonts w:ascii="宋体" w:hAnsi="宋体" w:cs="宋体"/>
          <w:color w:val="000000"/>
          <w:kern w:val="0"/>
          <w:sz w:val="22"/>
          <w:highlight w:val="none"/>
        </w:rPr>
        <w:t>进行</w:t>
      </w:r>
      <w:r>
        <w:rPr>
          <w:rFonts w:hint="eastAsia" w:ascii="宋体" w:hAnsi="宋体" w:cs="宋体"/>
          <w:color w:val="000000"/>
          <w:kern w:val="0"/>
          <w:sz w:val="22"/>
          <w:highlight w:val="none"/>
          <w:lang w:val="en-US" w:eastAsia="zh-CN"/>
        </w:rPr>
        <w:t>需求征集</w:t>
      </w:r>
      <w:r>
        <w:rPr>
          <w:rFonts w:ascii="宋体" w:hAnsi="宋体" w:cs="宋体"/>
          <w:color w:val="000000"/>
          <w:kern w:val="0"/>
          <w:sz w:val="22"/>
          <w:highlight w:val="none"/>
        </w:rPr>
        <w:t>，欢迎符合资格条件的供应商参加。</w:t>
      </w:r>
    </w:p>
    <w:p>
      <w:pPr>
        <w:numPr>
          <w:ilvl w:val="0"/>
          <w:numId w:val="5"/>
        </w:numPr>
        <w:spacing w:line="360" w:lineRule="auto"/>
        <w:rPr>
          <w:rFonts w:hint="eastAsia" w:ascii="宋体" w:hAnsi="宋体" w:cs="宋体"/>
          <w:b/>
          <w:color w:val="000000"/>
          <w:kern w:val="0"/>
          <w:sz w:val="22"/>
          <w:highlight w:val="none"/>
        </w:rPr>
      </w:pPr>
      <w:r>
        <w:rPr>
          <w:rFonts w:ascii="宋体" w:hAnsi="宋体" w:cs="宋体"/>
          <w:b/>
          <w:bCs/>
          <w:color w:val="000000"/>
          <w:kern w:val="0"/>
          <w:sz w:val="22"/>
          <w:highlight w:val="none"/>
        </w:rPr>
        <w:t>项目名称：</w:t>
      </w:r>
      <w:r>
        <w:rPr>
          <w:rFonts w:hint="eastAsia" w:ascii="宋体" w:hAnsi="宋体" w:cs="宋体"/>
          <w:b/>
          <w:color w:val="000000"/>
          <w:kern w:val="0"/>
          <w:sz w:val="22"/>
          <w:highlight w:val="none"/>
        </w:rPr>
        <w:t>茂名市人民医院公立医院绩效考核管理系统采购项目</w:t>
      </w:r>
    </w:p>
    <w:p>
      <w:pPr>
        <w:numPr>
          <w:ilvl w:val="0"/>
          <w:numId w:val="0"/>
        </w:numPr>
        <w:spacing w:line="360" w:lineRule="auto"/>
        <w:rPr>
          <w:rFonts w:ascii="宋体" w:hAnsi="宋体" w:cs="宋体"/>
          <w:b/>
          <w:bCs/>
          <w:color w:val="000000"/>
          <w:kern w:val="0"/>
          <w:sz w:val="22"/>
          <w:highlight w:val="none"/>
        </w:rPr>
      </w:pPr>
      <w:r>
        <w:rPr>
          <w:rFonts w:hint="eastAsia" w:ascii="宋体" w:hAnsi="宋体" w:cs="宋体"/>
          <w:b/>
          <w:bCs/>
          <w:color w:val="000000"/>
          <w:kern w:val="0"/>
          <w:sz w:val="22"/>
          <w:highlight w:val="none"/>
          <w:lang w:val="en-US" w:eastAsia="zh-CN"/>
        </w:rPr>
        <w:t>二</w:t>
      </w:r>
      <w:r>
        <w:rPr>
          <w:rFonts w:ascii="宋体" w:hAnsi="宋体" w:cs="宋体"/>
          <w:b/>
          <w:bCs/>
          <w:color w:val="000000"/>
          <w:kern w:val="0"/>
          <w:sz w:val="22"/>
          <w:highlight w:val="none"/>
        </w:rPr>
        <w:t>、项目内容及需求： (采购项目技术要求)</w:t>
      </w:r>
    </w:p>
    <w:p>
      <w:pPr>
        <w:spacing w:line="360" w:lineRule="auto"/>
        <w:rPr>
          <w:rFonts w:ascii="宋体" w:hAnsi="宋体" w:cs="宋体"/>
          <w:color w:val="000000"/>
          <w:kern w:val="0"/>
          <w:sz w:val="22"/>
          <w:highlight w:val="none"/>
        </w:rPr>
      </w:pPr>
      <w:r>
        <w:rPr>
          <w:rFonts w:ascii="宋体" w:hAnsi="宋体" w:cs="宋体"/>
          <w:color w:val="000000"/>
          <w:kern w:val="0"/>
          <w:sz w:val="22"/>
          <w:highlight w:val="none"/>
        </w:rPr>
        <w:t>1</w:t>
      </w:r>
      <w:r>
        <w:rPr>
          <w:rFonts w:hint="eastAsia" w:ascii="宋体" w:hAnsi="宋体" w:cs="宋体"/>
          <w:color w:val="000000"/>
          <w:kern w:val="0"/>
          <w:sz w:val="22"/>
          <w:highlight w:val="none"/>
        </w:rPr>
        <w:t>.</w:t>
      </w:r>
      <w:r>
        <w:rPr>
          <w:rFonts w:ascii="宋体" w:hAnsi="宋体" w:cs="宋体"/>
          <w:color w:val="000000"/>
          <w:kern w:val="0"/>
          <w:sz w:val="22"/>
          <w:highlight w:val="none"/>
        </w:rPr>
        <w:t>内容： 具体要求详见用户需求书；</w:t>
      </w:r>
    </w:p>
    <w:p>
      <w:pPr>
        <w:spacing w:line="360" w:lineRule="auto"/>
        <w:rPr>
          <w:rFonts w:ascii="宋体" w:hAnsi="宋体" w:cs="宋体"/>
          <w:color w:val="000000"/>
          <w:kern w:val="0"/>
          <w:sz w:val="22"/>
          <w:highlight w:val="none"/>
        </w:rPr>
      </w:pPr>
      <w:r>
        <w:rPr>
          <w:rFonts w:hint="eastAsia" w:ascii="宋体" w:hAnsi="宋体" w:cs="宋体"/>
          <w:color w:val="000000"/>
          <w:kern w:val="0"/>
          <w:sz w:val="22"/>
          <w:highlight w:val="none"/>
          <w:lang w:val="en-US" w:eastAsia="zh-CN"/>
        </w:rPr>
        <w:t>2</w:t>
      </w:r>
      <w:r>
        <w:rPr>
          <w:rFonts w:hint="eastAsia" w:ascii="宋体" w:hAnsi="宋体" w:cs="宋体"/>
          <w:color w:val="000000"/>
          <w:kern w:val="0"/>
          <w:sz w:val="22"/>
          <w:highlight w:val="none"/>
        </w:rPr>
        <w:t>.</w:t>
      </w:r>
      <w:r>
        <w:rPr>
          <w:rFonts w:hint="eastAsia" w:ascii="宋体" w:hAnsi="宋体" w:cs="宋体"/>
          <w:color w:val="000000"/>
          <w:kern w:val="0"/>
          <w:sz w:val="22"/>
          <w:highlight w:val="none"/>
          <w:lang w:val="en-US" w:eastAsia="zh-CN"/>
        </w:rPr>
        <w:t>项目</w:t>
      </w:r>
      <w:r>
        <w:rPr>
          <w:rFonts w:ascii="宋体" w:hAnsi="宋体" w:cs="宋体"/>
          <w:color w:val="000000"/>
          <w:kern w:val="0"/>
          <w:sz w:val="22"/>
          <w:highlight w:val="none"/>
        </w:rPr>
        <w:t>地点：</w:t>
      </w:r>
      <w:r>
        <w:rPr>
          <w:rFonts w:hint="eastAsia" w:ascii="宋体" w:hAnsi="宋体" w:cs="宋体"/>
          <w:color w:val="000000"/>
          <w:kern w:val="0"/>
          <w:sz w:val="22"/>
          <w:highlight w:val="none"/>
        </w:rPr>
        <w:t>茂名市人民</w:t>
      </w:r>
      <w:r>
        <w:rPr>
          <w:rFonts w:ascii="宋体" w:hAnsi="宋体" w:cs="宋体"/>
          <w:color w:val="000000"/>
          <w:kern w:val="0"/>
          <w:sz w:val="22"/>
          <w:highlight w:val="none"/>
        </w:rPr>
        <w:t>医院指定地点；</w:t>
      </w:r>
    </w:p>
    <w:p>
      <w:pPr>
        <w:spacing w:line="360" w:lineRule="auto"/>
        <w:rPr>
          <w:rFonts w:ascii="宋体" w:hAnsi="宋体" w:cs="宋体"/>
          <w:color w:val="000000"/>
          <w:kern w:val="0"/>
          <w:sz w:val="22"/>
          <w:highlight w:val="none"/>
        </w:rPr>
      </w:pPr>
      <w:r>
        <w:rPr>
          <w:rFonts w:hint="eastAsia" w:ascii="宋体" w:hAnsi="宋体" w:cs="宋体"/>
          <w:color w:val="000000"/>
          <w:kern w:val="0"/>
          <w:sz w:val="22"/>
          <w:highlight w:val="none"/>
          <w:lang w:val="en-US" w:eastAsia="zh-CN"/>
        </w:rPr>
        <w:t>3</w:t>
      </w:r>
      <w:r>
        <w:rPr>
          <w:rFonts w:hint="eastAsia" w:ascii="宋体" w:hAnsi="宋体" w:cs="宋体"/>
          <w:color w:val="000000"/>
          <w:kern w:val="0"/>
          <w:sz w:val="22"/>
          <w:highlight w:val="none"/>
        </w:rPr>
        <w:t>.</w:t>
      </w:r>
      <w:r>
        <w:rPr>
          <w:rFonts w:ascii="宋体" w:hAnsi="宋体" w:cs="宋体"/>
          <w:color w:val="000000"/>
          <w:kern w:val="0"/>
          <w:sz w:val="22"/>
          <w:highlight w:val="none"/>
        </w:rPr>
        <w:t>本项目不允许提交备选方案；</w:t>
      </w:r>
    </w:p>
    <w:p>
      <w:pPr>
        <w:spacing w:line="360" w:lineRule="auto"/>
        <w:rPr>
          <w:rFonts w:ascii="宋体" w:hAnsi="宋体" w:cs="宋体"/>
          <w:color w:val="000000"/>
          <w:kern w:val="0"/>
          <w:sz w:val="22"/>
          <w:highlight w:val="none"/>
        </w:rPr>
      </w:pPr>
      <w:r>
        <w:rPr>
          <w:rFonts w:hint="eastAsia" w:ascii="宋体" w:hAnsi="宋体" w:cs="宋体"/>
          <w:color w:val="000000"/>
          <w:kern w:val="0"/>
          <w:sz w:val="22"/>
          <w:highlight w:val="none"/>
          <w:lang w:val="en-US" w:eastAsia="zh-CN"/>
        </w:rPr>
        <w:t>4</w:t>
      </w:r>
      <w:r>
        <w:rPr>
          <w:rFonts w:hint="eastAsia" w:ascii="宋体" w:hAnsi="宋体" w:cs="宋体"/>
          <w:color w:val="000000"/>
          <w:kern w:val="0"/>
          <w:sz w:val="22"/>
          <w:highlight w:val="none"/>
        </w:rPr>
        <w:t>.本项目不接受联合体；</w:t>
      </w:r>
    </w:p>
    <w:p>
      <w:pPr>
        <w:spacing w:line="360" w:lineRule="auto"/>
        <w:rPr>
          <w:rFonts w:ascii="宋体" w:hAnsi="宋体" w:cs="宋体"/>
          <w:b/>
          <w:bCs/>
          <w:color w:val="000000"/>
          <w:kern w:val="0"/>
          <w:sz w:val="22"/>
          <w:highlight w:val="none"/>
        </w:rPr>
      </w:pPr>
      <w:r>
        <w:rPr>
          <w:rFonts w:hint="eastAsia" w:ascii="宋体" w:hAnsi="宋体" w:cs="宋体"/>
          <w:b/>
          <w:bCs/>
          <w:color w:val="000000"/>
          <w:kern w:val="0"/>
          <w:sz w:val="22"/>
          <w:highlight w:val="none"/>
          <w:lang w:val="en-US" w:eastAsia="zh-CN"/>
        </w:rPr>
        <w:t>三</w:t>
      </w:r>
      <w:r>
        <w:rPr>
          <w:rFonts w:ascii="宋体" w:hAnsi="宋体" w:cs="宋体"/>
          <w:b/>
          <w:bCs/>
          <w:color w:val="000000"/>
          <w:kern w:val="0"/>
          <w:sz w:val="22"/>
          <w:highlight w:val="none"/>
        </w:rPr>
        <w:t>、供应商资格</w:t>
      </w:r>
    </w:p>
    <w:p>
      <w:pPr>
        <w:spacing w:line="360" w:lineRule="auto"/>
        <w:rPr>
          <w:rFonts w:ascii="宋体" w:hAnsi="宋体" w:cs="宋体"/>
          <w:color w:val="000000"/>
          <w:kern w:val="0"/>
          <w:sz w:val="22"/>
          <w:highlight w:val="none"/>
        </w:rPr>
      </w:pPr>
      <w:r>
        <w:rPr>
          <w:rFonts w:hint="eastAsia" w:ascii="宋体" w:hAnsi="宋体" w:cs="宋体"/>
          <w:color w:val="000000"/>
          <w:kern w:val="0"/>
          <w:sz w:val="22"/>
          <w:highlight w:val="none"/>
        </w:rPr>
        <w:t>1</w:t>
      </w:r>
      <w:r>
        <w:rPr>
          <w:rFonts w:ascii="宋体" w:hAnsi="宋体" w:cs="宋体"/>
          <w:color w:val="000000"/>
          <w:kern w:val="0"/>
          <w:sz w:val="22"/>
          <w:highlight w:val="none"/>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highlight w:val="none"/>
        </w:rPr>
      </w:pPr>
      <w:r>
        <w:rPr>
          <w:rFonts w:hint="eastAsia" w:ascii="宋体" w:hAnsi="宋体" w:cs="宋体"/>
          <w:color w:val="000000"/>
          <w:kern w:val="0"/>
          <w:sz w:val="22"/>
          <w:highlight w:val="none"/>
        </w:rPr>
        <w:t>2</w:t>
      </w:r>
      <w:r>
        <w:rPr>
          <w:rFonts w:ascii="宋体" w:hAnsi="宋体" w:cs="宋体"/>
          <w:color w:val="000000"/>
          <w:kern w:val="0"/>
          <w:sz w:val="22"/>
          <w:highlight w:val="none"/>
        </w:rPr>
        <w:t>.</w:t>
      </w:r>
      <w:r>
        <w:rPr>
          <w:rFonts w:hint="eastAsia" w:ascii="宋体" w:hAnsi="宋体" w:cs="宋体"/>
          <w:color w:val="000000"/>
          <w:kern w:val="0"/>
          <w:sz w:val="22"/>
          <w:highlight w:val="none"/>
        </w:rPr>
        <w:t>具有履行合同所必需的设备和专业技术能力</w:t>
      </w:r>
      <w:r>
        <w:rPr>
          <w:rFonts w:hint="eastAsia" w:ascii="宋体" w:hAnsi="宋体" w:cs="宋体"/>
          <w:b/>
          <w:color w:val="000000"/>
          <w:kern w:val="0"/>
          <w:sz w:val="22"/>
          <w:highlight w:val="none"/>
          <w:u w:val="single"/>
        </w:rPr>
        <w:t>（提供声明函，格式自拟）</w:t>
      </w:r>
      <w:r>
        <w:rPr>
          <w:rFonts w:hint="eastAsia" w:ascii="宋体" w:hAnsi="宋体" w:cs="宋体"/>
          <w:color w:val="000000"/>
          <w:kern w:val="0"/>
          <w:sz w:val="22"/>
          <w:highlight w:val="none"/>
        </w:rPr>
        <w:t>；</w:t>
      </w:r>
    </w:p>
    <w:p>
      <w:pPr>
        <w:spacing w:line="360" w:lineRule="auto"/>
        <w:rPr>
          <w:rFonts w:ascii="宋体" w:hAnsi="宋体" w:cs="宋体"/>
          <w:color w:val="000000"/>
          <w:kern w:val="0"/>
          <w:sz w:val="22"/>
          <w:highlight w:val="none"/>
        </w:rPr>
      </w:pPr>
      <w:r>
        <w:rPr>
          <w:rFonts w:ascii="宋体" w:hAnsi="宋体" w:cs="宋体"/>
          <w:color w:val="000000"/>
          <w:kern w:val="0"/>
          <w:sz w:val="22"/>
          <w:highlight w:val="none"/>
        </w:rPr>
        <w:t>3.</w:t>
      </w:r>
      <w:r>
        <w:rPr>
          <w:rFonts w:hint="eastAsia" w:ascii="宋体" w:hAnsi="宋体" w:cs="宋体"/>
          <w:color w:val="000000"/>
          <w:kern w:val="0"/>
          <w:sz w:val="22"/>
          <w:highlight w:val="none"/>
        </w:rPr>
        <w:t>参加政府采购活动前三年内，在经营活动中没有重大违法记录</w:t>
      </w:r>
      <w:r>
        <w:rPr>
          <w:rFonts w:hint="eastAsia" w:ascii="宋体" w:hAnsi="宋体" w:cs="宋体"/>
          <w:b/>
          <w:color w:val="000000"/>
          <w:kern w:val="0"/>
          <w:sz w:val="22"/>
          <w:highlight w:val="none"/>
          <w:u w:val="single"/>
        </w:rPr>
        <w:t>（提供声明函，格式自拟）</w:t>
      </w:r>
      <w:r>
        <w:rPr>
          <w:rFonts w:hint="eastAsia" w:ascii="宋体" w:hAnsi="宋体" w:cs="宋体"/>
          <w:color w:val="000000"/>
          <w:kern w:val="0"/>
          <w:sz w:val="22"/>
          <w:highlight w:val="none"/>
        </w:rPr>
        <w:t>；</w:t>
      </w:r>
    </w:p>
    <w:p>
      <w:pPr>
        <w:spacing w:line="360" w:lineRule="auto"/>
        <w:rPr>
          <w:rFonts w:ascii="宋体" w:hAnsi="宋体" w:cs="宋体"/>
          <w:color w:val="000000"/>
          <w:kern w:val="0"/>
          <w:sz w:val="22"/>
          <w:highlight w:val="none"/>
        </w:rPr>
      </w:pPr>
      <w:r>
        <w:rPr>
          <w:rFonts w:ascii="宋体" w:hAnsi="宋体" w:cs="宋体"/>
          <w:color w:val="000000"/>
          <w:kern w:val="0"/>
          <w:sz w:val="22"/>
          <w:highlight w:val="none"/>
        </w:rPr>
        <w:t>4.</w:t>
      </w:r>
      <w:r>
        <w:rPr>
          <w:rFonts w:hint="eastAsia" w:ascii="宋体" w:hAnsi="宋体" w:cs="宋体"/>
          <w:color w:val="000000"/>
          <w:kern w:val="0"/>
          <w:sz w:val="22"/>
          <w:highlight w:val="none"/>
        </w:rPr>
        <w:t>未被列入“信用中国”网站</w:t>
      </w:r>
      <w:r>
        <w:rPr>
          <w:rFonts w:ascii="宋体" w:hAnsi="宋体" w:cs="宋体"/>
          <w:color w:val="000000"/>
          <w:kern w:val="0"/>
          <w:sz w:val="22"/>
          <w:highlight w:val="none"/>
          <w:u w:val="single"/>
        </w:rPr>
        <w:t>(www.creditchina.gov.cn)</w:t>
      </w:r>
      <w:r>
        <w:rPr>
          <w:rFonts w:hint="eastAsia" w:ascii="宋体" w:hAnsi="宋体" w:cs="宋体"/>
          <w:color w:val="000000"/>
          <w:kern w:val="0"/>
          <w:sz w:val="22"/>
          <w:highlight w:val="none"/>
        </w:rPr>
        <w:t>“记录失信被执行人或重大税收违法案件当事人名单或政府采购严重违法失信行为”记录名单；</w:t>
      </w:r>
      <w:r>
        <w:rPr>
          <w:rFonts w:ascii="宋体" w:hAnsi="宋体" w:cs="宋体"/>
          <w:color w:val="000000"/>
          <w:kern w:val="0"/>
          <w:sz w:val="22"/>
          <w:highlight w:val="none"/>
        </w:rPr>
        <w:t xml:space="preserve"> </w:t>
      </w:r>
    </w:p>
    <w:p>
      <w:pPr>
        <w:spacing w:line="360" w:lineRule="auto"/>
        <w:rPr>
          <w:rFonts w:ascii="宋体" w:hAnsi="宋体" w:cs="宋体"/>
          <w:color w:val="000000"/>
          <w:kern w:val="0"/>
          <w:sz w:val="22"/>
          <w:highlight w:val="none"/>
        </w:rPr>
      </w:pPr>
      <w:r>
        <w:rPr>
          <w:rFonts w:ascii="宋体" w:hAnsi="宋体" w:cs="宋体"/>
          <w:bCs/>
          <w:color w:val="000000"/>
          <w:kern w:val="0"/>
          <w:sz w:val="22"/>
          <w:highlight w:val="none"/>
        </w:rPr>
        <w:t>5.</w:t>
      </w:r>
      <w:r>
        <w:rPr>
          <w:rFonts w:hint="eastAsia" w:ascii="宋体" w:hAnsi="宋体" w:cs="宋体"/>
          <w:bCs/>
          <w:color w:val="000000"/>
          <w:kern w:val="0"/>
          <w:sz w:val="22"/>
          <w:highlight w:val="none"/>
        </w:rPr>
        <w:t>本项目不接受联合体投标。</w:t>
      </w:r>
    </w:p>
    <w:p>
      <w:pPr>
        <w:spacing w:line="360" w:lineRule="auto"/>
        <w:rPr>
          <w:rFonts w:hint="eastAsia" w:ascii="宋体" w:hAnsi="宋体" w:cs="宋体"/>
          <w:b/>
          <w:bCs/>
          <w:color w:val="000000"/>
          <w:kern w:val="0"/>
          <w:sz w:val="22"/>
          <w:highlight w:val="none"/>
        </w:rPr>
      </w:pPr>
      <w:r>
        <w:rPr>
          <w:rFonts w:hint="eastAsia" w:ascii="宋体" w:hAnsi="宋体" w:cs="宋体"/>
          <w:b/>
          <w:bCs/>
          <w:color w:val="000000"/>
          <w:kern w:val="0"/>
          <w:sz w:val="22"/>
          <w:highlight w:val="none"/>
          <w:lang w:val="en-US" w:eastAsia="zh-CN"/>
        </w:rPr>
        <w:t>四</w:t>
      </w:r>
      <w:r>
        <w:rPr>
          <w:rFonts w:ascii="宋体" w:hAnsi="宋体" w:cs="宋体"/>
          <w:b/>
          <w:bCs/>
          <w:color w:val="000000"/>
          <w:kern w:val="0"/>
          <w:sz w:val="22"/>
          <w:highlight w:val="none"/>
        </w:rPr>
        <w:t>、</w:t>
      </w:r>
      <w:r>
        <w:rPr>
          <w:rFonts w:hint="eastAsia" w:ascii="宋体" w:hAnsi="宋体" w:cs="宋体"/>
          <w:b/>
          <w:bCs/>
          <w:color w:val="000000"/>
          <w:kern w:val="0"/>
          <w:sz w:val="22"/>
          <w:highlight w:val="none"/>
        </w:rPr>
        <w:t>纸质资料接收要求</w:t>
      </w:r>
    </w:p>
    <w:p>
      <w:pPr>
        <w:spacing w:line="360" w:lineRule="auto"/>
        <w:rPr>
          <w:rFonts w:hint="eastAsia" w:ascii="宋体" w:hAnsi="宋体" w:cs="宋体"/>
          <w:b w:val="0"/>
          <w:bCs w:val="0"/>
          <w:color w:val="000000"/>
          <w:kern w:val="0"/>
          <w:sz w:val="22"/>
          <w:highlight w:val="none"/>
        </w:rPr>
      </w:pPr>
      <w:r>
        <w:rPr>
          <w:rFonts w:hint="eastAsia" w:ascii="宋体" w:hAnsi="宋体" w:cs="宋体"/>
          <w:b w:val="0"/>
          <w:bCs w:val="0"/>
          <w:color w:val="000000"/>
          <w:kern w:val="0"/>
          <w:sz w:val="22"/>
          <w:highlight w:val="none"/>
        </w:rPr>
        <w:t>1. 响应文件（样板详见需求征集文件）</w:t>
      </w:r>
    </w:p>
    <w:p>
      <w:pPr>
        <w:spacing w:line="360" w:lineRule="auto"/>
        <w:rPr>
          <w:rFonts w:hint="eastAsia" w:ascii="宋体" w:hAnsi="宋体" w:cs="宋体"/>
          <w:b w:val="0"/>
          <w:bCs w:val="0"/>
          <w:color w:val="000000"/>
          <w:kern w:val="0"/>
          <w:sz w:val="22"/>
          <w:highlight w:val="none"/>
        </w:rPr>
      </w:pPr>
      <w:r>
        <w:rPr>
          <w:rFonts w:hint="eastAsia" w:ascii="宋体" w:hAnsi="宋体" w:cs="宋体"/>
          <w:b w:val="0"/>
          <w:bCs w:val="0"/>
          <w:color w:val="000000"/>
          <w:kern w:val="0"/>
          <w:sz w:val="22"/>
          <w:highlight w:val="none"/>
        </w:rPr>
        <w:t>2. 提交时间：2023年</w:t>
      </w:r>
      <w:r>
        <w:rPr>
          <w:rFonts w:hint="eastAsia" w:ascii="宋体" w:hAnsi="宋体" w:cs="宋体"/>
          <w:b w:val="0"/>
          <w:bCs w:val="0"/>
          <w:color w:val="000000"/>
          <w:kern w:val="0"/>
          <w:sz w:val="22"/>
          <w:highlight w:val="none"/>
          <w:lang w:val="en-US" w:eastAsia="zh-CN"/>
        </w:rPr>
        <w:t>1</w:t>
      </w:r>
      <w:r>
        <w:rPr>
          <w:rFonts w:hint="eastAsia" w:ascii="宋体" w:hAnsi="宋体" w:cs="宋体"/>
          <w:b w:val="0"/>
          <w:bCs w:val="0"/>
          <w:color w:val="000000"/>
          <w:kern w:val="0"/>
          <w:sz w:val="22"/>
          <w:highlight w:val="none"/>
        </w:rPr>
        <w:t>月</w:t>
      </w:r>
      <w:r>
        <w:rPr>
          <w:rFonts w:hint="eastAsia" w:ascii="宋体" w:hAnsi="宋体" w:cs="宋体"/>
          <w:b w:val="0"/>
          <w:bCs w:val="0"/>
          <w:color w:val="000000"/>
          <w:kern w:val="0"/>
          <w:sz w:val="22"/>
          <w:highlight w:val="none"/>
          <w:lang w:val="en-US" w:eastAsia="zh-CN"/>
        </w:rPr>
        <w:t>22</w:t>
      </w:r>
      <w:r>
        <w:rPr>
          <w:rFonts w:hint="eastAsia" w:ascii="宋体" w:hAnsi="宋体" w:cs="宋体"/>
          <w:b w:val="0"/>
          <w:bCs w:val="0"/>
          <w:color w:val="000000"/>
          <w:kern w:val="0"/>
          <w:sz w:val="22"/>
          <w:highlight w:val="none"/>
        </w:rPr>
        <w:t>日下午17:30前。</w:t>
      </w:r>
    </w:p>
    <w:p>
      <w:pPr>
        <w:spacing w:line="360" w:lineRule="auto"/>
        <w:rPr>
          <w:rFonts w:hint="eastAsia" w:ascii="宋体" w:hAnsi="宋体" w:cs="宋体"/>
          <w:b w:val="0"/>
          <w:bCs w:val="0"/>
          <w:color w:val="000000"/>
          <w:kern w:val="0"/>
          <w:sz w:val="22"/>
          <w:highlight w:val="none"/>
          <w:lang w:eastAsia="zh-CN"/>
        </w:rPr>
      </w:pPr>
      <w:r>
        <w:rPr>
          <w:rFonts w:hint="eastAsia" w:ascii="宋体" w:hAnsi="宋体" w:cs="宋体"/>
          <w:b w:val="0"/>
          <w:bCs w:val="0"/>
          <w:color w:val="000000"/>
          <w:kern w:val="0"/>
          <w:sz w:val="22"/>
          <w:highlight w:val="none"/>
        </w:rPr>
        <w:t>3. 纸质资料（盖有公章）接收地点：茂名市为民路101号茂名市人民医院5号楼2楼招标采购办公室（</w:t>
      </w:r>
      <w:r>
        <w:rPr>
          <w:rFonts w:hint="eastAsia" w:ascii="宋体" w:hAnsi="宋体" w:cs="宋体"/>
          <w:b w:val="0"/>
          <w:bCs w:val="0"/>
          <w:color w:val="000000"/>
          <w:kern w:val="0"/>
          <w:sz w:val="22"/>
          <w:highlight w:val="none"/>
          <w:lang w:val="en-US" w:eastAsia="zh-CN"/>
        </w:rPr>
        <w:t>同时需提交一份可编辑的</w:t>
      </w:r>
      <w:r>
        <w:rPr>
          <w:rFonts w:hint="eastAsia" w:ascii="宋体" w:hAnsi="宋体" w:cs="宋体"/>
          <w:b w:val="0"/>
          <w:bCs w:val="0"/>
          <w:color w:val="000000"/>
          <w:kern w:val="0"/>
          <w:sz w:val="22"/>
          <w:highlight w:val="none"/>
        </w:rPr>
        <w:t>电子版资料，按指定时间发送到指定邮箱</w:t>
      </w:r>
      <w:r>
        <w:rPr>
          <w:rFonts w:hint="eastAsia" w:ascii="宋体" w:hAnsi="宋体" w:cs="宋体"/>
          <w:b w:val="0"/>
          <w:bCs w:val="0"/>
          <w:color w:val="000000"/>
          <w:kern w:val="0"/>
          <w:sz w:val="22"/>
          <w:highlight w:val="none"/>
          <w:lang w:eastAsia="zh-CN"/>
        </w:rPr>
        <w:t>，</w:t>
      </w:r>
      <w:r>
        <w:rPr>
          <w:rFonts w:hint="eastAsia" w:ascii="宋体" w:hAnsi="宋体" w:cs="宋体"/>
          <w:b w:val="0"/>
          <w:bCs w:val="0"/>
          <w:color w:val="000000"/>
          <w:kern w:val="0"/>
          <w:sz w:val="22"/>
          <w:highlight w:val="none"/>
          <w:lang w:val="en-US" w:eastAsia="zh-CN"/>
        </w:rPr>
        <w:t>以盖章版纸质资料为准</w:t>
      </w:r>
      <w:r>
        <w:rPr>
          <w:rFonts w:hint="eastAsia" w:ascii="宋体" w:hAnsi="宋体" w:cs="宋体"/>
          <w:b w:val="0"/>
          <w:bCs w:val="0"/>
          <w:color w:val="000000"/>
          <w:kern w:val="0"/>
          <w:sz w:val="22"/>
          <w:highlight w:val="none"/>
        </w:rPr>
        <w:t>）</w:t>
      </w:r>
      <w:r>
        <w:rPr>
          <w:rFonts w:hint="eastAsia" w:ascii="宋体" w:hAnsi="宋体" w:cs="宋体"/>
          <w:b w:val="0"/>
          <w:bCs w:val="0"/>
          <w:color w:val="000000"/>
          <w:kern w:val="0"/>
          <w:sz w:val="22"/>
          <w:highlight w:val="none"/>
          <w:lang w:eastAsia="zh-CN"/>
        </w:rPr>
        <w:t>。</w:t>
      </w:r>
    </w:p>
    <w:p>
      <w:pPr>
        <w:spacing w:line="360" w:lineRule="auto"/>
        <w:rPr>
          <w:rFonts w:hint="eastAsia" w:ascii="宋体" w:hAnsi="宋体" w:cs="宋体"/>
          <w:b w:val="0"/>
          <w:bCs w:val="0"/>
          <w:color w:val="000000"/>
          <w:kern w:val="0"/>
          <w:sz w:val="22"/>
          <w:highlight w:val="none"/>
          <w:lang w:val="en-US" w:eastAsia="zh-CN"/>
        </w:rPr>
      </w:pPr>
      <w:r>
        <w:rPr>
          <w:rFonts w:hint="eastAsia" w:ascii="宋体" w:hAnsi="宋体" w:cs="宋体"/>
          <w:b w:val="0"/>
          <w:bCs w:val="0"/>
          <w:color w:val="000000"/>
          <w:kern w:val="0"/>
          <w:sz w:val="22"/>
          <w:highlight w:val="none"/>
          <w:lang w:val="en-US" w:eastAsia="zh-CN"/>
        </w:rPr>
        <w:t>注：纸质版资料接受邮寄或现场递交。</w:t>
      </w:r>
    </w:p>
    <w:p>
      <w:pPr>
        <w:spacing w:line="360" w:lineRule="auto"/>
        <w:rPr>
          <w:rFonts w:hint="eastAsia" w:ascii="宋体" w:hAnsi="宋体" w:cs="宋体"/>
          <w:b/>
          <w:bCs/>
          <w:color w:val="000000"/>
          <w:kern w:val="0"/>
          <w:sz w:val="22"/>
          <w:highlight w:val="none"/>
        </w:rPr>
      </w:pPr>
      <w:r>
        <w:rPr>
          <w:rFonts w:hint="eastAsia" w:ascii="宋体" w:hAnsi="宋体" w:cs="宋体"/>
          <w:b/>
          <w:bCs/>
          <w:color w:val="000000"/>
          <w:kern w:val="0"/>
          <w:sz w:val="22"/>
          <w:highlight w:val="none"/>
        </w:rPr>
        <w:t>五、注意事项：</w:t>
      </w:r>
    </w:p>
    <w:p>
      <w:pPr>
        <w:spacing w:line="360" w:lineRule="auto"/>
        <w:rPr>
          <w:rFonts w:hint="eastAsia" w:ascii="宋体" w:hAnsi="宋体" w:cs="宋体"/>
          <w:b w:val="0"/>
          <w:bCs w:val="0"/>
          <w:color w:val="000000"/>
          <w:kern w:val="0"/>
          <w:sz w:val="22"/>
          <w:highlight w:val="none"/>
        </w:rPr>
      </w:pPr>
      <w:r>
        <w:rPr>
          <w:rFonts w:hint="eastAsia" w:ascii="宋体" w:hAnsi="宋体" w:cs="宋体"/>
          <w:b w:val="0"/>
          <w:bCs w:val="0"/>
          <w:color w:val="000000"/>
          <w:kern w:val="0"/>
          <w:sz w:val="22"/>
          <w:highlight w:val="none"/>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highlight w:val="none"/>
        </w:rPr>
      </w:pPr>
      <w:r>
        <w:rPr>
          <w:rFonts w:hint="eastAsia" w:ascii="宋体" w:hAnsi="宋体" w:cs="宋体"/>
          <w:b w:val="0"/>
          <w:bCs w:val="0"/>
          <w:color w:val="000000"/>
          <w:kern w:val="0"/>
          <w:sz w:val="22"/>
          <w:highlight w:val="none"/>
        </w:rPr>
        <w:t>2. 项目严禁各供应商进行恶意竞争或其它违规行为，一经查实，将进入供应商黑名单。</w:t>
      </w:r>
    </w:p>
    <w:p>
      <w:pPr>
        <w:spacing w:line="360" w:lineRule="auto"/>
        <w:rPr>
          <w:rFonts w:hint="eastAsia" w:ascii="宋体" w:hAnsi="宋体" w:cs="宋体"/>
          <w:b/>
          <w:bCs/>
          <w:color w:val="000000"/>
          <w:kern w:val="0"/>
          <w:sz w:val="22"/>
          <w:highlight w:val="none"/>
        </w:rPr>
      </w:pPr>
      <w:r>
        <w:rPr>
          <w:rFonts w:hint="eastAsia" w:ascii="宋体" w:hAnsi="宋体" w:cs="宋体"/>
          <w:b/>
          <w:bCs/>
          <w:color w:val="000000"/>
          <w:kern w:val="0"/>
          <w:sz w:val="22"/>
          <w:highlight w:val="none"/>
        </w:rPr>
        <w:t>六、联系方式</w:t>
      </w:r>
    </w:p>
    <w:p>
      <w:pPr>
        <w:spacing w:line="360" w:lineRule="auto"/>
        <w:rPr>
          <w:rFonts w:hint="default" w:ascii="宋体" w:hAnsi="宋体" w:eastAsia="宋体" w:cs="宋体"/>
          <w:b w:val="0"/>
          <w:bCs w:val="0"/>
          <w:color w:val="000000"/>
          <w:kern w:val="0"/>
          <w:sz w:val="22"/>
          <w:highlight w:val="none"/>
          <w:lang w:val="en-US" w:eastAsia="zh-CN"/>
        </w:rPr>
      </w:pPr>
      <w:r>
        <w:rPr>
          <w:rFonts w:hint="eastAsia" w:ascii="宋体" w:hAnsi="宋体" w:cs="宋体"/>
          <w:b w:val="0"/>
          <w:bCs w:val="0"/>
          <w:color w:val="000000"/>
          <w:kern w:val="0"/>
          <w:sz w:val="22"/>
          <w:highlight w:val="none"/>
        </w:rPr>
        <w:t>联系人：</w:t>
      </w:r>
      <w:r>
        <w:rPr>
          <w:rFonts w:hint="eastAsia" w:ascii="宋体" w:hAnsi="宋体" w:cs="宋体"/>
          <w:b w:val="0"/>
          <w:bCs w:val="0"/>
          <w:color w:val="000000"/>
          <w:kern w:val="0"/>
          <w:sz w:val="22"/>
          <w:highlight w:val="none"/>
          <w:lang w:val="en-US" w:eastAsia="zh-CN"/>
        </w:rPr>
        <w:t>邵先生</w:t>
      </w:r>
    </w:p>
    <w:p>
      <w:pPr>
        <w:spacing w:line="360" w:lineRule="auto"/>
        <w:rPr>
          <w:rFonts w:hint="eastAsia" w:ascii="宋体" w:hAnsi="宋体" w:cs="宋体"/>
          <w:b w:val="0"/>
          <w:bCs w:val="0"/>
          <w:color w:val="000000"/>
          <w:kern w:val="0"/>
          <w:sz w:val="22"/>
          <w:highlight w:val="none"/>
        </w:rPr>
      </w:pPr>
      <w:r>
        <w:rPr>
          <w:rFonts w:hint="eastAsia" w:ascii="宋体" w:hAnsi="宋体" w:cs="宋体"/>
          <w:b w:val="0"/>
          <w:bCs w:val="0"/>
          <w:color w:val="000000"/>
          <w:kern w:val="0"/>
          <w:sz w:val="22"/>
          <w:highlight w:val="none"/>
        </w:rPr>
        <w:t>联系电话：0668-2922921、0668-2922306</w:t>
      </w:r>
    </w:p>
    <w:p>
      <w:pPr>
        <w:spacing w:line="360" w:lineRule="auto"/>
        <w:rPr>
          <w:rFonts w:ascii="宋体" w:hAnsi="宋体" w:cs="宋体"/>
          <w:b w:val="0"/>
          <w:bCs w:val="0"/>
          <w:color w:val="000000"/>
          <w:kern w:val="0"/>
          <w:sz w:val="22"/>
          <w:highlight w:val="none"/>
        </w:rPr>
      </w:pPr>
      <w:r>
        <w:rPr>
          <w:rFonts w:hint="eastAsia" w:ascii="宋体" w:hAnsi="宋体" w:cs="宋体"/>
          <w:b w:val="0"/>
          <w:bCs w:val="0"/>
          <w:color w:val="000000"/>
          <w:kern w:val="0"/>
          <w:sz w:val="22"/>
          <w:highlight w:val="none"/>
        </w:rPr>
        <w:t>邮箱：</w:t>
      </w:r>
      <w:r>
        <w:rPr>
          <w:rFonts w:hint="eastAsia" w:ascii="宋体" w:hAnsi="宋体" w:cs="宋体"/>
          <w:color w:val="000000"/>
          <w:kern w:val="0"/>
          <w:sz w:val="22"/>
          <w:highlight w:val="none"/>
          <w:lang w:val="en-US" w:eastAsia="zh-CN"/>
        </w:rPr>
        <w:t>mmsrmyyzbb</w:t>
      </w:r>
      <w:r>
        <w:rPr>
          <w:rFonts w:hint="eastAsia" w:ascii="宋体" w:hAnsi="宋体" w:cs="宋体"/>
          <w:color w:val="000000"/>
          <w:kern w:val="0"/>
          <w:sz w:val="22"/>
          <w:highlight w:val="none"/>
        </w:rPr>
        <w:t>@</w:t>
      </w:r>
      <w:r>
        <w:rPr>
          <w:rFonts w:hint="eastAsia" w:ascii="宋体" w:hAnsi="宋体" w:cs="宋体"/>
          <w:color w:val="000000"/>
          <w:kern w:val="0"/>
          <w:sz w:val="22"/>
          <w:highlight w:val="none"/>
          <w:lang w:val="en-US" w:eastAsia="zh-CN"/>
        </w:rPr>
        <w:t>163</w:t>
      </w:r>
      <w:r>
        <w:rPr>
          <w:rFonts w:hint="eastAsia" w:ascii="宋体" w:hAnsi="宋体" w:cs="宋体"/>
          <w:color w:val="000000"/>
          <w:kern w:val="0"/>
          <w:sz w:val="22"/>
          <w:highlight w:val="none"/>
        </w:rPr>
        <w:t>.com</w:t>
      </w:r>
    </w:p>
    <w:p>
      <w:pPr>
        <w:pStyle w:val="12"/>
        <w:tabs>
          <w:tab w:val="left" w:pos="1260"/>
        </w:tabs>
        <w:spacing w:line="360" w:lineRule="auto"/>
        <w:ind w:firstLine="0" w:firstLineChars="0"/>
        <w:jc w:val="center"/>
        <w:rPr>
          <w:rFonts w:hint="eastAsia" w:hAnsi="宋体"/>
          <w:highlight w:val="none"/>
          <w:lang w:val="en-US" w:eastAsia="zh-CN"/>
        </w:rPr>
      </w:pPr>
      <w:r>
        <w:rPr>
          <w:rFonts w:hint="eastAsia" w:hAnsi="宋体"/>
          <w:highlight w:val="none"/>
          <w:lang w:val="en-US" w:eastAsia="zh-CN"/>
        </w:rPr>
        <w:t xml:space="preserve"> </w:t>
      </w:r>
    </w:p>
    <w:p>
      <w:pPr>
        <w:pStyle w:val="12"/>
        <w:tabs>
          <w:tab w:val="left" w:pos="1260"/>
        </w:tabs>
        <w:spacing w:line="360" w:lineRule="auto"/>
        <w:ind w:firstLine="0" w:firstLineChars="0"/>
        <w:jc w:val="center"/>
        <w:rPr>
          <w:rFonts w:hint="eastAsia" w:hAnsi="宋体"/>
          <w:highlight w:val="none"/>
          <w:lang w:val="en-US" w:eastAsia="zh-CN"/>
        </w:rPr>
      </w:pPr>
    </w:p>
    <w:p>
      <w:pPr>
        <w:pStyle w:val="12"/>
        <w:tabs>
          <w:tab w:val="left" w:pos="1260"/>
        </w:tabs>
        <w:spacing w:line="360" w:lineRule="auto"/>
        <w:ind w:firstLine="0" w:firstLineChars="0"/>
        <w:jc w:val="center"/>
        <w:rPr>
          <w:rFonts w:hAnsi="宋体"/>
          <w:highlight w:val="none"/>
          <w:lang w:val="en-US"/>
        </w:rPr>
      </w:pPr>
      <w:r>
        <w:rPr>
          <w:rFonts w:hint="eastAsia" w:hAnsi="宋体"/>
          <w:highlight w:val="none"/>
          <w:lang w:val="en-US" w:eastAsia="zh-CN"/>
        </w:rPr>
        <w:t xml:space="preserve"> </w:t>
      </w:r>
      <w:r>
        <w:rPr>
          <w:rFonts w:hAnsi="宋体"/>
          <w:highlight w:val="none"/>
          <w:lang w:val="en-US" w:eastAsia="zh-CN"/>
        </w:rPr>
        <w:t xml:space="preserve">                                    </w:t>
      </w:r>
      <w:r>
        <w:rPr>
          <w:rFonts w:hint="eastAsia" w:hAnsi="宋体"/>
          <w:highlight w:val="none"/>
          <w:lang w:val="en-US"/>
        </w:rPr>
        <w:t>茂名市人民医院</w:t>
      </w:r>
    </w:p>
    <w:p>
      <w:pPr>
        <w:pStyle w:val="12"/>
        <w:tabs>
          <w:tab w:val="left" w:pos="1260"/>
        </w:tabs>
        <w:spacing w:line="360" w:lineRule="auto"/>
        <w:ind w:firstLine="0" w:firstLineChars="0"/>
        <w:jc w:val="center"/>
        <w:rPr>
          <w:rFonts w:hAnsi="宋体"/>
          <w:highlight w:val="none"/>
          <w:lang w:val="en-US"/>
        </w:rPr>
      </w:pPr>
      <w:r>
        <w:rPr>
          <w:rFonts w:hAnsi="宋体"/>
          <w:highlight w:val="none"/>
          <w:lang w:val="en-US"/>
        </w:rPr>
        <w:t xml:space="preserve">                                      202</w:t>
      </w:r>
      <w:r>
        <w:rPr>
          <w:rFonts w:hint="eastAsia" w:hAnsi="宋体"/>
          <w:highlight w:val="none"/>
          <w:lang w:val="en-US" w:eastAsia="zh-CN"/>
        </w:rPr>
        <w:t>4</w:t>
      </w:r>
      <w:r>
        <w:rPr>
          <w:rFonts w:hint="eastAsia" w:hAnsi="宋体"/>
          <w:highlight w:val="none"/>
          <w:lang w:val="en-US"/>
        </w:rPr>
        <w:t>年</w:t>
      </w:r>
      <w:r>
        <w:rPr>
          <w:rFonts w:hint="eastAsia" w:hAnsi="宋体"/>
          <w:highlight w:val="none"/>
          <w:lang w:val="en-US" w:eastAsia="zh-CN"/>
        </w:rPr>
        <w:t>1</w:t>
      </w:r>
      <w:r>
        <w:rPr>
          <w:rFonts w:hint="eastAsia" w:hAnsi="宋体"/>
          <w:highlight w:val="none"/>
          <w:lang w:val="en-US"/>
        </w:rPr>
        <w:t>月</w:t>
      </w:r>
      <w:r>
        <w:rPr>
          <w:rFonts w:hint="eastAsia" w:hAnsi="宋体"/>
          <w:highlight w:val="none"/>
          <w:lang w:val="en-US" w:eastAsia="zh-CN"/>
        </w:rPr>
        <w:t>15</w:t>
      </w:r>
      <w:bookmarkStart w:id="186" w:name="_GoBack"/>
      <w:bookmarkEnd w:id="186"/>
      <w:r>
        <w:rPr>
          <w:rFonts w:hint="eastAsia" w:hAnsi="宋体"/>
          <w:highlight w:val="none"/>
          <w:lang w:val="en-US"/>
        </w:rPr>
        <w:t>日</w:t>
      </w:r>
    </w:p>
    <w:p>
      <w:pPr>
        <w:pStyle w:val="12"/>
        <w:tabs>
          <w:tab w:val="left" w:pos="1260"/>
        </w:tabs>
        <w:spacing w:line="360" w:lineRule="auto"/>
        <w:ind w:firstLine="0" w:firstLineChars="0"/>
        <w:jc w:val="center"/>
        <w:rPr>
          <w:rFonts w:hAnsi="宋体" w:cs="仿宋"/>
          <w:b/>
          <w:spacing w:val="100"/>
          <w:w w:val="110"/>
          <w:sz w:val="44"/>
          <w:szCs w:val="44"/>
          <w:highlight w:val="none"/>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用户需求书</w:t>
      </w:r>
    </w:p>
    <w:p>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《用户需求书》中标注有“★”号的条款必须实质性响应，需要逐条响应，负偏离（不满足要求）将导致投标无效。</w:t>
      </w:r>
    </w:p>
    <w:p>
      <w:pPr>
        <w:spacing w:before="91" w:line="360" w:lineRule="auto"/>
        <w:ind w:left="30" w:firstLine="615" w:firstLineChars="200"/>
        <w:outlineLvl w:val="0"/>
        <w:rPr>
          <w:rFonts w:hint="eastAsia" w:ascii="仿宋" w:hAnsi="仿宋" w:eastAsia="仿宋" w:cs="仿宋"/>
          <w:b/>
          <w:bCs/>
          <w:spacing w:val="6"/>
          <w:sz w:val="21"/>
          <w:szCs w:val="21"/>
          <w:highlight w:val="none"/>
        </w:rPr>
      </w:pPr>
      <w:r>
        <w:rPr>
          <w:rFonts w:hint="eastAsia" w:ascii="宋体" w:hAnsi="宋体" w:eastAsia="宋体" w:cs="宋体"/>
          <w:b/>
          <w:bCs/>
          <w:snapToGrid w:val="0"/>
          <w:color w:val="000000"/>
          <w:spacing w:val="-7"/>
          <w:kern w:val="0"/>
          <w:sz w:val="32"/>
          <w:szCs w:val="32"/>
          <w:highlight w:val="none"/>
          <w:lang w:val="en-US" w:eastAsia="zh-CN"/>
        </w:rPr>
        <w:t>一、</w:t>
      </w:r>
      <w:r>
        <w:rPr>
          <w:rFonts w:hint="eastAsia" w:ascii="仿宋" w:hAnsi="仿宋" w:eastAsia="仿宋" w:cs="仿宋"/>
          <w:b/>
          <w:bCs/>
          <w:spacing w:val="6"/>
          <w:sz w:val="32"/>
          <w:szCs w:val="32"/>
          <w:highlight w:val="none"/>
        </w:rPr>
        <w:t>项目建设的目标</w:t>
      </w:r>
    </w:p>
    <w:p>
      <w:pPr>
        <w:spacing w:line="360" w:lineRule="auto"/>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对标国家三级公立医院绩效考核标准要求，打通公立医院的数据资源瓶颈，定位公立医院国考及常态化运营管理中的痛点，通过标准的数据接口自动采集填报和</w:t>
      </w:r>
      <w:r>
        <w:rPr>
          <w:rFonts w:hint="eastAsia" w:ascii="仿宋" w:hAnsi="仿宋" w:eastAsia="仿宋" w:cs="仿宋"/>
          <w:spacing w:val="-1"/>
          <w:sz w:val="21"/>
          <w:szCs w:val="21"/>
          <w:highlight w:val="none"/>
        </w:rPr>
        <w:t>全过程病案质控</w:t>
      </w:r>
      <w:r>
        <w:rPr>
          <w:rFonts w:hint="eastAsia" w:ascii="仿宋" w:hAnsi="仿宋" w:eastAsia="仿宋" w:cs="仿宋"/>
          <w:sz w:val="21"/>
          <w:szCs w:val="21"/>
          <w:highlight w:val="none"/>
        </w:rPr>
        <w:t>，应用大数据、AI算法等技术，搭建适合国考运营体系和院情运营的常态化内控体系，助力医院不同用户角色实现精细化、科学化决策管理。</w:t>
      </w:r>
    </w:p>
    <w:p>
      <w:pPr>
        <w:numPr>
          <w:ilvl w:val="0"/>
          <w:numId w:val="6"/>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为执行层实现数据实时反馈、病案首页质控、过程监控预警。</w:t>
      </w:r>
    </w:p>
    <w:p>
      <w:pPr>
        <w:numPr>
          <w:ilvl w:val="0"/>
          <w:numId w:val="6"/>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为管理层实现数据分析预测、目标分解改进、整改督办闭环。</w:t>
      </w:r>
    </w:p>
    <w:p>
      <w:pPr>
        <w:numPr>
          <w:ilvl w:val="0"/>
          <w:numId w:val="6"/>
        </w:numPr>
        <w:spacing w:line="360" w:lineRule="auto"/>
        <w:rPr>
          <w:rFonts w:ascii="仿宋" w:hAnsi="仿宋" w:eastAsia="仿宋" w:cs="仿宋"/>
          <w:sz w:val="32"/>
          <w:szCs w:val="32"/>
          <w:highlight w:val="none"/>
        </w:rPr>
      </w:pPr>
      <w:r>
        <w:rPr>
          <w:rFonts w:hint="eastAsia" w:ascii="仿宋" w:hAnsi="仿宋" w:eastAsia="仿宋" w:cs="仿宋"/>
          <w:sz w:val="21"/>
          <w:szCs w:val="21"/>
          <w:highlight w:val="none"/>
        </w:rPr>
        <w:t>为决策层实现国考模拟考核、运营体检报告、外部数据名录和知识库的运营决策支持。</w:t>
      </w:r>
    </w:p>
    <w:p>
      <w:pPr>
        <w:rPr>
          <w:rFonts w:hint="eastAsia"/>
          <w:highlight w:val="none"/>
        </w:rPr>
      </w:pPr>
    </w:p>
    <w:p>
      <w:pPr>
        <w:spacing w:before="91" w:line="360" w:lineRule="auto"/>
        <w:outlineLvl w:val="0"/>
        <w:rPr>
          <w:rFonts w:hint="eastAsia" w:ascii="仿宋" w:hAnsi="仿宋" w:eastAsia="仿宋" w:cs="仿宋"/>
          <w:b/>
          <w:bCs/>
          <w:spacing w:val="6"/>
          <w:sz w:val="32"/>
          <w:szCs w:val="32"/>
          <w:highlight w:val="none"/>
        </w:rPr>
      </w:pPr>
      <w:r>
        <w:rPr>
          <w:rFonts w:hint="eastAsia" w:ascii="仿宋" w:hAnsi="仿宋" w:eastAsia="仿宋" w:cs="仿宋"/>
          <w:b/>
          <w:bCs/>
          <w:spacing w:val="6"/>
          <w:sz w:val="32"/>
          <w:szCs w:val="32"/>
          <w:highlight w:val="none"/>
          <w:lang w:val="en-US" w:eastAsia="zh-CN"/>
        </w:rPr>
        <w:t>二</w:t>
      </w:r>
      <w:r>
        <w:rPr>
          <w:rFonts w:hint="eastAsia" w:ascii="仿宋" w:hAnsi="仿宋" w:eastAsia="仿宋" w:cs="仿宋"/>
          <w:b/>
          <w:bCs/>
          <w:spacing w:val="6"/>
          <w:sz w:val="32"/>
          <w:szCs w:val="32"/>
          <w:highlight w:val="none"/>
        </w:rPr>
        <w:t>、项目建设的内容</w:t>
      </w:r>
    </w:p>
    <w:p>
      <w:pPr>
        <w:pStyle w:val="63"/>
        <w:numPr>
          <w:ilvl w:val="0"/>
          <w:numId w:val="4"/>
        </w:numPr>
        <w:ind w:left="845"/>
        <w:rPr>
          <w:rFonts w:cs="仿宋"/>
          <w:sz w:val="21"/>
          <w:szCs w:val="21"/>
          <w:highlight w:val="none"/>
        </w:rPr>
      </w:pPr>
      <w:bookmarkStart w:id="0" w:name="_Toc28197"/>
      <w:bookmarkStart w:id="1" w:name="_Toc14326"/>
      <w:r>
        <w:rPr>
          <w:rFonts w:hint="eastAsia" w:cs="仿宋"/>
          <w:sz w:val="21"/>
          <w:szCs w:val="21"/>
          <w:highlight w:val="none"/>
        </w:rPr>
        <w:t>功能模块表</w:t>
      </w:r>
      <w:bookmarkEnd w:id="0"/>
      <w:bookmarkEnd w:id="1"/>
    </w:p>
    <w:tbl>
      <w:tblPr>
        <w:tblStyle w:val="2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6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19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一级模块</w:t>
            </w:r>
          </w:p>
        </w:tc>
        <w:tc>
          <w:tcPr>
            <w:tcW w:w="684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二级模块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管理数字视图</w:t>
            </w:r>
          </w:p>
        </w:tc>
        <w:tc>
          <w:tcPr>
            <w:tcW w:w="684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院长、科主任、管理中层等运营角色的数据视图开放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19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病案首页质控</w:t>
            </w:r>
          </w:p>
        </w:tc>
        <w:tc>
          <w:tcPr>
            <w:tcW w:w="684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医生端、终末端病案首页质控评分，住院病案首页编目实时质控，术后并发症病案首页质控，对标省病案编码规则逻辑质控，定制化可视质控分析报告，对接DIP识别医保灰码与手术库，对接DRGs筛选未入组病例及未入组原因分析，病案2/3/5 天归档率数据专题分析，低风险死亡病历编码质控及分析，质控规则知识库，病案首页上报及验证，病案首页质量分析报告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自动采集整合</w:t>
            </w:r>
          </w:p>
        </w:tc>
        <w:tc>
          <w:tcPr>
            <w:tcW w:w="684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数据自动抓取填报，HQMS数据反馈，动态预警监测，绩效考核上报表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9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ascii="仿宋" w:hAnsi="仿宋" w:eastAsia="仿宋" w:cs="仿宋"/>
                <w:sz w:val="21"/>
                <w:szCs w:val="21"/>
                <w:highlight w:val="none"/>
              </w:rPr>
            </w:pPr>
            <w:r>
              <w:rPr>
                <w:rFonts w:hint="eastAsia" w:ascii="仿宋" w:hAnsi="仿宋" w:eastAsia="仿宋" w:cs="仿宋"/>
                <w:color w:val="000000"/>
                <w:sz w:val="21"/>
                <w:szCs w:val="21"/>
                <w:highlight w:val="none"/>
              </w:rPr>
              <w:t>指标看板管理</w:t>
            </w:r>
          </w:p>
        </w:tc>
        <w:tc>
          <w:tcPr>
            <w:tcW w:w="684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rPr>
                <w:rFonts w:ascii="仿宋" w:hAnsi="仿宋" w:eastAsia="仿宋" w:cs="仿宋"/>
                <w:sz w:val="21"/>
                <w:szCs w:val="21"/>
                <w:highlight w:val="none"/>
              </w:rPr>
            </w:pPr>
            <w:r>
              <w:rPr>
                <w:rFonts w:hint="eastAsia" w:ascii="仿宋" w:hAnsi="仿宋" w:eastAsia="仿宋" w:cs="仿宋"/>
                <w:color w:val="000000"/>
                <w:sz w:val="21"/>
                <w:szCs w:val="21"/>
                <w:highlight w:val="none"/>
              </w:rPr>
              <w:t>实时统一指标平台，配置国考体系、省考体系、实时内控体系，科室精细化考核，多口径多条件数据源管理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9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智能诊断报告</w:t>
            </w:r>
          </w:p>
        </w:tc>
        <w:tc>
          <w:tcPr>
            <w:tcW w:w="684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模拟考核，医院体检报告，手术日报、国考月报，内控管理月报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19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运营管理工具</w:t>
            </w:r>
          </w:p>
        </w:tc>
        <w:tc>
          <w:tcPr>
            <w:tcW w:w="684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专科分析矩阵，督办流程闭环，目标分解跟踪，目标改进方案，单病种专题，DIP/DRG专题，抗菌药物专题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9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ascii="仿宋" w:hAnsi="仿宋" w:eastAsia="仿宋" w:cs="仿宋"/>
                <w:sz w:val="21"/>
                <w:szCs w:val="21"/>
                <w:highlight w:val="none"/>
              </w:rPr>
            </w:pPr>
            <w:r>
              <w:rPr>
                <w:rFonts w:hint="eastAsia" w:ascii="仿宋" w:hAnsi="仿宋" w:eastAsia="仿宋" w:cs="仿宋"/>
                <w:color w:val="000000"/>
                <w:sz w:val="21"/>
                <w:szCs w:val="21"/>
                <w:highlight w:val="none"/>
              </w:rPr>
              <w:t>指标建模管理</w:t>
            </w:r>
          </w:p>
        </w:tc>
        <w:tc>
          <w:tcPr>
            <w:tcW w:w="684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rPr>
                <w:rFonts w:ascii="仿宋" w:hAnsi="仿宋" w:eastAsia="仿宋" w:cs="仿宋"/>
                <w:sz w:val="21"/>
                <w:szCs w:val="21"/>
                <w:highlight w:val="none"/>
              </w:rPr>
            </w:pPr>
            <w:r>
              <w:rPr>
                <w:rFonts w:hint="eastAsia" w:ascii="仿宋" w:hAnsi="仿宋" w:eastAsia="仿宋" w:cs="仿宋"/>
                <w:color w:val="000000"/>
                <w:sz w:val="21"/>
                <w:szCs w:val="21"/>
                <w:highlight w:val="none"/>
              </w:rPr>
              <w:t>考核体系、指标池管理，因子库管理，数据源配置，考核规则管理，字典目录管理，动态表管理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9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知识门户</w:t>
            </w:r>
          </w:p>
        </w:tc>
        <w:tc>
          <w:tcPr>
            <w:tcW w:w="684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外部医院数据包，指标解读数据包，政策文件包，运营资讯包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9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医生数字画像</w:t>
            </w:r>
          </w:p>
        </w:tc>
        <w:tc>
          <w:tcPr>
            <w:tcW w:w="684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医生个人工作报告H5推送，内容包括诊疗报告、科研报告、教学报告等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198"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ascii="仿宋" w:hAnsi="仿宋" w:eastAsia="仿宋" w:cs="仿宋"/>
                <w:sz w:val="21"/>
                <w:szCs w:val="21"/>
                <w:highlight w:val="none"/>
              </w:rPr>
            </w:pPr>
            <w:r>
              <w:rPr>
                <w:rFonts w:hint="eastAsia" w:ascii="仿宋" w:hAnsi="仿宋" w:eastAsia="仿宋" w:cs="仿宋"/>
                <w:color w:val="000000"/>
                <w:sz w:val="21"/>
                <w:szCs w:val="21"/>
                <w:highlight w:val="none"/>
              </w:rPr>
              <w:t>系统管理</w:t>
            </w:r>
          </w:p>
        </w:tc>
        <w:tc>
          <w:tcPr>
            <w:tcW w:w="6841"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rPr>
                <w:rFonts w:ascii="仿宋" w:hAnsi="仿宋" w:eastAsia="仿宋" w:cs="仿宋"/>
                <w:sz w:val="21"/>
                <w:szCs w:val="21"/>
                <w:highlight w:val="none"/>
              </w:rPr>
            </w:pPr>
            <w:r>
              <w:rPr>
                <w:rFonts w:hint="eastAsia" w:ascii="仿宋" w:hAnsi="仿宋" w:eastAsia="仿宋" w:cs="仿宋"/>
                <w:color w:val="000000"/>
                <w:sz w:val="21"/>
                <w:szCs w:val="21"/>
                <w:highlight w:val="none"/>
              </w:rPr>
              <w:t>用户管理，角色管理，权限管理，菜单管理，日志管理，科室树字典，配置管理</w:t>
            </w:r>
          </w:p>
        </w:tc>
      </w:tr>
    </w:tbl>
    <w:p>
      <w:pPr>
        <w:pStyle w:val="63"/>
        <w:numPr>
          <w:ilvl w:val="0"/>
          <w:numId w:val="4"/>
        </w:numPr>
        <w:ind w:left="845"/>
        <w:rPr>
          <w:rFonts w:hint="eastAsia" w:cs="仿宋"/>
          <w:sz w:val="21"/>
          <w:szCs w:val="21"/>
          <w:highlight w:val="none"/>
        </w:rPr>
      </w:pPr>
      <w:r>
        <w:rPr>
          <w:rFonts w:hint="eastAsia" w:cs="仿宋"/>
          <w:sz w:val="21"/>
          <w:szCs w:val="21"/>
          <w:highlight w:val="none"/>
        </w:rPr>
        <w:t>管理数字视图</w:t>
      </w:r>
    </w:p>
    <w:p>
      <w:pPr>
        <w:numPr>
          <w:ilvl w:val="0"/>
          <w:numId w:val="7"/>
        </w:numPr>
        <w:spacing w:line="360" w:lineRule="auto"/>
        <w:outlineLvl w:val="2"/>
        <w:rPr>
          <w:rFonts w:ascii="仿宋" w:hAnsi="仿宋" w:eastAsia="仿宋" w:cs="仿宋"/>
          <w:b/>
          <w:bCs/>
          <w:sz w:val="21"/>
          <w:szCs w:val="21"/>
          <w:highlight w:val="none"/>
        </w:rPr>
      </w:pPr>
      <w:bookmarkStart w:id="2" w:name="_Toc8835"/>
      <w:bookmarkStart w:id="3" w:name="_Toc10472"/>
      <w:r>
        <w:rPr>
          <w:rFonts w:hint="eastAsia" w:ascii="仿宋" w:hAnsi="仿宋" w:eastAsia="仿宋" w:cs="仿宋"/>
          <w:b/>
          <w:bCs/>
          <w:sz w:val="21"/>
          <w:szCs w:val="21"/>
          <w:highlight w:val="none"/>
        </w:rPr>
        <w:t>运营决策视图</w:t>
      </w:r>
      <w:bookmarkEnd w:id="2"/>
      <w:bookmarkEnd w:id="3"/>
    </w:p>
    <w:p>
      <w:pPr>
        <w:spacing w:line="360" w:lineRule="auto"/>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提供重点关注的运营指标和模拟成绩实时反馈的数据报告支持。有以下部分：</w:t>
      </w:r>
    </w:p>
    <w:p>
      <w:pPr>
        <w:numPr>
          <w:ilvl w:val="0"/>
          <w:numId w:val="8"/>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模拟考核成绩：支持实时查看当前国考模拟考核分数及相应的成绩单。</w:t>
      </w:r>
    </w:p>
    <w:p>
      <w:pPr>
        <w:numPr>
          <w:ilvl w:val="0"/>
          <w:numId w:val="8"/>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综合能力分析：支持历史成绩和模拟考核成绩分析，统计过去五年内的四个维度得分率以及综合总分的情况。</w:t>
      </w:r>
    </w:p>
    <w:p>
      <w:pPr>
        <w:numPr>
          <w:ilvl w:val="0"/>
          <w:numId w:val="8"/>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指标全览看板：支持切换实时维度、国考月度维度，查看国考26项重点监测指标达标看板，提供指标统计值、分值、满分值、估分等。支持联动指标下钻到全院、科室明细统计、趋势预测；支持异常数据预警标记。</w:t>
      </w:r>
    </w:p>
    <w:p>
      <w:pPr>
        <w:numPr>
          <w:ilvl w:val="0"/>
          <w:numId w:val="8"/>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科室达标率分析：支持根据实时和国考月度维度来查看归口科室负责的指标达标情况，提供对归口科室的达标率的统计分析。</w:t>
      </w:r>
    </w:p>
    <w:p>
      <w:pPr>
        <w:numPr>
          <w:ilvl w:val="0"/>
          <w:numId w:val="8"/>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院内重点运行指标：提供其他实时运行指标数据看板，直观查看其他运行指标的当前累计数和同比环比数。支持联动指标查询页下钻到全院明细。</w:t>
      </w:r>
    </w:p>
    <w:p>
      <w:pPr>
        <w:numPr>
          <w:ilvl w:val="0"/>
          <w:numId w:val="7"/>
        </w:numPr>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科主任视图</w:t>
      </w:r>
    </w:p>
    <w:p>
      <w:pPr>
        <w:spacing w:line="360" w:lineRule="auto"/>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把角色视图按科室类型、管理需求进行划分，主要分为以下：</w:t>
      </w:r>
    </w:p>
    <w:p>
      <w:pPr>
        <w:numPr>
          <w:ilvl w:val="0"/>
          <w:numId w:val="9"/>
        </w:numPr>
        <w:spacing w:line="360" w:lineRule="auto"/>
        <w:rPr>
          <w:rFonts w:ascii="仿宋" w:hAnsi="仿宋" w:eastAsia="仿宋" w:cs="仿宋"/>
          <w:sz w:val="21"/>
          <w:szCs w:val="21"/>
          <w:highlight w:val="none"/>
        </w:rPr>
      </w:pPr>
      <w:r>
        <w:rPr>
          <w:rFonts w:ascii="仿宋" w:hAnsi="仿宋" w:eastAsia="仿宋" w:cs="仿宋"/>
          <w:sz w:val="21"/>
          <w:szCs w:val="21"/>
          <w:highlight w:val="none"/>
        </w:rPr>
        <w:t>科室名片矩阵：对科室类型划分手术科室、介入科室、其他科室，以名片矩阵方式显示科室的基本信息，点击查看科室简报。</w:t>
      </w:r>
    </w:p>
    <w:p>
      <w:pPr>
        <w:numPr>
          <w:ilvl w:val="0"/>
          <w:numId w:val="9"/>
        </w:numPr>
        <w:spacing w:line="360" w:lineRule="auto"/>
        <w:rPr>
          <w:rFonts w:ascii="仿宋" w:hAnsi="仿宋" w:eastAsia="仿宋" w:cs="仿宋"/>
          <w:sz w:val="21"/>
          <w:szCs w:val="21"/>
          <w:highlight w:val="none"/>
        </w:rPr>
      </w:pPr>
      <w:r>
        <w:rPr>
          <w:rFonts w:ascii="仿宋" w:hAnsi="仿宋" w:eastAsia="仿宋" w:cs="仿宋"/>
          <w:sz w:val="21"/>
          <w:szCs w:val="21"/>
          <w:highlight w:val="none"/>
        </w:rPr>
        <w:t>科室诊疗数据</w:t>
      </w:r>
      <w:r>
        <w:rPr>
          <w:rFonts w:hint="eastAsia" w:ascii="仿宋" w:hAnsi="仿宋" w:eastAsia="仿宋" w:cs="仿宋"/>
          <w:sz w:val="21"/>
          <w:szCs w:val="21"/>
          <w:highlight w:val="none"/>
        </w:rPr>
        <w:t>：支持查看科室可视化的诊疗数据，主要包括收治住院患者人次、接诊门诊患者人次、国考手术量、医疗收入4大方面的数据及目标进度</w:t>
      </w:r>
    </w:p>
    <w:p>
      <w:pPr>
        <w:numPr>
          <w:ilvl w:val="0"/>
          <w:numId w:val="9"/>
        </w:numPr>
        <w:spacing w:line="360" w:lineRule="auto"/>
        <w:rPr>
          <w:rFonts w:ascii="仿宋" w:hAnsi="仿宋" w:eastAsia="仿宋" w:cs="仿宋"/>
          <w:sz w:val="21"/>
          <w:szCs w:val="21"/>
          <w:highlight w:val="none"/>
        </w:rPr>
      </w:pPr>
      <w:r>
        <w:rPr>
          <w:rFonts w:ascii="仿宋" w:hAnsi="仿宋" w:eastAsia="仿宋" w:cs="仿宋"/>
          <w:sz w:val="21"/>
          <w:szCs w:val="21"/>
          <w:highlight w:val="none"/>
        </w:rPr>
        <w:t>术式开展情况</w:t>
      </w:r>
      <w:r>
        <w:rPr>
          <w:rFonts w:hint="eastAsia" w:ascii="仿宋" w:hAnsi="仿宋" w:eastAsia="仿宋" w:cs="仿宋"/>
          <w:sz w:val="21"/>
          <w:szCs w:val="21"/>
          <w:highlight w:val="none"/>
        </w:rPr>
        <w:t>：根据国考手术目录对各类科室进行术式维度分析，统计已开展术式数量，可开展空间。</w:t>
      </w:r>
    </w:p>
    <w:p>
      <w:pPr>
        <w:numPr>
          <w:ilvl w:val="0"/>
          <w:numId w:val="9"/>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医生手术量排行榜：按国考口径统计医生个人负责的手术量（总量、四级、微创），按手术占比进行排序和导出。</w:t>
      </w:r>
    </w:p>
    <w:p>
      <w:pPr>
        <w:numPr>
          <w:ilvl w:val="0"/>
          <w:numId w:val="9"/>
        </w:numPr>
        <w:spacing w:line="360" w:lineRule="auto"/>
        <w:rPr>
          <w:rFonts w:ascii="仿宋" w:hAnsi="仿宋" w:eastAsia="仿宋" w:cs="仿宋"/>
          <w:sz w:val="21"/>
          <w:szCs w:val="21"/>
          <w:highlight w:val="none"/>
        </w:rPr>
      </w:pPr>
      <w:r>
        <w:rPr>
          <w:rFonts w:ascii="仿宋" w:hAnsi="仿宋" w:eastAsia="仿宋" w:cs="仿宋"/>
          <w:sz w:val="21"/>
          <w:szCs w:val="21"/>
          <w:highlight w:val="none"/>
        </w:rPr>
        <w:t>患者结构数据</w:t>
      </w:r>
      <w:r>
        <w:rPr>
          <w:rFonts w:hint="eastAsia" w:ascii="仿宋" w:hAnsi="仿宋" w:eastAsia="仿宋" w:cs="仿宋"/>
          <w:sz w:val="21"/>
          <w:szCs w:val="21"/>
          <w:highlight w:val="none"/>
        </w:rPr>
        <w:t>：按患者来源、患者年龄、患者性别分析科室接收患者群体的画像，患者来源省份，集中年龄段，性别比例。</w:t>
      </w:r>
    </w:p>
    <w:p>
      <w:pPr>
        <w:numPr>
          <w:ilvl w:val="0"/>
          <w:numId w:val="9"/>
        </w:numPr>
        <w:spacing w:line="360" w:lineRule="auto"/>
        <w:rPr>
          <w:rFonts w:ascii="仿宋" w:hAnsi="仿宋" w:eastAsia="仿宋" w:cs="仿宋"/>
          <w:sz w:val="21"/>
          <w:szCs w:val="21"/>
          <w:highlight w:val="none"/>
        </w:rPr>
      </w:pPr>
      <w:r>
        <w:rPr>
          <w:rFonts w:ascii="仿宋" w:hAnsi="仿宋" w:eastAsia="仿宋" w:cs="仿宋"/>
          <w:sz w:val="21"/>
          <w:szCs w:val="21"/>
          <w:highlight w:val="none"/>
        </w:rPr>
        <w:t>科室重点运行指标</w:t>
      </w:r>
      <w:r>
        <w:rPr>
          <w:rFonts w:hint="eastAsia" w:ascii="仿宋" w:hAnsi="仿宋" w:eastAsia="仿宋" w:cs="仿宋"/>
          <w:sz w:val="21"/>
          <w:szCs w:val="21"/>
          <w:highlight w:val="none"/>
        </w:rPr>
        <w:t>：根据科室类型和需求，提供科室相关的重点监测数据及同比，兼容多维度的指标配置，质控指标、质量指标、运行指标等，支持指标明细下钻，进度提醒、超额预警。</w:t>
      </w:r>
    </w:p>
    <w:p>
      <w:pPr>
        <w:pStyle w:val="63"/>
        <w:numPr>
          <w:ilvl w:val="0"/>
          <w:numId w:val="4"/>
        </w:numPr>
        <w:ind w:left="845"/>
        <w:rPr>
          <w:rFonts w:cs="仿宋"/>
          <w:sz w:val="21"/>
          <w:szCs w:val="21"/>
          <w:highlight w:val="none"/>
        </w:rPr>
      </w:pPr>
      <w:bookmarkStart w:id="4" w:name="_Toc7895"/>
      <w:bookmarkStart w:id="5" w:name="_Toc23207"/>
      <w:r>
        <w:rPr>
          <w:rFonts w:hint="eastAsia" w:cs="仿宋"/>
          <w:color w:val="000000"/>
          <w:sz w:val="21"/>
          <w:szCs w:val="21"/>
          <w:highlight w:val="none"/>
        </w:rPr>
        <w:t>病案首页质控</w:t>
      </w:r>
      <w:bookmarkEnd w:id="4"/>
      <w:bookmarkEnd w:id="5"/>
    </w:p>
    <w:p>
      <w:pPr>
        <w:numPr>
          <w:ilvl w:val="0"/>
          <w:numId w:val="10"/>
        </w:numPr>
        <w:spacing w:line="360" w:lineRule="auto"/>
        <w:outlineLvl w:val="2"/>
        <w:rPr>
          <w:rFonts w:ascii="仿宋" w:hAnsi="仿宋" w:eastAsia="仿宋" w:cs="仿宋"/>
          <w:b/>
          <w:bCs/>
          <w:sz w:val="21"/>
          <w:szCs w:val="21"/>
          <w:highlight w:val="none"/>
        </w:rPr>
      </w:pPr>
      <w:bookmarkStart w:id="6" w:name="_Toc29177"/>
      <w:bookmarkStart w:id="7" w:name="_Toc32757"/>
      <w:r>
        <w:rPr>
          <w:rFonts w:hint="eastAsia" w:ascii="仿宋" w:hAnsi="仿宋" w:eastAsia="仿宋" w:cs="仿宋"/>
          <w:b/>
          <w:bCs/>
          <w:sz w:val="21"/>
          <w:szCs w:val="21"/>
          <w:highlight w:val="none"/>
        </w:rPr>
        <w:t>病案首页质控评分</w:t>
      </w:r>
      <w:bookmarkEnd w:id="6"/>
      <w:bookmarkEnd w:id="7"/>
    </w:p>
    <w:p>
      <w:pPr>
        <w:pStyle w:val="63"/>
        <w:numPr>
          <w:ilvl w:val="0"/>
          <w:numId w:val="0"/>
        </w:numPr>
        <w:outlineLvl w:val="3"/>
        <w:rPr>
          <w:rFonts w:hint="eastAsia" w:cs="仿宋"/>
          <w:b w:val="0"/>
          <w:sz w:val="21"/>
          <w:szCs w:val="21"/>
          <w:highlight w:val="none"/>
        </w:rPr>
      </w:pPr>
      <w:bookmarkStart w:id="8" w:name="_Toc10465"/>
      <w:bookmarkStart w:id="9" w:name="_Toc12559"/>
      <w:r>
        <w:rPr>
          <w:rFonts w:hint="eastAsia" w:cs="仿宋"/>
          <w:b w:val="0"/>
          <w:sz w:val="21"/>
          <w:szCs w:val="21"/>
          <w:highlight w:val="none"/>
        </w:rPr>
        <w:t>（1）临床医生端病案首页质控</w:t>
      </w:r>
      <w:bookmarkEnd w:id="8"/>
      <w:bookmarkEnd w:id="9"/>
    </w:p>
    <w:p>
      <w:pPr>
        <w:pStyle w:val="63"/>
        <w:numPr>
          <w:ilvl w:val="0"/>
          <w:numId w:val="0"/>
        </w:numPr>
        <w:ind w:firstLine="420" w:firstLineChars="200"/>
        <w:outlineLvl w:val="9"/>
        <w:rPr>
          <w:rFonts w:hint="eastAsia" w:cs="仿宋"/>
          <w:b w:val="0"/>
          <w:sz w:val="21"/>
          <w:szCs w:val="21"/>
          <w:highlight w:val="none"/>
        </w:rPr>
      </w:pPr>
      <w:bookmarkStart w:id="10" w:name="_Toc7777"/>
      <w:bookmarkStart w:id="11" w:name="_Toc12400"/>
      <w:r>
        <w:rPr>
          <w:rFonts w:hint="eastAsia" w:cs="仿宋"/>
          <w:b w:val="0"/>
          <w:sz w:val="21"/>
          <w:szCs w:val="21"/>
          <w:highlight w:val="none"/>
        </w:rPr>
        <w:t>临床医生保存或提交病案首页，系统自动按照预先设置好的规则(包含全首页项数据质量规范)进行首页质控，质控不通过问题提示临床医生进行修改并反馈首页评分结果，修改且达标后才可提交到病案室。</w:t>
      </w:r>
      <w:bookmarkEnd w:id="10"/>
      <w:bookmarkEnd w:id="11"/>
    </w:p>
    <w:p>
      <w:pPr>
        <w:pStyle w:val="63"/>
        <w:numPr>
          <w:ilvl w:val="0"/>
          <w:numId w:val="0"/>
        </w:numPr>
        <w:outlineLvl w:val="3"/>
        <w:rPr>
          <w:rFonts w:hint="eastAsia" w:cs="仿宋"/>
          <w:b w:val="0"/>
          <w:sz w:val="21"/>
          <w:szCs w:val="21"/>
          <w:highlight w:val="none"/>
        </w:rPr>
      </w:pPr>
      <w:bookmarkStart w:id="12" w:name="_Toc7518"/>
      <w:bookmarkStart w:id="13" w:name="_Toc27003"/>
      <w:r>
        <w:rPr>
          <w:rFonts w:hint="eastAsia" w:cs="仿宋"/>
          <w:b w:val="0"/>
          <w:sz w:val="21"/>
          <w:szCs w:val="21"/>
          <w:highlight w:val="none"/>
        </w:rPr>
        <w:t>（2）临床病案首页数据质量质控评分表</w:t>
      </w:r>
      <w:bookmarkEnd w:id="12"/>
      <w:bookmarkEnd w:id="13"/>
    </w:p>
    <w:p>
      <w:pPr>
        <w:pStyle w:val="63"/>
        <w:numPr>
          <w:ilvl w:val="0"/>
          <w:numId w:val="0"/>
        </w:numPr>
        <w:ind w:firstLine="420" w:firstLineChars="200"/>
        <w:outlineLvl w:val="9"/>
        <w:rPr>
          <w:rFonts w:hint="eastAsia" w:cs="仿宋"/>
          <w:b w:val="0"/>
          <w:sz w:val="21"/>
          <w:szCs w:val="21"/>
          <w:highlight w:val="none"/>
        </w:rPr>
      </w:pPr>
      <w:bookmarkStart w:id="14" w:name="_Toc20529"/>
      <w:bookmarkStart w:id="15" w:name="_Toc29300"/>
      <w:r>
        <w:rPr>
          <w:rFonts w:hint="eastAsia" w:cs="仿宋"/>
          <w:b w:val="0"/>
          <w:sz w:val="21"/>
          <w:szCs w:val="21"/>
          <w:highlight w:val="none"/>
        </w:rPr>
        <w:t>系统支持根据质控结果自动生成质控评分表，质控评分表内容包括“病案首页项目”、“评分标准”、“扣分分值”、“扣分说明”、“责任医师”、“提示级别”、“处理状态”等，操作人员可根据实际情况对评分表内容进行编辑操作。质控评分表支持导出、打印。</w:t>
      </w:r>
      <w:bookmarkEnd w:id="14"/>
      <w:bookmarkEnd w:id="15"/>
    </w:p>
    <w:p>
      <w:pPr>
        <w:pStyle w:val="63"/>
        <w:numPr>
          <w:ilvl w:val="0"/>
          <w:numId w:val="0"/>
        </w:numPr>
        <w:outlineLvl w:val="3"/>
        <w:rPr>
          <w:rFonts w:hint="eastAsia" w:cs="仿宋"/>
          <w:b w:val="0"/>
          <w:sz w:val="21"/>
          <w:szCs w:val="21"/>
          <w:highlight w:val="none"/>
        </w:rPr>
      </w:pPr>
      <w:bookmarkStart w:id="16" w:name="_Toc27516"/>
      <w:bookmarkStart w:id="17" w:name="_Toc114"/>
      <w:r>
        <w:rPr>
          <w:rFonts w:hint="eastAsia" w:cs="仿宋"/>
          <w:b w:val="0"/>
          <w:sz w:val="21"/>
          <w:szCs w:val="21"/>
          <w:highlight w:val="none"/>
        </w:rPr>
        <w:t>（3）终末病案首页缺陷总览</w:t>
      </w:r>
      <w:bookmarkEnd w:id="16"/>
      <w:bookmarkEnd w:id="17"/>
    </w:p>
    <w:p>
      <w:pPr>
        <w:pStyle w:val="63"/>
        <w:numPr>
          <w:ilvl w:val="0"/>
          <w:numId w:val="0"/>
        </w:numPr>
        <w:ind w:firstLine="420" w:firstLineChars="200"/>
        <w:outlineLvl w:val="9"/>
        <w:rPr>
          <w:rFonts w:hint="eastAsia" w:cs="仿宋"/>
          <w:b w:val="0"/>
          <w:sz w:val="21"/>
          <w:szCs w:val="21"/>
          <w:highlight w:val="none"/>
        </w:rPr>
      </w:pPr>
      <w:bookmarkStart w:id="18" w:name="_Toc19766"/>
      <w:bookmarkStart w:id="19" w:name="_Toc29626"/>
      <w:r>
        <w:rPr>
          <w:rFonts w:hint="eastAsia" w:cs="仿宋"/>
          <w:b w:val="0"/>
          <w:sz w:val="21"/>
          <w:szCs w:val="21"/>
          <w:highlight w:val="none"/>
        </w:rPr>
        <w:t>病案科工作人员可于系统内对各质控节点下且存在问题的病案首页数据问题进行汇总查询，支持“编码缺陷”、“非编码缺陷”等查询过滤条件，直观总览各病案首页存在的问题缺陷内容。</w:t>
      </w:r>
      <w:bookmarkEnd w:id="18"/>
      <w:bookmarkEnd w:id="19"/>
    </w:p>
    <w:p>
      <w:pPr>
        <w:numPr>
          <w:ilvl w:val="0"/>
          <w:numId w:val="10"/>
        </w:numPr>
        <w:spacing w:line="360" w:lineRule="auto"/>
        <w:outlineLvl w:val="2"/>
        <w:rPr>
          <w:rFonts w:hint="eastAsia" w:ascii="仿宋" w:hAnsi="仿宋" w:eastAsia="仿宋" w:cs="仿宋"/>
          <w:b/>
          <w:bCs/>
          <w:sz w:val="21"/>
          <w:szCs w:val="21"/>
          <w:highlight w:val="none"/>
        </w:rPr>
      </w:pPr>
      <w:bookmarkStart w:id="20" w:name="_Toc11378"/>
      <w:bookmarkStart w:id="21" w:name="_Toc28227"/>
      <w:r>
        <w:rPr>
          <w:rFonts w:hint="eastAsia" w:ascii="仿宋" w:hAnsi="仿宋" w:eastAsia="仿宋" w:cs="仿宋"/>
          <w:b/>
          <w:bCs/>
          <w:sz w:val="21"/>
          <w:szCs w:val="21"/>
          <w:highlight w:val="none"/>
        </w:rPr>
        <w:t>住院病案首页编目实时质控</w:t>
      </w:r>
      <w:bookmarkEnd w:id="20"/>
      <w:bookmarkEnd w:id="21"/>
    </w:p>
    <w:p>
      <w:pPr>
        <w:pStyle w:val="63"/>
        <w:numPr>
          <w:ilvl w:val="0"/>
          <w:numId w:val="0"/>
        </w:numPr>
        <w:outlineLvl w:val="3"/>
        <w:rPr>
          <w:rFonts w:hint="eastAsia" w:cs="仿宋"/>
          <w:b w:val="0"/>
          <w:bCs/>
          <w:sz w:val="21"/>
          <w:szCs w:val="21"/>
          <w:highlight w:val="none"/>
        </w:rPr>
      </w:pPr>
      <w:bookmarkStart w:id="22" w:name="_Toc21822"/>
      <w:bookmarkStart w:id="23" w:name="_Toc19359"/>
      <w:r>
        <w:rPr>
          <w:rFonts w:hint="eastAsia" w:cs="仿宋"/>
          <w:b w:val="0"/>
          <w:bCs/>
          <w:sz w:val="21"/>
          <w:szCs w:val="21"/>
          <w:highlight w:val="none"/>
        </w:rPr>
        <w:t>（1）标准版病案首页模板</w:t>
      </w:r>
      <w:bookmarkEnd w:id="22"/>
      <w:bookmarkEnd w:id="23"/>
    </w:p>
    <w:p>
      <w:pPr>
        <w:pStyle w:val="63"/>
        <w:numPr>
          <w:ilvl w:val="0"/>
          <w:numId w:val="0"/>
        </w:numPr>
        <w:ind w:left="420" w:leftChars="200" w:firstLine="420" w:firstLineChars="200"/>
        <w:outlineLvl w:val="9"/>
        <w:rPr>
          <w:rFonts w:hint="eastAsia" w:cs="仿宋"/>
          <w:spacing w:val="-1"/>
          <w:sz w:val="21"/>
          <w:szCs w:val="21"/>
          <w:highlight w:val="none"/>
        </w:rPr>
      </w:pPr>
      <w:bookmarkStart w:id="24" w:name="_Toc24920"/>
      <w:bookmarkStart w:id="25" w:name="_Toc6409"/>
      <w:r>
        <w:rPr>
          <w:rFonts w:hint="eastAsia" w:cs="仿宋"/>
          <w:b w:val="0"/>
          <w:sz w:val="21"/>
          <w:szCs w:val="21"/>
          <w:highlight w:val="none"/>
        </w:rPr>
        <w:t>病案首页标准版内容包括：基本信息、出院诊断信息、手术信息、费用信息、其他信息。</w:t>
      </w:r>
      <w:bookmarkEnd w:id="24"/>
      <w:bookmarkEnd w:id="25"/>
    </w:p>
    <w:p>
      <w:pPr>
        <w:pStyle w:val="63"/>
        <w:numPr>
          <w:ilvl w:val="0"/>
          <w:numId w:val="0"/>
        </w:numPr>
        <w:outlineLvl w:val="3"/>
        <w:rPr>
          <w:rFonts w:hint="eastAsia" w:cs="仿宋"/>
          <w:b w:val="0"/>
          <w:sz w:val="21"/>
          <w:szCs w:val="21"/>
          <w:highlight w:val="none"/>
        </w:rPr>
      </w:pPr>
      <w:bookmarkStart w:id="26" w:name="_Toc23336"/>
      <w:bookmarkStart w:id="27" w:name="_Toc23445"/>
      <w:r>
        <w:rPr>
          <w:rFonts w:hint="eastAsia" w:cs="仿宋"/>
          <w:b w:val="0"/>
          <w:sz w:val="21"/>
          <w:szCs w:val="21"/>
          <w:highlight w:val="none"/>
        </w:rPr>
        <w:t>（2）病案编目实时质控</w:t>
      </w:r>
      <w:bookmarkEnd w:id="26"/>
      <w:bookmarkEnd w:id="27"/>
    </w:p>
    <w:p>
      <w:pPr>
        <w:pStyle w:val="63"/>
        <w:numPr>
          <w:ilvl w:val="0"/>
          <w:numId w:val="0"/>
        </w:numPr>
        <w:ind w:left="420" w:leftChars="200" w:firstLine="420" w:firstLineChars="200"/>
        <w:outlineLvl w:val="9"/>
        <w:rPr>
          <w:rFonts w:hint="eastAsia" w:cs="仿宋"/>
          <w:b w:val="0"/>
          <w:sz w:val="21"/>
          <w:szCs w:val="21"/>
          <w:highlight w:val="none"/>
        </w:rPr>
      </w:pPr>
      <w:bookmarkStart w:id="28" w:name="_Toc21540"/>
      <w:bookmarkStart w:id="29" w:name="_Toc11313"/>
      <w:r>
        <w:rPr>
          <w:rFonts w:hint="eastAsia" w:cs="仿宋"/>
          <w:b w:val="0"/>
          <w:sz w:val="21"/>
          <w:szCs w:val="21"/>
          <w:highlight w:val="none"/>
        </w:rPr>
        <w:t>病案科工作人员对病案首页进行编目录入时，依据病案首页最新数据实时反馈质控结果。包含完整性、逻辑性、必填性、值域合理性、费用合理性、诊断编码缺陷质控、手术编码缺陷质控等质控角度，实现病案首页无死角、全方位质控效果。</w:t>
      </w:r>
      <w:bookmarkEnd w:id="28"/>
      <w:bookmarkEnd w:id="29"/>
    </w:p>
    <w:p>
      <w:pPr>
        <w:pStyle w:val="63"/>
        <w:numPr>
          <w:ilvl w:val="0"/>
          <w:numId w:val="0"/>
        </w:numPr>
        <w:outlineLvl w:val="3"/>
        <w:rPr>
          <w:rFonts w:hint="eastAsia" w:cs="仿宋"/>
          <w:b w:val="0"/>
          <w:sz w:val="21"/>
          <w:szCs w:val="21"/>
          <w:highlight w:val="none"/>
        </w:rPr>
      </w:pPr>
      <w:bookmarkStart w:id="30" w:name="_Toc12245"/>
      <w:bookmarkStart w:id="31" w:name="_Toc27543"/>
      <w:r>
        <w:rPr>
          <w:rFonts w:hint="eastAsia" w:cs="仿宋"/>
          <w:b w:val="0"/>
          <w:sz w:val="21"/>
          <w:szCs w:val="21"/>
          <w:highlight w:val="none"/>
        </w:rPr>
        <w:t>（3）病案首页编目录入</w:t>
      </w:r>
      <w:bookmarkEnd w:id="30"/>
      <w:bookmarkEnd w:id="31"/>
    </w:p>
    <w:p>
      <w:pPr>
        <w:pStyle w:val="63"/>
        <w:numPr>
          <w:ilvl w:val="0"/>
          <w:numId w:val="0"/>
        </w:numPr>
        <w:ind w:left="420" w:leftChars="200" w:firstLine="420" w:firstLineChars="200"/>
        <w:outlineLvl w:val="9"/>
        <w:rPr>
          <w:rFonts w:hint="eastAsia" w:cs="仿宋"/>
          <w:b w:val="0"/>
          <w:sz w:val="21"/>
          <w:szCs w:val="21"/>
          <w:highlight w:val="none"/>
        </w:rPr>
      </w:pPr>
      <w:bookmarkStart w:id="32" w:name="_Toc31430"/>
      <w:bookmarkStart w:id="33" w:name="_Toc3111"/>
      <w:r>
        <w:rPr>
          <w:rFonts w:hint="eastAsia" w:cs="仿宋"/>
          <w:b w:val="0"/>
          <w:sz w:val="21"/>
          <w:szCs w:val="21"/>
          <w:highlight w:val="none"/>
        </w:rPr>
        <w:t>系统支持病案首页录入界面的所有录入框均支持“回车”依次跳转，针对存在复杂录入内容的录入框，支持根据拼音码简拼、全拼，关键字检索等录入方式。</w:t>
      </w:r>
      <w:bookmarkEnd w:id="32"/>
      <w:bookmarkEnd w:id="33"/>
    </w:p>
    <w:p>
      <w:pPr>
        <w:pStyle w:val="63"/>
        <w:numPr>
          <w:ilvl w:val="0"/>
          <w:numId w:val="0"/>
        </w:numPr>
        <w:outlineLvl w:val="3"/>
        <w:rPr>
          <w:rFonts w:hint="eastAsia" w:cs="仿宋"/>
          <w:b w:val="0"/>
          <w:sz w:val="21"/>
          <w:szCs w:val="21"/>
          <w:highlight w:val="none"/>
        </w:rPr>
      </w:pPr>
      <w:bookmarkStart w:id="34" w:name="_Toc10773"/>
      <w:bookmarkStart w:id="35" w:name="_Toc30431"/>
      <w:r>
        <w:rPr>
          <w:rFonts w:hint="eastAsia" w:cs="仿宋"/>
          <w:b w:val="0"/>
          <w:sz w:val="21"/>
          <w:szCs w:val="21"/>
          <w:highlight w:val="none"/>
        </w:rPr>
        <w:t>（4）缺陷问题“自动定位”和“高亮标记”</w:t>
      </w:r>
      <w:bookmarkEnd w:id="34"/>
      <w:bookmarkEnd w:id="35"/>
    </w:p>
    <w:p>
      <w:pPr>
        <w:pStyle w:val="63"/>
        <w:numPr>
          <w:ilvl w:val="0"/>
          <w:numId w:val="0"/>
        </w:numPr>
        <w:ind w:left="420" w:leftChars="200" w:firstLine="420" w:firstLineChars="200"/>
        <w:outlineLvl w:val="9"/>
        <w:rPr>
          <w:rFonts w:hint="eastAsia" w:cs="仿宋"/>
          <w:b w:val="0"/>
          <w:sz w:val="21"/>
          <w:szCs w:val="21"/>
          <w:highlight w:val="none"/>
        </w:rPr>
      </w:pPr>
      <w:bookmarkStart w:id="36" w:name="_Toc11572"/>
      <w:bookmarkStart w:id="37" w:name="_Toc22380"/>
      <w:r>
        <w:rPr>
          <w:rFonts w:hint="eastAsia" w:cs="仿宋"/>
          <w:b w:val="0"/>
          <w:sz w:val="21"/>
          <w:szCs w:val="21"/>
          <w:highlight w:val="none"/>
        </w:rPr>
        <w:t>系统质控后提示的质控问题缺陷内容，会统一展示在界面内的“问题列表”中，各质控问题均支持自动定位对应的病案首页项目，并根据质控问题的严重程度标记不同的颜色。</w:t>
      </w:r>
      <w:bookmarkEnd w:id="36"/>
      <w:bookmarkEnd w:id="37"/>
    </w:p>
    <w:p>
      <w:pPr>
        <w:pStyle w:val="63"/>
        <w:numPr>
          <w:ilvl w:val="0"/>
          <w:numId w:val="0"/>
        </w:numPr>
        <w:outlineLvl w:val="3"/>
        <w:rPr>
          <w:rFonts w:hint="eastAsia" w:cs="仿宋"/>
          <w:b w:val="0"/>
          <w:sz w:val="21"/>
          <w:szCs w:val="21"/>
          <w:highlight w:val="none"/>
        </w:rPr>
      </w:pPr>
      <w:bookmarkStart w:id="38" w:name="_Toc468"/>
      <w:bookmarkStart w:id="39" w:name="_Toc27748"/>
      <w:r>
        <w:rPr>
          <w:rFonts w:hint="eastAsia" w:cs="仿宋"/>
          <w:b w:val="0"/>
          <w:sz w:val="21"/>
          <w:szCs w:val="21"/>
          <w:highlight w:val="none"/>
        </w:rPr>
        <w:t>（5）病案首页“修改留痕”</w:t>
      </w:r>
      <w:bookmarkEnd w:id="38"/>
      <w:bookmarkEnd w:id="39"/>
    </w:p>
    <w:p>
      <w:pPr>
        <w:pStyle w:val="63"/>
        <w:numPr>
          <w:ilvl w:val="0"/>
          <w:numId w:val="0"/>
        </w:numPr>
        <w:ind w:left="420" w:leftChars="200" w:firstLine="420" w:firstLineChars="200"/>
        <w:outlineLvl w:val="9"/>
        <w:rPr>
          <w:rFonts w:hint="eastAsia" w:cs="仿宋"/>
          <w:b w:val="0"/>
          <w:sz w:val="21"/>
          <w:szCs w:val="21"/>
          <w:highlight w:val="none"/>
        </w:rPr>
      </w:pPr>
      <w:bookmarkStart w:id="40" w:name="_Toc21474"/>
      <w:bookmarkStart w:id="41" w:name="_Toc8729"/>
      <w:r>
        <w:rPr>
          <w:rFonts w:hint="eastAsia" w:cs="仿宋"/>
          <w:b w:val="0"/>
          <w:sz w:val="21"/>
          <w:szCs w:val="21"/>
          <w:highlight w:val="none"/>
        </w:rPr>
        <w:t>系统支持对处于“已完成”状态的每份病案首页，在界面提供“修改留痕按钮”，可查阅每份病案首页所有操作内容的“留痕记录”，留痕内容包括“病案首页操作项”、“操作类型”、“操作人”、“操作时间”、“原始数据”、“新数据”等。</w:t>
      </w:r>
      <w:bookmarkEnd w:id="40"/>
      <w:bookmarkEnd w:id="41"/>
    </w:p>
    <w:p>
      <w:pPr>
        <w:pStyle w:val="63"/>
        <w:numPr>
          <w:ilvl w:val="0"/>
          <w:numId w:val="0"/>
        </w:numPr>
        <w:outlineLvl w:val="3"/>
        <w:rPr>
          <w:rFonts w:hint="eastAsia" w:cs="仿宋"/>
          <w:b w:val="0"/>
          <w:sz w:val="21"/>
          <w:szCs w:val="21"/>
          <w:highlight w:val="none"/>
        </w:rPr>
      </w:pPr>
      <w:bookmarkStart w:id="42" w:name="_Toc94"/>
      <w:bookmarkStart w:id="43" w:name="_Toc2459"/>
      <w:r>
        <w:rPr>
          <w:rFonts w:hint="eastAsia" w:cs="仿宋"/>
          <w:b w:val="0"/>
          <w:sz w:val="21"/>
          <w:szCs w:val="21"/>
          <w:highlight w:val="none"/>
        </w:rPr>
        <w:t>（6）病案首页“既往诊断”</w:t>
      </w:r>
      <w:bookmarkEnd w:id="42"/>
      <w:bookmarkEnd w:id="43"/>
    </w:p>
    <w:p>
      <w:pPr>
        <w:pStyle w:val="63"/>
        <w:numPr>
          <w:ilvl w:val="0"/>
          <w:numId w:val="0"/>
        </w:numPr>
        <w:ind w:left="420" w:leftChars="200" w:firstLine="420" w:firstLineChars="200"/>
        <w:outlineLvl w:val="9"/>
        <w:rPr>
          <w:rFonts w:hint="eastAsia" w:cs="仿宋"/>
          <w:b w:val="0"/>
          <w:sz w:val="21"/>
          <w:szCs w:val="21"/>
          <w:highlight w:val="none"/>
        </w:rPr>
      </w:pPr>
      <w:bookmarkStart w:id="44" w:name="_Toc7127"/>
      <w:bookmarkStart w:id="45" w:name="_Toc17846"/>
      <w:r>
        <w:rPr>
          <w:rFonts w:hint="eastAsia" w:cs="仿宋"/>
          <w:b w:val="0"/>
          <w:sz w:val="21"/>
          <w:szCs w:val="21"/>
          <w:highlight w:val="none"/>
        </w:rPr>
        <w:t>系统支持在病案科编码员对病案首页进行编目操作时，可点击右上角“既往诊断”按钮查阅当前患者历史所有的“诊断”和“手术”信息内容，并且与与当前住院次数的诊断、手术形成对比显示。并且，功能提供“查询病案”功能，可一键点击查阅历史整份病案和病历文书，同时可在界面任意切换和查询历史任意次数的(病案编目)病案首页和病历文书。</w:t>
      </w:r>
      <w:bookmarkEnd w:id="44"/>
      <w:bookmarkEnd w:id="45"/>
    </w:p>
    <w:p>
      <w:pPr>
        <w:pStyle w:val="63"/>
        <w:numPr>
          <w:ilvl w:val="0"/>
          <w:numId w:val="0"/>
        </w:numPr>
        <w:outlineLvl w:val="3"/>
        <w:rPr>
          <w:rFonts w:hint="eastAsia" w:cs="仿宋"/>
          <w:b w:val="0"/>
          <w:sz w:val="21"/>
          <w:szCs w:val="21"/>
          <w:highlight w:val="none"/>
        </w:rPr>
      </w:pPr>
      <w:bookmarkStart w:id="46" w:name="_Toc18753"/>
      <w:bookmarkStart w:id="47" w:name="_Toc5826"/>
      <w:r>
        <w:rPr>
          <w:rFonts w:hint="eastAsia" w:cs="仿宋"/>
          <w:b w:val="0"/>
          <w:sz w:val="21"/>
          <w:szCs w:val="21"/>
          <w:highlight w:val="none"/>
        </w:rPr>
        <w:t>（7）病案首页“病案标签”</w:t>
      </w:r>
      <w:bookmarkEnd w:id="46"/>
      <w:bookmarkEnd w:id="47"/>
    </w:p>
    <w:p>
      <w:pPr>
        <w:pStyle w:val="8"/>
        <w:ind w:firstLine="420" w:firstLineChars="200"/>
        <w:rPr>
          <w:rFonts w:hint="eastAsia" w:ascii="仿宋" w:hAnsi="仿宋" w:eastAsia="仿宋" w:cs="仿宋"/>
          <w:spacing w:val="-1"/>
          <w:sz w:val="21"/>
          <w:szCs w:val="21"/>
          <w:highlight w:val="none"/>
        </w:rPr>
      </w:pPr>
      <w:r>
        <w:rPr>
          <w:rFonts w:hint="eastAsia" w:ascii="仿宋" w:hAnsi="仿宋" w:eastAsia="仿宋" w:cs="仿宋"/>
          <w:sz w:val="21"/>
          <w:szCs w:val="21"/>
          <w:highlight w:val="none"/>
        </w:rPr>
        <w:t>系统支持对特殊病案提供病案标签功能。在编码员打开病案首页时，对于特殊病案包括但不限于“二次入院”、“手术患者”、肿瘤患者、“转科患者”等类型的病案，可自动标记并对编码员进行提醒，同时编码员可根据实际情况进行判断，支持编码员二次添加删除病案标签。同时提供病案标签配置新增见面，病案科编码员可根据实际使用需求任意添加所需标签，标签名称和标签渲染图标颜色均支持用户自行配置。</w:t>
      </w:r>
    </w:p>
    <w:p>
      <w:pPr>
        <w:pStyle w:val="63"/>
        <w:numPr>
          <w:ilvl w:val="0"/>
          <w:numId w:val="0"/>
        </w:numPr>
        <w:outlineLvl w:val="3"/>
        <w:rPr>
          <w:rFonts w:hint="eastAsia" w:cs="仿宋"/>
          <w:b w:val="0"/>
          <w:sz w:val="21"/>
          <w:szCs w:val="21"/>
          <w:highlight w:val="none"/>
        </w:rPr>
      </w:pPr>
      <w:bookmarkStart w:id="48" w:name="_Toc6515"/>
      <w:bookmarkStart w:id="49" w:name="_Toc31728"/>
      <w:r>
        <w:rPr>
          <w:rFonts w:hint="eastAsia" w:cs="仿宋"/>
          <w:b w:val="0"/>
          <w:sz w:val="21"/>
          <w:szCs w:val="21"/>
          <w:highlight w:val="none"/>
        </w:rPr>
        <w:t>（8）病案首页实时评分评级</w:t>
      </w:r>
      <w:bookmarkEnd w:id="48"/>
      <w:bookmarkEnd w:id="49"/>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系统内嵌国家《住院病案首页数据质量评分标准》或根据院方实际使用的《病案首页数据质量考评表》，在编码员对病案首页进行质检、编目操作实时返回当前病案首页实际质控评分和当前病案首页甲级、乙级、丙级状态。</w:t>
      </w:r>
    </w:p>
    <w:p>
      <w:pPr>
        <w:pStyle w:val="63"/>
        <w:numPr>
          <w:ilvl w:val="0"/>
          <w:numId w:val="0"/>
        </w:numPr>
        <w:outlineLvl w:val="3"/>
        <w:rPr>
          <w:rFonts w:hint="eastAsia" w:cs="仿宋"/>
          <w:b w:val="0"/>
          <w:sz w:val="21"/>
          <w:szCs w:val="21"/>
          <w:highlight w:val="none"/>
        </w:rPr>
      </w:pPr>
      <w:bookmarkStart w:id="50" w:name="_Toc22459"/>
      <w:bookmarkStart w:id="51" w:name="_Toc18978"/>
      <w:r>
        <w:rPr>
          <w:rFonts w:hint="eastAsia" w:cs="仿宋"/>
          <w:b w:val="0"/>
          <w:sz w:val="21"/>
          <w:szCs w:val="21"/>
          <w:highlight w:val="none"/>
        </w:rPr>
        <w:t>（9）数据自动对接“广东省病案统计管理系统”</w:t>
      </w:r>
      <w:bookmarkEnd w:id="50"/>
      <w:bookmarkEnd w:id="51"/>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实现编目后的数据与“广东省医疗机构病案统计管理系统”之间达到实时传送、无缝对接的效果，将经过质控和编目后的病案首页数据自动推送至该系统，同时对提供数据库表结构的第三方院内业务系统也可完成首页数据的推送。</w:t>
      </w:r>
    </w:p>
    <w:p>
      <w:pPr>
        <w:numPr>
          <w:ilvl w:val="0"/>
          <w:numId w:val="10"/>
        </w:numPr>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术后并发症病案首页质控</w:t>
      </w:r>
    </w:p>
    <w:p>
      <w:pPr>
        <w:pStyle w:val="63"/>
        <w:numPr>
          <w:ilvl w:val="0"/>
          <w:numId w:val="0"/>
        </w:numPr>
        <w:ind w:firstLine="420" w:firstLineChars="200"/>
        <w:outlineLvl w:val="9"/>
        <w:rPr>
          <w:rFonts w:hint="eastAsia" w:cs="仿宋"/>
          <w:b w:val="0"/>
          <w:bCs/>
          <w:sz w:val="21"/>
          <w:szCs w:val="21"/>
          <w:highlight w:val="none"/>
        </w:rPr>
      </w:pPr>
      <w:r>
        <w:rPr>
          <w:rFonts w:hint="eastAsia" w:cs="仿宋"/>
          <w:b w:val="0"/>
          <w:bCs/>
          <w:sz w:val="21"/>
          <w:szCs w:val="21"/>
          <w:highlight w:val="none"/>
        </w:rPr>
        <w:t>系统能够提供术后并发症ICD编码目录，根据规则配置支持对存在术后并发症的病案首页进行实时监控，对该类病案首页进行自动化标签登记提醒，同时在编码员进行编目的过程当中对该类首页进行质控提醒，以帮助编码员对存在并发症的术后患者进行完整的ICD编码录入工作。</w:t>
      </w:r>
    </w:p>
    <w:p>
      <w:pPr>
        <w:pStyle w:val="9"/>
        <w:rPr>
          <w:rFonts w:hint="eastAsia"/>
          <w:sz w:val="21"/>
          <w:szCs w:val="21"/>
          <w:highlight w:val="none"/>
        </w:rPr>
      </w:pPr>
    </w:p>
    <w:p>
      <w:pPr>
        <w:rPr>
          <w:rFonts w:hint="eastAsia"/>
          <w:sz w:val="21"/>
          <w:szCs w:val="21"/>
          <w:highlight w:val="none"/>
        </w:rPr>
      </w:pPr>
    </w:p>
    <w:p>
      <w:pPr>
        <w:numPr>
          <w:ilvl w:val="0"/>
          <w:numId w:val="10"/>
        </w:numPr>
        <w:spacing w:line="360" w:lineRule="auto"/>
        <w:outlineLvl w:val="2"/>
        <w:rPr>
          <w:rFonts w:hint="eastAsia" w:ascii="仿宋" w:hAnsi="仿宋" w:eastAsia="仿宋" w:cs="仿宋"/>
          <w:b/>
          <w:bCs/>
          <w:sz w:val="21"/>
          <w:szCs w:val="21"/>
          <w:highlight w:val="none"/>
        </w:rPr>
      </w:pPr>
      <w:bookmarkStart w:id="52" w:name="_Toc10167"/>
      <w:bookmarkStart w:id="53" w:name="_Toc4685"/>
      <w:r>
        <w:rPr>
          <w:rFonts w:hint="eastAsia" w:ascii="仿宋" w:hAnsi="仿宋" w:eastAsia="仿宋" w:cs="仿宋"/>
          <w:b/>
          <w:bCs/>
          <w:sz w:val="21"/>
          <w:szCs w:val="21"/>
          <w:highlight w:val="none"/>
        </w:rPr>
        <w:t>医保灰码与手术编码识别</w:t>
      </w:r>
    </w:p>
    <w:p>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预留与DIP医保数据库对接，对标医保版编码和国家临床版编码进行字典库对照转换，把医保灰码的疾病和操作编码标记，预留接口传给DIP数据库。DIP医保数据库由医院提供。</w:t>
      </w:r>
    </w:p>
    <w:p>
      <w:pPr>
        <w:numPr>
          <w:ilvl w:val="0"/>
          <w:numId w:val="10"/>
        </w:numPr>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DRG未入组识别及原因分析</w:t>
      </w:r>
    </w:p>
    <w:p>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预留与DRG分组系统对接，根据系统的分组器分组结果，筛选并导出未入组的病案，根据入组规则和原因分析，通过可视化图表区分是主要诊断选择错误、手术操作和诊断不匹配、入组特殊剔除条件等原因。DRG分组系统由医院提供。</w:t>
      </w:r>
    </w:p>
    <w:p>
      <w:pPr>
        <w:numPr>
          <w:ilvl w:val="0"/>
          <w:numId w:val="10"/>
        </w:numPr>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低风险死亡病历编码质控及分析</w:t>
      </w:r>
    </w:p>
    <w:p>
      <w:pPr>
        <w:spacing w:line="360" w:lineRule="auto"/>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同样预留与DRG分组系统对接，根据DRG系统低风险分组结果和编码质控规则，分析低风险组死亡病例的编码质控问题，通过可视化图表呈现分析结果。DRG分组系统由医院提供。</w:t>
      </w:r>
    </w:p>
    <w:p>
      <w:pPr>
        <w:numPr>
          <w:ilvl w:val="0"/>
          <w:numId w:val="10"/>
        </w:numPr>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病案归档率数据专题分析</w:t>
      </w:r>
    </w:p>
    <w:p>
      <w:pPr>
        <w:spacing w:line="360" w:lineRule="auto"/>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监测跟踪病案填报、质控、归档等流程，以病案首页的住院日期为准，统计病案2/3/5天归档率指标数据，能下钻到超时归档病案和科室，按期分析总结，输出分析报告。</w:t>
      </w:r>
    </w:p>
    <w:p>
      <w:pPr>
        <w:numPr>
          <w:ilvl w:val="0"/>
          <w:numId w:val="10"/>
        </w:numPr>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病案首页质控规则知识库</w:t>
      </w:r>
      <w:bookmarkEnd w:id="52"/>
      <w:bookmarkEnd w:id="53"/>
    </w:p>
    <w:p>
      <w:pPr>
        <w:pStyle w:val="8"/>
        <w:ind w:firstLine="420" w:firstLineChars="200"/>
        <w:outlineLvl w:val="3"/>
        <w:rPr>
          <w:rFonts w:hint="eastAsia" w:ascii="仿宋" w:hAnsi="仿宋" w:eastAsia="仿宋" w:cs="仿宋"/>
          <w:sz w:val="21"/>
          <w:szCs w:val="21"/>
          <w:highlight w:val="none"/>
        </w:rPr>
      </w:pPr>
      <w:bookmarkStart w:id="54" w:name="_Toc4346"/>
      <w:bookmarkStart w:id="55" w:name="_Toc23993"/>
      <w:r>
        <w:rPr>
          <w:rFonts w:hint="eastAsia" w:ascii="仿宋" w:hAnsi="仿宋" w:eastAsia="仿宋" w:cs="仿宋"/>
          <w:sz w:val="21"/>
          <w:szCs w:val="21"/>
          <w:highlight w:val="none"/>
        </w:rPr>
        <w:t>（1）必填项质控规则</w:t>
      </w:r>
      <w:bookmarkEnd w:id="54"/>
      <w:bookmarkEnd w:id="55"/>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系统内置国家卫健委《住院病案首页必填项目列表》规则，实现病案首页必填项标准化质控。</w:t>
      </w:r>
    </w:p>
    <w:p>
      <w:pPr>
        <w:pStyle w:val="8"/>
        <w:ind w:firstLine="420" w:firstLineChars="200"/>
        <w:outlineLvl w:val="3"/>
        <w:rPr>
          <w:rFonts w:hint="eastAsia" w:ascii="仿宋" w:hAnsi="仿宋" w:eastAsia="仿宋" w:cs="仿宋"/>
          <w:sz w:val="21"/>
          <w:szCs w:val="21"/>
          <w:highlight w:val="none"/>
        </w:rPr>
      </w:pPr>
      <w:bookmarkStart w:id="56" w:name="_Toc6943"/>
      <w:bookmarkStart w:id="57" w:name="_Toc7291"/>
      <w:r>
        <w:rPr>
          <w:rFonts w:hint="eastAsia" w:ascii="仿宋" w:hAnsi="仿宋" w:eastAsia="仿宋" w:cs="仿宋"/>
          <w:sz w:val="21"/>
          <w:szCs w:val="21"/>
          <w:highlight w:val="none"/>
        </w:rPr>
        <w:t>（2）完整性质控规则</w:t>
      </w:r>
      <w:bookmarkEnd w:id="56"/>
      <w:bookmarkEnd w:id="57"/>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监测全病案首页项数据填写是否完整，是否存在数据漏填、不达标情况。</w:t>
      </w:r>
    </w:p>
    <w:p>
      <w:pPr>
        <w:pStyle w:val="8"/>
        <w:ind w:firstLine="420" w:firstLineChars="200"/>
        <w:outlineLvl w:val="3"/>
        <w:rPr>
          <w:rFonts w:hint="eastAsia" w:ascii="仿宋" w:hAnsi="仿宋" w:eastAsia="仿宋" w:cs="仿宋"/>
          <w:sz w:val="21"/>
          <w:szCs w:val="21"/>
          <w:highlight w:val="none"/>
        </w:rPr>
      </w:pPr>
      <w:bookmarkStart w:id="58" w:name="_Toc8603"/>
      <w:bookmarkStart w:id="59" w:name="_Toc27471"/>
      <w:r>
        <w:rPr>
          <w:rFonts w:hint="eastAsia" w:ascii="仿宋" w:hAnsi="仿宋" w:eastAsia="仿宋" w:cs="仿宋"/>
          <w:sz w:val="21"/>
          <w:szCs w:val="21"/>
          <w:highlight w:val="none"/>
        </w:rPr>
        <w:t>（3）值域质控规则</w:t>
      </w:r>
      <w:bookmarkEnd w:id="58"/>
      <w:bookmarkEnd w:id="59"/>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监测全病案首页项，各数据是否处于对应项目值域范围内。</w:t>
      </w:r>
    </w:p>
    <w:p>
      <w:pPr>
        <w:pStyle w:val="8"/>
        <w:ind w:firstLine="420" w:firstLineChars="200"/>
        <w:outlineLvl w:val="3"/>
        <w:rPr>
          <w:rFonts w:hint="eastAsia" w:ascii="仿宋" w:hAnsi="仿宋" w:eastAsia="仿宋" w:cs="仿宋"/>
          <w:sz w:val="21"/>
          <w:szCs w:val="21"/>
          <w:highlight w:val="none"/>
        </w:rPr>
      </w:pPr>
      <w:bookmarkStart w:id="60" w:name="_Toc5436"/>
      <w:bookmarkStart w:id="61" w:name="_Toc14606"/>
      <w:r>
        <w:rPr>
          <w:rFonts w:hint="eastAsia" w:ascii="仿宋" w:hAnsi="仿宋" w:eastAsia="仿宋" w:cs="仿宋"/>
          <w:sz w:val="21"/>
          <w:szCs w:val="21"/>
          <w:highlight w:val="none"/>
        </w:rPr>
        <w:t>（4）逻辑合理性质控规则</w:t>
      </w:r>
      <w:bookmarkEnd w:id="60"/>
      <w:bookmarkEnd w:id="61"/>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监测病案首页诊断编码是否存在无效主诊断、诊断编码与年龄是否合理、合并编码质控提醒、另编编码质控提醒、离院方式与诊断编码质控提醒、诊断编码与肿瘤形态学编码质控提醒、固定编码规则提醒、不包括编码规则提醒。</w:t>
      </w:r>
    </w:p>
    <w:p>
      <w:pPr>
        <w:pStyle w:val="8"/>
        <w:ind w:firstLine="420" w:firstLineChars="200"/>
        <w:outlineLvl w:val="3"/>
        <w:rPr>
          <w:rFonts w:hint="eastAsia" w:ascii="仿宋" w:hAnsi="仿宋" w:eastAsia="仿宋" w:cs="仿宋"/>
          <w:sz w:val="21"/>
          <w:szCs w:val="21"/>
          <w:highlight w:val="none"/>
        </w:rPr>
      </w:pPr>
      <w:bookmarkStart w:id="62" w:name="_Toc21739"/>
      <w:bookmarkStart w:id="63" w:name="_Toc32042"/>
      <w:r>
        <w:rPr>
          <w:rFonts w:hint="eastAsia" w:ascii="仿宋" w:hAnsi="仿宋" w:eastAsia="仿宋" w:cs="仿宋"/>
          <w:sz w:val="21"/>
          <w:szCs w:val="21"/>
          <w:highlight w:val="none"/>
        </w:rPr>
        <w:t>（5）诊断编码质控规则</w:t>
      </w:r>
      <w:bookmarkEnd w:id="62"/>
      <w:bookmarkEnd w:id="63"/>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实时监测病案首页手术编码是否存在主要手术编码是否合理、手术编码与诊断编码合理性、手术另编质控提醒、手术与性别质控提醒、手术与费用质控提醒。</w:t>
      </w:r>
    </w:p>
    <w:p>
      <w:pPr>
        <w:pStyle w:val="8"/>
        <w:ind w:firstLine="420" w:firstLineChars="200"/>
        <w:outlineLvl w:val="3"/>
        <w:rPr>
          <w:rFonts w:hint="eastAsia" w:ascii="仿宋" w:hAnsi="仿宋" w:eastAsia="仿宋" w:cs="仿宋"/>
          <w:sz w:val="21"/>
          <w:szCs w:val="21"/>
          <w:highlight w:val="none"/>
        </w:rPr>
      </w:pPr>
      <w:bookmarkStart w:id="64" w:name="_Toc7017"/>
      <w:bookmarkStart w:id="65" w:name="_Toc12264"/>
      <w:r>
        <w:rPr>
          <w:rFonts w:hint="eastAsia" w:ascii="仿宋" w:hAnsi="仿宋" w:eastAsia="仿宋" w:cs="仿宋"/>
          <w:sz w:val="21"/>
          <w:szCs w:val="21"/>
          <w:highlight w:val="none"/>
        </w:rPr>
        <w:t>（6）手术编码质控规则</w:t>
      </w:r>
      <w:bookmarkEnd w:id="64"/>
      <w:bookmarkEnd w:id="65"/>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支持针对临床产科、妇科、新生儿科、重症监护科等临床科室设定针对性病案首页质控规则。</w:t>
      </w:r>
    </w:p>
    <w:p>
      <w:pPr>
        <w:pStyle w:val="8"/>
        <w:ind w:firstLine="420" w:firstLineChars="200"/>
        <w:outlineLvl w:val="3"/>
        <w:rPr>
          <w:rFonts w:hint="eastAsia" w:ascii="仿宋" w:hAnsi="仿宋" w:eastAsia="仿宋" w:cs="仿宋"/>
          <w:sz w:val="21"/>
          <w:szCs w:val="21"/>
          <w:highlight w:val="none"/>
        </w:rPr>
      </w:pPr>
      <w:bookmarkStart w:id="66" w:name="_Toc15741"/>
      <w:bookmarkStart w:id="67" w:name="_Toc32554"/>
      <w:r>
        <w:rPr>
          <w:rFonts w:hint="eastAsia" w:ascii="仿宋" w:hAnsi="仿宋" w:eastAsia="仿宋" w:cs="仿宋"/>
          <w:sz w:val="21"/>
          <w:szCs w:val="21"/>
          <w:highlight w:val="none"/>
        </w:rPr>
        <w:t>（7）特殊临床科室质控规则</w:t>
      </w:r>
      <w:bookmarkEnd w:id="66"/>
      <w:bookmarkEnd w:id="67"/>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针对病案首页费用数据支持费用合理性校验，费用与病案首页项逻辑性校验。</w:t>
      </w:r>
    </w:p>
    <w:p>
      <w:pPr>
        <w:pStyle w:val="8"/>
        <w:ind w:firstLine="420" w:firstLineChars="200"/>
        <w:outlineLvl w:val="3"/>
        <w:rPr>
          <w:rFonts w:hint="eastAsia" w:ascii="仿宋" w:hAnsi="仿宋" w:eastAsia="仿宋" w:cs="仿宋"/>
          <w:sz w:val="21"/>
          <w:szCs w:val="21"/>
          <w:highlight w:val="none"/>
        </w:rPr>
      </w:pPr>
      <w:bookmarkStart w:id="68" w:name="_Toc27872"/>
      <w:bookmarkStart w:id="69" w:name="_Toc9226"/>
      <w:r>
        <w:rPr>
          <w:rFonts w:hint="eastAsia" w:ascii="仿宋" w:hAnsi="仿宋" w:eastAsia="仿宋" w:cs="仿宋"/>
          <w:sz w:val="21"/>
          <w:szCs w:val="21"/>
          <w:highlight w:val="none"/>
        </w:rPr>
        <w:t>（8）费用合理性质控规则</w:t>
      </w:r>
      <w:bookmarkEnd w:id="68"/>
      <w:bookmarkEnd w:id="69"/>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针对病案首页费用数据支持费用合理性校验，费用与病案首页项逻辑性校验。</w:t>
      </w:r>
    </w:p>
    <w:p>
      <w:pPr>
        <w:pStyle w:val="8"/>
        <w:ind w:firstLine="420" w:firstLineChars="200"/>
        <w:outlineLvl w:val="3"/>
        <w:rPr>
          <w:rFonts w:hint="eastAsia" w:ascii="仿宋" w:hAnsi="仿宋" w:eastAsia="仿宋" w:cs="仿宋"/>
          <w:sz w:val="21"/>
          <w:szCs w:val="21"/>
          <w:highlight w:val="none"/>
        </w:rPr>
      </w:pPr>
      <w:bookmarkStart w:id="70" w:name="_Toc16821"/>
      <w:bookmarkStart w:id="71" w:name="_Toc7032"/>
      <w:r>
        <w:rPr>
          <w:rFonts w:hint="eastAsia" w:ascii="仿宋" w:hAnsi="仿宋" w:eastAsia="仿宋" w:cs="仿宋"/>
          <w:sz w:val="21"/>
          <w:szCs w:val="21"/>
          <w:highlight w:val="none"/>
        </w:rPr>
        <w:t>（9）平台考核病案首页质控规则</w:t>
      </w:r>
      <w:bookmarkEnd w:id="70"/>
      <w:bookmarkEnd w:id="71"/>
    </w:p>
    <w:p>
      <w:pPr>
        <w:pStyle w:val="8"/>
        <w:numPr>
          <w:ilvl w:val="0"/>
          <w:numId w:val="11"/>
        </w:numPr>
        <w:rPr>
          <w:rFonts w:hint="eastAsia" w:ascii="仿宋" w:hAnsi="仿宋" w:eastAsia="仿宋" w:cs="仿宋"/>
          <w:sz w:val="21"/>
          <w:szCs w:val="21"/>
          <w:highlight w:val="none"/>
        </w:rPr>
      </w:pPr>
      <w:r>
        <w:rPr>
          <w:rFonts w:hint="eastAsia" w:ascii="仿宋" w:hAnsi="仿宋" w:eastAsia="仿宋" w:cs="仿宋"/>
          <w:sz w:val="21"/>
          <w:szCs w:val="21"/>
          <w:highlight w:val="none"/>
        </w:rPr>
        <w:t>系统对标省病案编码规则逻辑质控。</w:t>
      </w:r>
    </w:p>
    <w:p>
      <w:pPr>
        <w:pStyle w:val="8"/>
        <w:numPr>
          <w:ilvl w:val="0"/>
          <w:numId w:val="11"/>
        </w:numPr>
        <w:rPr>
          <w:rFonts w:hint="eastAsia" w:ascii="仿宋" w:hAnsi="仿宋" w:eastAsia="仿宋" w:cs="仿宋"/>
          <w:sz w:val="21"/>
          <w:szCs w:val="21"/>
          <w:highlight w:val="none"/>
        </w:rPr>
      </w:pPr>
      <w:r>
        <w:rPr>
          <w:rFonts w:hint="eastAsia" w:ascii="仿宋" w:hAnsi="仿宋" w:eastAsia="仿宋" w:cs="仿宋"/>
          <w:sz w:val="21"/>
          <w:szCs w:val="21"/>
          <w:highlight w:val="none"/>
        </w:rPr>
        <w:t>系统内嵌“国考”公立绩效病案首页考核质控规则。</w:t>
      </w:r>
    </w:p>
    <w:p>
      <w:pPr>
        <w:pStyle w:val="8"/>
        <w:numPr>
          <w:ilvl w:val="0"/>
          <w:numId w:val="11"/>
        </w:numPr>
        <w:rPr>
          <w:rFonts w:hint="eastAsia" w:ascii="仿宋" w:hAnsi="仿宋" w:eastAsia="仿宋" w:cs="仿宋"/>
          <w:sz w:val="21"/>
          <w:szCs w:val="21"/>
          <w:highlight w:val="none"/>
        </w:rPr>
      </w:pPr>
      <w:r>
        <w:rPr>
          <w:rFonts w:hint="eastAsia" w:ascii="仿宋" w:hAnsi="仿宋" w:eastAsia="仿宋" w:cs="仿宋"/>
          <w:sz w:val="21"/>
          <w:szCs w:val="21"/>
          <w:highlight w:val="none"/>
        </w:rPr>
        <w:t>系统内嵌NCIS“医疗质量数据监测”考核病案首页质控规则。</w:t>
      </w:r>
    </w:p>
    <w:p>
      <w:pPr>
        <w:pStyle w:val="8"/>
        <w:ind w:firstLine="420" w:firstLineChars="200"/>
        <w:outlineLvl w:val="3"/>
        <w:rPr>
          <w:rFonts w:hint="eastAsia" w:ascii="仿宋" w:hAnsi="仿宋" w:eastAsia="仿宋" w:cs="仿宋"/>
          <w:sz w:val="21"/>
          <w:szCs w:val="21"/>
          <w:highlight w:val="none"/>
        </w:rPr>
      </w:pPr>
      <w:bookmarkStart w:id="72" w:name="_Toc3503"/>
      <w:bookmarkStart w:id="73" w:name="_Toc18933"/>
      <w:r>
        <w:rPr>
          <w:rFonts w:hint="eastAsia" w:ascii="仿宋" w:hAnsi="仿宋" w:eastAsia="仿宋" w:cs="仿宋"/>
          <w:sz w:val="21"/>
          <w:szCs w:val="21"/>
          <w:highlight w:val="none"/>
        </w:rPr>
        <w:t>（10）病案质控规则配置化管理</w:t>
      </w:r>
      <w:bookmarkEnd w:id="72"/>
      <w:bookmarkEnd w:id="73"/>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可根据医院需求对病案首页质控规则于界面内进行调整和配置，操作内容包括“质控规则是否启用”、“病案首页甲级、乙级评分线”、“乙级单项否决限制次数”、“是否单项否决”、“质控规则适配科室”等。</w:t>
      </w:r>
    </w:p>
    <w:p>
      <w:pPr>
        <w:numPr>
          <w:ilvl w:val="0"/>
          <w:numId w:val="10"/>
        </w:numPr>
        <w:spacing w:line="360" w:lineRule="auto"/>
        <w:outlineLvl w:val="2"/>
        <w:rPr>
          <w:rFonts w:hint="eastAsia" w:ascii="仿宋" w:hAnsi="仿宋" w:eastAsia="仿宋" w:cs="仿宋"/>
          <w:b/>
          <w:bCs/>
          <w:sz w:val="21"/>
          <w:szCs w:val="21"/>
          <w:highlight w:val="none"/>
        </w:rPr>
      </w:pPr>
      <w:bookmarkStart w:id="74" w:name="_Toc27493"/>
      <w:bookmarkStart w:id="75" w:name="_Toc12286"/>
      <w:r>
        <w:rPr>
          <w:rFonts w:hint="eastAsia" w:ascii="仿宋" w:hAnsi="仿宋" w:eastAsia="仿宋" w:cs="仿宋"/>
          <w:b/>
          <w:bCs/>
          <w:sz w:val="21"/>
          <w:szCs w:val="21"/>
          <w:highlight w:val="none"/>
        </w:rPr>
        <w:t>病案首页上报及验证</w:t>
      </w:r>
      <w:bookmarkEnd w:id="74"/>
      <w:bookmarkEnd w:id="75"/>
    </w:p>
    <w:p>
      <w:pPr>
        <w:pStyle w:val="8"/>
        <w:ind w:firstLine="420" w:firstLineChars="200"/>
        <w:outlineLvl w:val="3"/>
        <w:rPr>
          <w:rFonts w:ascii="仿宋" w:hAnsi="仿宋" w:eastAsia="仿宋" w:cs="仿宋"/>
          <w:sz w:val="21"/>
          <w:szCs w:val="21"/>
          <w:highlight w:val="none"/>
        </w:rPr>
      </w:pPr>
      <w:bookmarkStart w:id="76" w:name="_Toc11600"/>
      <w:bookmarkStart w:id="77" w:name="_Toc5835"/>
      <w:r>
        <w:rPr>
          <w:rFonts w:hint="eastAsia" w:ascii="仿宋" w:hAnsi="仿宋" w:eastAsia="仿宋" w:cs="仿宋"/>
          <w:sz w:val="21"/>
          <w:szCs w:val="21"/>
          <w:highlight w:val="none"/>
        </w:rPr>
        <w:t>（1）病案首页上报支持</w:t>
      </w:r>
      <w:bookmarkEnd w:id="76"/>
      <w:bookmarkEnd w:id="77"/>
    </w:p>
    <w:p>
      <w:pPr>
        <w:pStyle w:val="8"/>
        <w:numPr>
          <w:ilvl w:val="0"/>
          <w:numId w:val="12"/>
        </w:numPr>
        <w:rPr>
          <w:rFonts w:hint="eastAsia" w:ascii="仿宋" w:hAnsi="仿宋" w:eastAsia="仿宋" w:cs="仿宋"/>
          <w:sz w:val="21"/>
          <w:szCs w:val="21"/>
          <w:highlight w:val="none"/>
        </w:rPr>
      </w:pPr>
      <w:r>
        <w:rPr>
          <w:rFonts w:hint="eastAsia" w:ascii="仿宋" w:hAnsi="仿宋" w:eastAsia="仿宋" w:cs="仿宋"/>
          <w:sz w:val="21"/>
          <w:szCs w:val="21"/>
          <w:highlight w:val="none"/>
        </w:rPr>
        <w:t>支持卫健委网络直报卫统N041上报。</w:t>
      </w:r>
    </w:p>
    <w:p>
      <w:pPr>
        <w:pStyle w:val="8"/>
        <w:numPr>
          <w:ilvl w:val="0"/>
          <w:numId w:val="12"/>
        </w:numPr>
        <w:rPr>
          <w:rFonts w:hint="eastAsia" w:ascii="仿宋" w:hAnsi="仿宋" w:eastAsia="仿宋" w:cs="仿宋"/>
          <w:sz w:val="21"/>
          <w:szCs w:val="21"/>
          <w:highlight w:val="none"/>
        </w:rPr>
      </w:pPr>
      <w:r>
        <w:rPr>
          <w:rFonts w:hint="eastAsia" w:ascii="仿宋" w:hAnsi="仿宋" w:eastAsia="仿宋" w:cs="仿宋"/>
          <w:sz w:val="21"/>
          <w:szCs w:val="21"/>
          <w:highlight w:val="none"/>
        </w:rPr>
        <w:t>支持公立绩效考核病案首页上传。</w:t>
      </w:r>
    </w:p>
    <w:p>
      <w:pPr>
        <w:pStyle w:val="8"/>
        <w:numPr>
          <w:ilvl w:val="0"/>
          <w:numId w:val="12"/>
        </w:numPr>
        <w:rPr>
          <w:rFonts w:hint="eastAsia" w:ascii="仿宋" w:hAnsi="仿宋" w:eastAsia="仿宋" w:cs="仿宋"/>
          <w:sz w:val="21"/>
          <w:szCs w:val="21"/>
          <w:highlight w:val="none"/>
        </w:rPr>
      </w:pPr>
      <w:r>
        <w:rPr>
          <w:rFonts w:hint="eastAsia" w:ascii="仿宋" w:hAnsi="仿宋" w:eastAsia="仿宋" w:cs="仿宋"/>
          <w:sz w:val="21"/>
          <w:szCs w:val="21"/>
          <w:highlight w:val="none"/>
        </w:rPr>
        <w:t>支持HQMS病案首页西医上传。</w:t>
      </w:r>
    </w:p>
    <w:p>
      <w:pPr>
        <w:pStyle w:val="8"/>
        <w:numPr>
          <w:ilvl w:val="0"/>
          <w:numId w:val="12"/>
        </w:numPr>
        <w:rPr>
          <w:rFonts w:hint="eastAsia" w:ascii="仿宋" w:hAnsi="仿宋" w:eastAsia="仿宋" w:cs="仿宋"/>
          <w:sz w:val="21"/>
          <w:szCs w:val="21"/>
          <w:highlight w:val="none"/>
        </w:rPr>
      </w:pPr>
      <w:r>
        <w:rPr>
          <w:rFonts w:hint="eastAsia" w:ascii="仿宋" w:hAnsi="仿宋" w:eastAsia="仿宋" w:cs="仿宋"/>
          <w:sz w:val="21"/>
          <w:szCs w:val="21"/>
          <w:highlight w:val="none"/>
        </w:rPr>
        <w:t>支持NCIS病案首页西医上传。</w:t>
      </w:r>
    </w:p>
    <w:p>
      <w:pPr>
        <w:pStyle w:val="8"/>
        <w:numPr>
          <w:ilvl w:val="0"/>
          <w:numId w:val="12"/>
        </w:numPr>
        <w:rPr>
          <w:rFonts w:hint="eastAsia" w:ascii="仿宋" w:hAnsi="仿宋" w:eastAsia="仿宋" w:cs="仿宋"/>
          <w:sz w:val="21"/>
          <w:szCs w:val="21"/>
          <w:highlight w:val="none"/>
        </w:rPr>
      </w:pPr>
      <w:r>
        <w:rPr>
          <w:rFonts w:hint="eastAsia" w:ascii="仿宋" w:hAnsi="仿宋" w:eastAsia="仿宋" w:cs="仿宋"/>
          <w:sz w:val="21"/>
          <w:szCs w:val="21"/>
          <w:highlight w:val="none"/>
        </w:rPr>
        <w:t>支持国家人力资源保障局人事司《职称制度改革的指导意见》，人员信息表、病案首页数据采集和上传。</w:t>
      </w:r>
    </w:p>
    <w:p>
      <w:pPr>
        <w:pStyle w:val="8"/>
        <w:ind w:firstLine="420" w:firstLineChars="200"/>
        <w:outlineLvl w:val="3"/>
        <w:rPr>
          <w:rFonts w:hint="eastAsia" w:ascii="仿宋" w:hAnsi="仿宋" w:eastAsia="仿宋" w:cs="仿宋"/>
          <w:sz w:val="21"/>
          <w:szCs w:val="21"/>
          <w:highlight w:val="none"/>
        </w:rPr>
      </w:pPr>
      <w:bookmarkStart w:id="78" w:name="_Toc11785"/>
      <w:bookmarkStart w:id="79" w:name="_Toc6124"/>
      <w:r>
        <w:rPr>
          <w:rFonts w:hint="eastAsia" w:ascii="仿宋" w:hAnsi="仿宋" w:eastAsia="仿宋" w:cs="仿宋"/>
          <w:sz w:val="21"/>
          <w:szCs w:val="21"/>
          <w:highlight w:val="none"/>
        </w:rPr>
        <w:t>（2）病案首页上报前数据质量验证</w:t>
      </w:r>
      <w:bookmarkEnd w:id="78"/>
      <w:bookmarkEnd w:id="79"/>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根据公立医院绩效考核病案首页上报平台接口文档要求，自动核查上报数据质量，列出异常问题项清单。</w:t>
      </w:r>
    </w:p>
    <w:p>
      <w:pPr>
        <w:pStyle w:val="8"/>
        <w:ind w:firstLine="420" w:firstLineChars="200"/>
        <w:outlineLvl w:val="3"/>
        <w:rPr>
          <w:rFonts w:ascii="仿宋" w:hAnsi="仿宋" w:eastAsia="仿宋" w:cs="仿宋"/>
          <w:sz w:val="21"/>
          <w:szCs w:val="21"/>
          <w:highlight w:val="none"/>
        </w:rPr>
      </w:pPr>
      <w:bookmarkStart w:id="80" w:name="_Toc28680"/>
      <w:bookmarkStart w:id="81" w:name="_Toc22495"/>
      <w:r>
        <w:rPr>
          <w:rFonts w:hint="eastAsia" w:ascii="仿宋" w:hAnsi="仿宋" w:eastAsia="仿宋" w:cs="仿宋"/>
          <w:sz w:val="21"/>
          <w:szCs w:val="21"/>
          <w:highlight w:val="none"/>
        </w:rPr>
        <w:t>（3）上报异常数据修改及分析</w:t>
      </w:r>
      <w:bookmarkEnd w:id="80"/>
      <w:bookmarkEnd w:id="81"/>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可对异常首页精准定位影响上报的问题数据项，并提供直接修改报错操作。分析导致上报异常的相关首页。分析导致上报异常的相关数据问题。</w:t>
      </w:r>
    </w:p>
    <w:p>
      <w:pPr>
        <w:pStyle w:val="8"/>
        <w:ind w:firstLine="420" w:firstLineChars="200"/>
        <w:outlineLvl w:val="3"/>
        <w:rPr>
          <w:rFonts w:hint="eastAsia" w:ascii="仿宋" w:hAnsi="仿宋" w:eastAsia="仿宋" w:cs="仿宋"/>
          <w:sz w:val="21"/>
          <w:szCs w:val="21"/>
          <w:highlight w:val="none"/>
        </w:rPr>
      </w:pPr>
      <w:bookmarkStart w:id="82" w:name="_Toc24441"/>
      <w:bookmarkStart w:id="83" w:name="_Toc25136"/>
      <w:r>
        <w:rPr>
          <w:rFonts w:hint="eastAsia" w:ascii="仿宋" w:hAnsi="仿宋" w:eastAsia="仿宋" w:cs="仿宋"/>
          <w:sz w:val="21"/>
          <w:szCs w:val="21"/>
          <w:highlight w:val="none"/>
        </w:rPr>
        <w:t>（4）上报数据生成、导出</w:t>
      </w:r>
      <w:bookmarkEnd w:id="82"/>
      <w:bookmarkEnd w:id="83"/>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各平台上报，均支持一键生成，一键导出，支持多种类型导出格式，满足各类上报平台上报文件格式要求。</w:t>
      </w:r>
    </w:p>
    <w:p>
      <w:pPr>
        <w:pStyle w:val="8"/>
        <w:ind w:firstLine="420" w:firstLineChars="200"/>
        <w:outlineLvl w:val="3"/>
        <w:rPr>
          <w:rFonts w:hint="eastAsia" w:ascii="仿宋" w:hAnsi="仿宋" w:eastAsia="仿宋" w:cs="仿宋"/>
          <w:sz w:val="21"/>
          <w:szCs w:val="21"/>
          <w:highlight w:val="none"/>
        </w:rPr>
      </w:pPr>
      <w:bookmarkStart w:id="84" w:name="_Toc16028"/>
      <w:bookmarkStart w:id="85" w:name="_Toc26670"/>
      <w:r>
        <w:rPr>
          <w:rFonts w:hint="eastAsia" w:ascii="仿宋" w:hAnsi="仿宋" w:eastAsia="仿宋" w:cs="仿宋"/>
          <w:sz w:val="21"/>
          <w:szCs w:val="21"/>
          <w:highlight w:val="none"/>
        </w:rPr>
        <w:t>（5）上报数据反向验证</w:t>
      </w:r>
      <w:bookmarkEnd w:id="84"/>
      <w:bookmarkEnd w:id="85"/>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上报数据反向验证：支持对第三方系统导出的标准上报文件与本系统病案首页数据进行反向验证，包括字段类型和长度的校验、字典值域的校验以及数据的校验，分别生成校验结果明细，支持一键导出校验结果。</w:t>
      </w:r>
    </w:p>
    <w:p>
      <w:pPr>
        <w:pStyle w:val="8"/>
        <w:numPr>
          <w:ilvl w:val="0"/>
          <w:numId w:val="13"/>
        </w:numPr>
        <w:rPr>
          <w:rFonts w:hint="eastAsia" w:ascii="仿宋" w:hAnsi="仿宋" w:eastAsia="仿宋" w:cs="仿宋"/>
          <w:sz w:val="21"/>
          <w:szCs w:val="21"/>
          <w:highlight w:val="none"/>
        </w:rPr>
      </w:pPr>
      <w:r>
        <w:rPr>
          <w:rFonts w:hint="eastAsia" w:ascii="仿宋" w:hAnsi="仿宋" w:eastAsia="仿宋" w:cs="仿宋"/>
          <w:sz w:val="21"/>
          <w:szCs w:val="21"/>
          <w:highlight w:val="none"/>
        </w:rPr>
        <w:t>支持xlsx、xls、dbf、csv格式的标准上报文件导入校验；</w:t>
      </w:r>
    </w:p>
    <w:p>
      <w:pPr>
        <w:pStyle w:val="8"/>
        <w:numPr>
          <w:ilvl w:val="0"/>
          <w:numId w:val="13"/>
        </w:numPr>
        <w:rPr>
          <w:rFonts w:hint="eastAsia" w:ascii="仿宋" w:hAnsi="仿宋" w:eastAsia="仿宋" w:cs="仿宋"/>
          <w:sz w:val="21"/>
          <w:szCs w:val="21"/>
          <w:highlight w:val="none"/>
        </w:rPr>
      </w:pPr>
      <w:r>
        <w:rPr>
          <w:rFonts w:hint="eastAsia" w:ascii="仿宋" w:hAnsi="仿宋" w:eastAsia="仿宋" w:cs="仿宋"/>
          <w:sz w:val="21"/>
          <w:szCs w:val="21"/>
          <w:highlight w:val="none"/>
        </w:rPr>
        <w:t>支持字段类型的校验，如整数、小数、日期类型等</w:t>
      </w:r>
    </w:p>
    <w:p>
      <w:pPr>
        <w:pStyle w:val="8"/>
        <w:numPr>
          <w:ilvl w:val="0"/>
          <w:numId w:val="13"/>
        </w:numPr>
        <w:rPr>
          <w:rFonts w:hint="eastAsia" w:ascii="仿宋" w:hAnsi="仿宋" w:eastAsia="仿宋" w:cs="仿宋"/>
          <w:sz w:val="21"/>
          <w:szCs w:val="21"/>
          <w:highlight w:val="none"/>
        </w:rPr>
      </w:pPr>
      <w:r>
        <w:rPr>
          <w:rFonts w:hint="eastAsia" w:ascii="仿宋" w:hAnsi="仿宋" w:eastAsia="仿宋" w:cs="仿宋"/>
          <w:sz w:val="21"/>
          <w:szCs w:val="21"/>
          <w:highlight w:val="none"/>
        </w:rPr>
        <w:t>支持字段数据长度的校验，如超过上报规定最大长度等</w:t>
      </w:r>
    </w:p>
    <w:p>
      <w:pPr>
        <w:pStyle w:val="8"/>
        <w:numPr>
          <w:ilvl w:val="0"/>
          <w:numId w:val="13"/>
        </w:numP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支持数据字段必填项的检验 </w:t>
      </w:r>
    </w:p>
    <w:p>
      <w:pPr>
        <w:pStyle w:val="8"/>
        <w:numPr>
          <w:ilvl w:val="0"/>
          <w:numId w:val="13"/>
        </w:numP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支持字典值域的校验，如职业、婚姻、科室等字典的校验 </w:t>
      </w:r>
    </w:p>
    <w:p>
      <w:pPr>
        <w:pStyle w:val="8"/>
        <w:numPr>
          <w:ilvl w:val="0"/>
          <w:numId w:val="13"/>
        </w:numPr>
        <w:rPr>
          <w:rFonts w:hint="eastAsia" w:ascii="仿宋" w:hAnsi="仿宋" w:eastAsia="仿宋" w:cs="仿宋"/>
          <w:sz w:val="21"/>
          <w:szCs w:val="21"/>
          <w:highlight w:val="none"/>
        </w:rPr>
      </w:pPr>
      <w:r>
        <w:rPr>
          <w:rFonts w:hint="eastAsia" w:ascii="仿宋" w:hAnsi="仿宋" w:eastAsia="仿宋" w:cs="仿宋"/>
          <w:sz w:val="21"/>
          <w:szCs w:val="21"/>
          <w:highlight w:val="none"/>
        </w:rPr>
        <w:t>支持数据的校验，可根据需求配置部分或全量字段进行数据校验，如身份证号不匹配、主要诊断不匹配等。</w:t>
      </w:r>
    </w:p>
    <w:p>
      <w:pPr>
        <w:pStyle w:val="8"/>
        <w:ind w:firstLine="420" w:firstLineChars="200"/>
        <w:outlineLvl w:val="3"/>
        <w:rPr>
          <w:rFonts w:hint="eastAsia" w:ascii="仿宋" w:hAnsi="仿宋" w:eastAsia="仿宋" w:cs="仿宋"/>
          <w:sz w:val="21"/>
          <w:szCs w:val="21"/>
          <w:highlight w:val="none"/>
        </w:rPr>
      </w:pPr>
      <w:bookmarkStart w:id="86" w:name="_Toc4158"/>
      <w:bookmarkStart w:id="87" w:name="_Toc7440"/>
      <w:r>
        <w:rPr>
          <w:rFonts w:hint="eastAsia" w:ascii="仿宋" w:hAnsi="仿宋" w:eastAsia="仿宋" w:cs="仿宋"/>
          <w:sz w:val="21"/>
          <w:szCs w:val="21"/>
          <w:highlight w:val="none"/>
        </w:rPr>
        <w:t>（6）字典映射配置</w:t>
      </w:r>
      <w:bookmarkEnd w:id="86"/>
      <w:bookmarkEnd w:id="87"/>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系统支持在界面对上报平台、上报字段、上报字典、字典映射关系进行配置化设置。</w:t>
      </w:r>
      <w:r>
        <w:rPr>
          <w:rFonts w:hint="eastAsia" w:ascii="仿宋" w:hAnsi="仿宋" w:eastAsia="仿宋" w:cs="仿宋"/>
          <w:sz w:val="21"/>
          <w:szCs w:val="21"/>
          <w:highlight w:val="none"/>
        </w:rPr>
        <w:tab/>
      </w:r>
      <w:r>
        <w:rPr>
          <w:rFonts w:hint="eastAsia" w:ascii="仿宋" w:hAnsi="仿宋" w:eastAsia="仿宋" w:cs="仿宋"/>
          <w:sz w:val="21"/>
          <w:szCs w:val="21"/>
          <w:highlight w:val="none"/>
        </w:rPr>
        <w:t>“上报平台设置”支持开启与停用，同时各上报平台的省区版本可在界面支持版本开启与关闭设置。</w:t>
      </w:r>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“上报字段设置”支持根据平台的各省区版本，自定义设置各上报字段英文名称、中文名称、字段类型、字段长度、小数位数、是否必填、默认值、映射首页字段等条件。</w:t>
      </w:r>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“上报字典设置”支持根据“基础字典”、“诊断字典”、“手术字典”、“科室字典”、“麻醉字典”等“条件”对上报字典进行设置。</w:t>
      </w:r>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“上报字典对照设置”支持根据“基础字典”、“诊断字典”、“手术字典”、“科室字典”、“麻醉字典”等“条件”对上报字典的对照关系进行设置。</w:t>
      </w:r>
    </w:p>
    <w:p>
      <w:pPr>
        <w:numPr>
          <w:ilvl w:val="0"/>
          <w:numId w:val="10"/>
        </w:numPr>
        <w:spacing w:line="360" w:lineRule="auto"/>
        <w:outlineLvl w:val="2"/>
        <w:rPr>
          <w:rFonts w:ascii="仿宋" w:hAnsi="仿宋" w:eastAsia="仿宋" w:cs="仿宋"/>
          <w:b/>
          <w:bCs/>
          <w:sz w:val="21"/>
          <w:szCs w:val="21"/>
          <w:highlight w:val="none"/>
        </w:rPr>
      </w:pPr>
      <w:bookmarkStart w:id="88" w:name="_Toc18633"/>
      <w:bookmarkStart w:id="89" w:name="_Toc10217"/>
      <w:r>
        <w:rPr>
          <w:rFonts w:hint="eastAsia" w:ascii="仿宋" w:hAnsi="仿宋" w:eastAsia="仿宋" w:cs="仿宋"/>
          <w:b/>
          <w:bCs/>
          <w:sz w:val="21"/>
          <w:szCs w:val="21"/>
          <w:highlight w:val="none"/>
        </w:rPr>
        <w:t>病案首页质量分析报告</w:t>
      </w:r>
      <w:bookmarkEnd w:id="88"/>
      <w:bookmarkEnd w:id="89"/>
    </w:p>
    <w:p>
      <w:pPr>
        <w:pStyle w:val="8"/>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对每月病案质控的质量考评分析、统计科室及质控员、医生的优秀病历情况、各科室病案首页缺陷问题分布统计及排名等内容生成并导出病案首页质量分析报告。</w:t>
      </w:r>
    </w:p>
    <w:p>
      <w:pPr>
        <w:pStyle w:val="8"/>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按照可视化的分析报告模板，导出所有核查内容形成图表及深入分析报告并导出改进意见。包括不限于病案首页的质控分析、病案2/3/5 天归档率数据专题分析报告、DRGs未入组原因分析报告、低风险死亡病历编码质控及分析报告等。</w:t>
      </w:r>
    </w:p>
    <w:p>
      <w:pPr>
        <w:pStyle w:val="63"/>
        <w:numPr>
          <w:ilvl w:val="0"/>
          <w:numId w:val="4"/>
        </w:numPr>
        <w:ind w:left="845"/>
        <w:rPr>
          <w:rFonts w:hint="eastAsia" w:cs="仿宋"/>
          <w:sz w:val="21"/>
          <w:szCs w:val="21"/>
          <w:highlight w:val="none"/>
        </w:rPr>
      </w:pPr>
      <w:bookmarkStart w:id="90" w:name="_Toc18865"/>
      <w:bookmarkStart w:id="91" w:name="_Toc28199"/>
      <w:r>
        <w:rPr>
          <w:rFonts w:hint="eastAsia" w:cs="仿宋"/>
          <w:sz w:val="21"/>
          <w:szCs w:val="21"/>
          <w:highlight w:val="none"/>
        </w:rPr>
        <w:t>自动采集整合</w:t>
      </w:r>
      <w:bookmarkEnd w:id="90"/>
      <w:bookmarkEnd w:id="91"/>
    </w:p>
    <w:p>
      <w:pPr>
        <w:numPr>
          <w:ilvl w:val="0"/>
          <w:numId w:val="14"/>
        </w:numPr>
        <w:spacing w:line="360" w:lineRule="auto"/>
        <w:outlineLvl w:val="2"/>
        <w:rPr>
          <w:rFonts w:hint="eastAsia" w:ascii="仿宋" w:hAnsi="仿宋" w:eastAsia="仿宋" w:cs="仿宋"/>
          <w:b/>
          <w:bCs/>
          <w:sz w:val="21"/>
          <w:szCs w:val="21"/>
          <w:highlight w:val="none"/>
        </w:rPr>
      </w:pPr>
      <w:bookmarkStart w:id="92" w:name="_Toc20783"/>
      <w:bookmarkStart w:id="93" w:name="_Toc6877"/>
      <w:r>
        <w:rPr>
          <w:rFonts w:hint="eastAsia" w:ascii="仿宋" w:hAnsi="仿宋" w:eastAsia="仿宋" w:cs="仿宋"/>
          <w:b/>
          <w:bCs/>
          <w:sz w:val="21"/>
          <w:szCs w:val="21"/>
          <w:highlight w:val="none"/>
        </w:rPr>
        <w:t>实时采集要求</w:t>
      </w:r>
      <w:bookmarkEnd w:id="92"/>
      <w:bookmarkEnd w:id="93"/>
    </w:p>
    <w:p>
      <w:pPr>
        <w:pStyle w:val="12"/>
        <w:rPr>
          <w:rFonts w:hint="eastAsia"/>
          <w:sz w:val="21"/>
          <w:szCs w:val="21"/>
          <w:highlight w:val="none"/>
        </w:rPr>
      </w:pPr>
    </w:p>
    <w:p>
      <w:pPr>
        <w:spacing w:line="360" w:lineRule="auto"/>
        <w:ind w:left="420" w:firstLine="420" w:firstLineChars="200"/>
        <w:jc w:val="left"/>
        <w:rPr>
          <w:rFonts w:ascii="仿宋" w:hAnsi="仿宋" w:eastAsia="仿宋" w:cs="仿宋"/>
          <w:sz w:val="21"/>
          <w:szCs w:val="21"/>
          <w:highlight w:val="none"/>
        </w:rPr>
      </w:pPr>
      <w:r>
        <w:rPr>
          <w:rFonts w:hint="eastAsia" w:ascii="仿宋" w:hAnsi="仿宋" w:eastAsia="仿宋" w:cs="仿宋"/>
          <w:sz w:val="21"/>
          <w:szCs w:val="21"/>
          <w:highlight w:val="none"/>
        </w:rPr>
        <w:t>数据对接应做到应接尽接，要求国考体系26项重点监测指标数据自动化采集率不低于85%；实时内控体系自动化采集率不低于90%。无法实现自动采集的指标需要提供报表导入和人工填报的入口，并要求系统留痕。系统对接可覆盖HIS信息管理系统、电子病历系统、财务ERP数据、手麻系统、院感系统、人事系统、质控系统、合理用药系统、互联网医院系统、体检管理系统、影像信息系统、省病案统计系统、HQMS系统、省直报系统、室间质量评价系统、医师电子化注册系统等，保证数据及时性。</w:t>
      </w:r>
    </w:p>
    <w:p>
      <w:pPr>
        <w:numPr>
          <w:ilvl w:val="0"/>
          <w:numId w:val="14"/>
        </w:numPr>
        <w:spacing w:line="360" w:lineRule="auto"/>
        <w:outlineLvl w:val="2"/>
        <w:rPr>
          <w:rFonts w:hint="eastAsia" w:ascii="仿宋" w:hAnsi="仿宋" w:eastAsia="仿宋" w:cs="仿宋"/>
          <w:b/>
          <w:bCs/>
          <w:sz w:val="21"/>
          <w:szCs w:val="21"/>
          <w:highlight w:val="none"/>
        </w:rPr>
      </w:pPr>
      <w:bookmarkStart w:id="94" w:name="_Toc24796"/>
      <w:bookmarkStart w:id="95" w:name="_Toc6335"/>
      <w:r>
        <w:rPr>
          <w:rFonts w:hint="eastAsia" w:ascii="仿宋" w:hAnsi="仿宋" w:eastAsia="仿宋" w:cs="仿宋"/>
          <w:b/>
          <w:bCs/>
          <w:sz w:val="21"/>
          <w:szCs w:val="21"/>
          <w:highlight w:val="none"/>
        </w:rPr>
        <w:t>HQMS数据反馈</w:t>
      </w:r>
      <w:bookmarkEnd w:id="94"/>
      <w:bookmarkEnd w:id="95"/>
    </w:p>
    <w:p>
      <w:pPr>
        <w:spacing w:line="360" w:lineRule="auto"/>
        <w:ind w:left="420"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对接国家HQMS病案首页系统，支持自动上传下载病案首页数据，及时同步国家反馈数据。要求国考体系统计的指标和国家反馈的指标对比，平均准确率达98%以上，提供相关统计的目录编码和规则清洗。保证病案数据准确性。</w:t>
      </w:r>
    </w:p>
    <w:p>
      <w:pPr>
        <w:numPr>
          <w:ilvl w:val="0"/>
          <w:numId w:val="14"/>
        </w:numPr>
        <w:spacing w:line="360" w:lineRule="auto"/>
        <w:outlineLvl w:val="2"/>
        <w:rPr>
          <w:rFonts w:hint="eastAsia" w:ascii="仿宋" w:hAnsi="仿宋" w:eastAsia="仿宋" w:cs="仿宋"/>
          <w:b/>
          <w:bCs/>
          <w:sz w:val="21"/>
          <w:szCs w:val="21"/>
          <w:highlight w:val="none"/>
        </w:rPr>
      </w:pPr>
      <w:bookmarkStart w:id="96" w:name="_Toc2862"/>
      <w:bookmarkStart w:id="97" w:name="_Toc29155"/>
      <w:r>
        <w:rPr>
          <w:rFonts w:hint="eastAsia" w:ascii="仿宋" w:hAnsi="仿宋" w:eastAsia="仿宋" w:cs="仿宋"/>
          <w:b/>
          <w:bCs/>
          <w:sz w:val="21"/>
          <w:szCs w:val="21"/>
          <w:highlight w:val="none"/>
        </w:rPr>
        <w:t>动态预警监测</w:t>
      </w:r>
      <w:bookmarkEnd w:id="96"/>
      <w:bookmarkEnd w:id="97"/>
    </w:p>
    <w:p>
      <w:pPr>
        <w:spacing w:line="360" w:lineRule="auto"/>
        <w:ind w:left="4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数据实时同步采集过程中支持同步状态异常、同步数量0值预警，支持指标、因子多组预警条件的设置，包括阈值、同比值、环比值、当月值、当年值、分数的预警规则，数据触发后及时发送短信于运维负责人排查，保证数据完整性。</w:t>
      </w:r>
    </w:p>
    <w:p>
      <w:pPr>
        <w:numPr>
          <w:ilvl w:val="0"/>
          <w:numId w:val="14"/>
        </w:numPr>
        <w:spacing w:line="360" w:lineRule="auto"/>
        <w:outlineLvl w:val="2"/>
        <w:rPr>
          <w:rFonts w:hint="eastAsia" w:ascii="仿宋" w:hAnsi="仿宋" w:eastAsia="仿宋" w:cs="仿宋"/>
          <w:b/>
          <w:bCs/>
          <w:sz w:val="21"/>
          <w:szCs w:val="21"/>
          <w:highlight w:val="none"/>
        </w:rPr>
      </w:pPr>
      <w:bookmarkStart w:id="98" w:name="_Toc13628"/>
      <w:bookmarkStart w:id="99" w:name="_Toc14637"/>
      <w:r>
        <w:rPr>
          <w:rFonts w:hint="eastAsia" w:ascii="仿宋" w:hAnsi="仿宋" w:eastAsia="仿宋" w:cs="仿宋"/>
          <w:b/>
          <w:bCs/>
          <w:sz w:val="21"/>
          <w:szCs w:val="21"/>
          <w:highlight w:val="none"/>
        </w:rPr>
        <w:t>绩效考核上报表</w:t>
      </w:r>
      <w:bookmarkEnd w:id="98"/>
      <w:bookmarkEnd w:id="99"/>
    </w:p>
    <w:p>
      <w:pPr>
        <w:spacing w:line="360" w:lineRule="auto"/>
        <w:ind w:left="420"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严格按照国家绩效考核指标上报格式和数据源要求，满足自动采集整合、手工填报方式完成国考体系年度填报整合工作。支持一键导出上报。支持切换不同年度，数据溯源对比。</w:t>
      </w:r>
    </w:p>
    <w:p>
      <w:pPr>
        <w:pStyle w:val="12"/>
        <w:rPr>
          <w:rFonts w:hint="eastAsia"/>
          <w:sz w:val="21"/>
          <w:szCs w:val="21"/>
          <w:highlight w:val="none"/>
        </w:rPr>
      </w:pPr>
    </w:p>
    <w:p>
      <w:pPr>
        <w:pStyle w:val="63"/>
        <w:numPr>
          <w:ilvl w:val="0"/>
          <w:numId w:val="4"/>
        </w:numPr>
        <w:ind w:left="845"/>
        <w:rPr>
          <w:rFonts w:cs="仿宋"/>
          <w:sz w:val="21"/>
          <w:szCs w:val="21"/>
          <w:highlight w:val="none"/>
        </w:rPr>
      </w:pPr>
      <w:bookmarkStart w:id="100" w:name="_Toc1178"/>
      <w:bookmarkStart w:id="101" w:name="_Toc8758"/>
      <w:r>
        <w:rPr>
          <w:rFonts w:hint="eastAsia" w:cs="仿宋"/>
          <w:sz w:val="21"/>
          <w:szCs w:val="21"/>
          <w:highlight w:val="none"/>
        </w:rPr>
        <w:t>指标看板管理</w:t>
      </w:r>
      <w:bookmarkEnd w:id="100"/>
      <w:bookmarkEnd w:id="101"/>
    </w:p>
    <w:p>
      <w:pPr>
        <w:numPr>
          <w:ilvl w:val="0"/>
          <w:numId w:val="15"/>
        </w:numPr>
        <w:spacing w:line="360" w:lineRule="auto"/>
        <w:outlineLvl w:val="2"/>
        <w:rPr>
          <w:rFonts w:hint="eastAsia" w:ascii="仿宋" w:hAnsi="仿宋" w:eastAsia="仿宋" w:cs="仿宋"/>
          <w:b/>
          <w:bCs/>
          <w:sz w:val="21"/>
          <w:szCs w:val="21"/>
          <w:highlight w:val="none"/>
        </w:rPr>
      </w:pPr>
      <w:bookmarkStart w:id="102" w:name="_Toc10056"/>
      <w:bookmarkStart w:id="103" w:name="_Toc12840"/>
      <w:r>
        <w:rPr>
          <w:rFonts w:hint="eastAsia" w:ascii="仿宋" w:hAnsi="仿宋" w:eastAsia="仿宋" w:cs="仿宋"/>
          <w:b/>
          <w:bCs/>
          <w:sz w:val="21"/>
          <w:szCs w:val="21"/>
          <w:highlight w:val="none"/>
        </w:rPr>
        <w:t>考核体系-国考/省考体系</w:t>
      </w:r>
      <w:bookmarkEnd w:id="102"/>
      <w:bookmarkEnd w:id="103"/>
    </w:p>
    <w:p>
      <w:pPr>
        <w:spacing w:line="360" w:lineRule="auto"/>
        <w:ind w:left="420"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根据三级公立医院绩效考核</w:t>
      </w:r>
      <w:r>
        <w:rPr>
          <w:rFonts w:ascii="仿宋" w:hAnsi="仿宋" w:eastAsia="仿宋" w:cs="仿宋"/>
          <w:sz w:val="21"/>
          <w:szCs w:val="21"/>
          <w:highlight w:val="none"/>
        </w:rPr>
        <w:t>指南要求口径</w:t>
      </w:r>
      <w:r>
        <w:rPr>
          <w:rFonts w:hint="eastAsia" w:ascii="仿宋" w:hAnsi="仿宋" w:eastAsia="仿宋" w:cs="仿宋"/>
          <w:sz w:val="21"/>
          <w:szCs w:val="21"/>
          <w:highlight w:val="none"/>
        </w:rPr>
        <w:t>，对接院内病案系统，HIS系统，财务ERP数据，影像系统，第三方满意度，国家电子化注册系统，国家健康信息直报系统，HQMS系统，国家室间质量评价系统等，</w:t>
      </w:r>
      <w:r>
        <w:rPr>
          <w:rFonts w:ascii="仿宋" w:hAnsi="仿宋" w:eastAsia="仿宋" w:cs="仿宋"/>
          <w:sz w:val="21"/>
          <w:szCs w:val="21"/>
          <w:highlight w:val="none"/>
        </w:rPr>
        <w:t>每月15号自动</w:t>
      </w:r>
      <w:r>
        <w:rPr>
          <w:rFonts w:hint="eastAsia" w:ascii="仿宋" w:hAnsi="仿宋" w:eastAsia="仿宋" w:cs="仿宋"/>
          <w:sz w:val="21"/>
          <w:szCs w:val="21"/>
          <w:highlight w:val="none"/>
        </w:rPr>
        <w:t>采集上个月的</w:t>
      </w:r>
      <w:r>
        <w:rPr>
          <w:rFonts w:ascii="仿宋" w:hAnsi="仿宋" w:eastAsia="仿宋" w:cs="仿宋"/>
          <w:sz w:val="21"/>
          <w:szCs w:val="21"/>
          <w:highlight w:val="none"/>
        </w:rPr>
        <w:t>指标因子数据</w:t>
      </w:r>
      <w:r>
        <w:rPr>
          <w:rFonts w:hint="eastAsia" w:ascii="仿宋" w:hAnsi="仿宋" w:eastAsia="仿宋" w:cs="仿宋"/>
          <w:sz w:val="21"/>
          <w:szCs w:val="21"/>
          <w:highlight w:val="none"/>
        </w:rPr>
        <w:t>，支持时间段自定义查询趋势，计算</w:t>
      </w:r>
      <w:r>
        <w:rPr>
          <w:rFonts w:ascii="仿宋" w:hAnsi="仿宋" w:eastAsia="仿宋" w:cs="仿宋"/>
          <w:sz w:val="21"/>
          <w:szCs w:val="21"/>
          <w:highlight w:val="none"/>
        </w:rPr>
        <w:t>同比环比、差距对比，支持下钻到科室统计、个人统计</w:t>
      </w:r>
      <w:r>
        <w:rPr>
          <w:rFonts w:hint="eastAsia" w:ascii="仿宋" w:hAnsi="仿宋" w:eastAsia="仿宋" w:cs="仿宋"/>
          <w:sz w:val="21"/>
          <w:szCs w:val="21"/>
          <w:highlight w:val="none"/>
        </w:rPr>
        <w:t>、</w:t>
      </w:r>
      <w:r>
        <w:rPr>
          <w:rFonts w:ascii="仿宋" w:hAnsi="仿宋" w:eastAsia="仿宋" w:cs="仿宋"/>
          <w:sz w:val="21"/>
          <w:szCs w:val="21"/>
          <w:highlight w:val="none"/>
        </w:rPr>
        <w:t>业务明细</w:t>
      </w:r>
      <w:r>
        <w:rPr>
          <w:rFonts w:hint="eastAsia" w:ascii="仿宋" w:hAnsi="仿宋" w:eastAsia="仿宋" w:cs="仿宋"/>
          <w:sz w:val="21"/>
          <w:szCs w:val="21"/>
          <w:highlight w:val="none"/>
        </w:rPr>
        <w:t>。根据用户角色权限开放相关指标。</w:t>
      </w:r>
    </w:p>
    <w:p>
      <w:pPr>
        <w:spacing w:line="360" w:lineRule="auto"/>
        <w:ind w:left="420" w:firstLine="420" w:firstLineChars="200"/>
        <w:jc w:val="left"/>
        <w:rPr>
          <w:rFonts w:ascii="仿宋" w:hAnsi="仿宋" w:eastAsia="仿宋" w:cs="仿宋"/>
          <w:sz w:val="21"/>
          <w:szCs w:val="21"/>
          <w:highlight w:val="none"/>
        </w:rPr>
      </w:pPr>
      <w:r>
        <w:rPr>
          <w:rFonts w:hint="eastAsia" w:ascii="仿宋" w:hAnsi="仿宋" w:eastAsia="仿宋" w:cs="仿宋"/>
          <w:sz w:val="21"/>
          <w:szCs w:val="21"/>
          <w:highlight w:val="none"/>
        </w:rPr>
        <w:t>该体系可覆盖公立医院绩效考核（国考）体系26项重点监测指标，省考指标56项指标的全院统计、部分科室统计，集成多个数据来源，整合到统一页面查询。能根据不同年份、月份、时间段自定义查询。支持配置指标的因子公式，提供数据趋势，同比环比，达标差距分析等可视化功能。</w:t>
      </w:r>
    </w:p>
    <w:tbl>
      <w:tblPr>
        <w:tblStyle w:val="20"/>
        <w:tblW w:w="8718" w:type="dxa"/>
        <w:jc w:val="center"/>
        <w:tblLayout w:type="fixed"/>
        <w:tblCellMar>
          <w:top w:w="0" w:type="dxa"/>
          <w:left w:w="108" w:type="dxa"/>
          <w:bottom w:w="0" w:type="dxa"/>
          <w:right w:w="108" w:type="dxa"/>
        </w:tblCellMar>
      </w:tblPr>
      <w:tblGrid>
        <w:gridCol w:w="1891"/>
        <w:gridCol w:w="894"/>
        <w:gridCol w:w="4447"/>
        <w:gridCol w:w="1486"/>
      </w:tblGrid>
      <w:tr>
        <w:tblPrEx>
          <w:tblCellMar>
            <w:top w:w="0" w:type="dxa"/>
            <w:left w:w="108" w:type="dxa"/>
            <w:bottom w:w="0" w:type="dxa"/>
            <w:right w:w="108" w:type="dxa"/>
          </w:tblCellMar>
        </w:tblPrEx>
        <w:trPr>
          <w:trHeight w:val="540"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b/>
                <w:bCs/>
                <w:color w:val="000000"/>
                <w:kern w:val="0"/>
                <w:sz w:val="21"/>
                <w:szCs w:val="21"/>
                <w:highlight w:val="none"/>
                <w:lang w:bidi="ar"/>
              </w:rPr>
            </w:pPr>
            <w:r>
              <w:rPr>
                <w:rFonts w:hint="eastAsia" w:ascii="仿宋" w:hAnsi="仿宋" w:eastAsia="仿宋" w:cs="仿宋"/>
                <w:b/>
                <w:bCs/>
                <w:color w:val="000000"/>
                <w:kern w:val="0"/>
                <w:sz w:val="21"/>
                <w:szCs w:val="21"/>
                <w:highlight w:val="none"/>
                <w:lang w:bidi="ar"/>
              </w:rPr>
              <w:t>指标维度</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b/>
                <w:bCs/>
                <w:color w:val="000000"/>
                <w:kern w:val="0"/>
                <w:sz w:val="21"/>
                <w:szCs w:val="21"/>
                <w:highlight w:val="none"/>
                <w:lang w:bidi="ar"/>
              </w:rPr>
            </w:pPr>
            <w:r>
              <w:rPr>
                <w:rFonts w:hint="eastAsia" w:ascii="仿宋" w:hAnsi="仿宋" w:eastAsia="仿宋" w:cs="仿宋"/>
                <w:b/>
                <w:bCs/>
                <w:color w:val="000000"/>
                <w:kern w:val="0"/>
                <w:sz w:val="21"/>
                <w:szCs w:val="21"/>
                <w:highlight w:val="none"/>
                <w:lang w:bidi="ar"/>
              </w:rPr>
              <w:t>序号</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b/>
                <w:bCs/>
                <w:color w:val="000000"/>
                <w:kern w:val="0"/>
                <w:sz w:val="21"/>
                <w:szCs w:val="21"/>
                <w:highlight w:val="none"/>
                <w:lang w:bidi="ar"/>
              </w:rPr>
            </w:pPr>
            <w:r>
              <w:rPr>
                <w:rFonts w:hint="eastAsia" w:ascii="仿宋" w:hAnsi="仿宋" w:eastAsia="仿宋" w:cs="仿宋"/>
                <w:b/>
                <w:bCs/>
                <w:color w:val="000000"/>
                <w:kern w:val="0"/>
                <w:sz w:val="21"/>
                <w:szCs w:val="21"/>
                <w:highlight w:val="none"/>
                <w:lang w:bidi="ar"/>
              </w:rPr>
              <w:t>指标名称</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b/>
                <w:bCs/>
                <w:color w:val="000000"/>
                <w:kern w:val="0"/>
                <w:sz w:val="21"/>
                <w:szCs w:val="21"/>
                <w:highlight w:val="none"/>
                <w:lang w:bidi="ar"/>
              </w:rPr>
            </w:pPr>
            <w:r>
              <w:rPr>
                <w:rFonts w:hint="eastAsia" w:ascii="仿宋" w:hAnsi="仿宋" w:eastAsia="仿宋" w:cs="仿宋"/>
                <w:b/>
                <w:bCs/>
                <w:color w:val="000000"/>
                <w:kern w:val="0"/>
                <w:sz w:val="21"/>
                <w:szCs w:val="21"/>
                <w:highlight w:val="none"/>
                <w:lang w:bidi="ar"/>
              </w:rPr>
              <w:t>考核体系</w:t>
            </w:r>
          </w:p>
        </w:tc>
      </w:tr>
      <w:tr>
        <w:tblPrEx>
          <w:tblCellMar>
            <w:top w:w="0" w:type="dxa"/>
            <w:left w:w="108" w:type="dxa"/>
            <w:bottom w:w="0" w:type="dxa"/>
            <w:right w:w="108" w:type="dxa"/>
          </w:tblCellMar>
        </w:tblPrEx>
        <w:trPr>
          <w:trHeight w:val="90"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1</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门诊人次数与出院人次数比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860"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下转患者人次数（门急诊、住院）</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810"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3</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日间手术占择期手术比例</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438"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4</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出院患者手术占比▲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5</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出院患者微创手术占比▲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798"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6</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出院患者四级手术比例▲</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591"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7</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特需医疗服务占比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p>
        </w:tc>
      </w:tr>
      <w:tr>
        <w:tblPrEx>
          <w:tblCellMar>
            <w:top w:w="0" w:type="dxa"/>
            <w:left w:w="108" w:type="dxa"/>
            <w:bottom w:w="0" w:type="dxa"/>
            <w:right w:w="108" w:type="dxa"/>
          </w:tblCellMar>
        </w:tblPrEx>
        <w:trPr>
          <w:trHeight w:val="591"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8</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手术患者并发症发生率▲</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879"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9</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I类切口手术部位感染率▲</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591"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10</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单病种质量控制▲</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591"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11</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大型医用设备检查阳性率</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591"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12</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大型医用设备维修保养及质量控制管理</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13</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通过国家室间质量评价的临床检验项目数▲</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14</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低风险组病例死亡率▲</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15</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优质护理服务病房覆盖率</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16</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点评处方占处方总数的比例</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17</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抗菌药物使用强度（DDDs）▲</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757"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18</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门诊患者基本药物处方占比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509"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19</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住院患者基本药物使用率</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591"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20</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基本药物采购品种数占比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560"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21</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国家组织药品集中采购中标药品使用比例</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591"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22</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门诊患者平均预约诊疗率</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591"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23</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门诊患者预约后平均等待时间</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288"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医疗质量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24</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电子病历应用功能水平分级▲</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25</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每名执业医师日均住院工作负担</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bidi="ar"/>
              </w:rPr>
              <w:t>26</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每百张病床药师人数</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27</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门诊收入占医疗收入比例</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28</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门诊收入中来自医保基金的比例</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29</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住院收入占医疗收入比例</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30</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住院收入中来自医保基金的比例</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838"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31</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医疗服务收入（不含药品、耗材、检查检验收入）占医疗收入比例▲</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32</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辅助用药收入占比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691"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33</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人员支出占业务支出比重▲</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34</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万元收入能耗支出▲（万元收入能耗占比）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35</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收支结余▲（医疗盈余率）</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36</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资产负债率▲</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37</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医疗收入增幅</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38</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门诊次均费用增幅▲</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39</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门诊次均药品费用增幅▲</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40</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住院次均费用增幅▲</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41</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住院次均药品费用增幅▲</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42</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全面预算管理</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运营效率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43</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规范设立总会计师</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持续发展</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44</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卫生技术人员职称结构</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持续发展</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45</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麻醉、儿科、重症、病理、中医医师占比▲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持续发展</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46</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医护比▲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持续发展</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47</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医院接受其他医院（尤其是对口支援医院、医联体内医院）进修并返回原医院独立工作人数占比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持续发展</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48</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医院住院医师首次参加医师资格考试通过率▲</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持续发展</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49</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医院承担培养医学人才的工作成效</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持续发展</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50</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每百名卫生技术人员科研项目经费▲</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持续发展</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51</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每百名卫生技术人员科研成果转化金额</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持续发展</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52</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公共信用综合评价等级</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满意度评价</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53</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门诊患者满意度▲</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满意度评价</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54</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住院患者满意度▲</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满意度评价</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55</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医务人员满意度▲</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国考</w:t>
            </w:r>
          </w:p>
        </w:tc>
      </w:tr>
      <w:tr>
        <w:tblPrEx>
          <w:tblCellMar>
            <w:top w:w="0" w:type="dxa"/>
            <w:left w:w="108" w:type="dxa"/>
            <w:bottom w:w="0" w:type="dxa"/>
            <w:right w:w="108"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新增指标</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56</w:t>
            </w:r>
          </w:p>
        </w:tc>
        <w:tc>
          <w:tcPr>
            <w:tcW w:w="4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bottom"/>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重点监控高值医用耗材收入占比</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省考</w:t>
            </w:r>
          </w:p>
        </w:tc>
      </w:tr>
    </w:tbl>
    <w:p>
      <w:pPr>
        <w:spacing w:line="360" w:lineRule="auto"/>
        <w:jc w:val="left"/>
        <w:rPr>
          <w:rFonts w:hint="eastAsia" w:eastAsia="仿宋"/>
          <w:sz w:val="21"/>
          <w:szCs w:val="21"/>
          <w:highlight w:val="none"/>
        </w:rPr>
      </w:pPr>
    </w:p>
    <w:p>
      <w:pPr>
        <w:numPr>
          <w:ilvl w:val="0"/>
          <w:numId w:val="15"/>
        </w:numPr>
        <w:spacing w:line="360" w:lineRule="auto"/>
        <w:outlineLvl w:val="2"/>
        <w:rPr>
          <w:rFonts w:hint="eastAsia" w:ascii="仿宋" w:hAnsi="仿宋" w:eastAsia="仿宋" w:cs="仿宋"/>
          <w:b/>
          <w:bCs/>
          <w:sz w:val="21"/>
          <w:szCs w:val="21"/>
          <w:highlight w:val="none"/>
        </w:rPr>
      </w:pPr>
      <w:bookmarkStart w:id="104" w:name="_Toc19389"/>
      <w:bookmarkStart w:id="105" w:name="_Toc24303"/>
      <w:r>
        <w:rPr>
          <w:rFonts w:hint="eastAsia" w:ascii="仿宋" w:hAnsi="仿宋" w:eastAsia="仿宋" w:cs="仿宋"/>
          <w:b/>
          <w:bCs/>
          <w:sz w:val="21"/>
          <w:szCs w:val="21"/>
          <w:highlight w:val="none"/>
        </w:rPr>
        <w:t>考核体系-实时内控体系</w:t>
      </w:r>
      <w:bookmarkEnd w:id="104"/>
      <w:bookmarkEnd w:id="105"/>
    </w:p>
    <w:p>
      <w:pPr>
        <w:spacing w:line="360" w:lineRule="auto"/>
        <w:ind w:left="420" w:firstLine="420" w:firstLineChars="200"/>
        <w:rPr>
          <w:sz w:val="21"/>
          <w:szCs w:val="21"/>
          <w:highlight w:val="none"/>
        </w:rPr>
      </w:pPr>
      <w:r>
        <w:rPr>
          <w:rFonts w:hint="eastAsia" w:ascii="仿宋" w:hAnsi="仿宋" w:eastAsia="仿宋" w:cs="仿宋"/>
          <w:sz w:val="21"/>
          <w:szCs w:val="21"/>
          <w:highlight w:val="none"/>
        </w:rPr>
        <w:t>围绕着三级公立医院绩效考核指标要求提供实时的内控指标，结合院内运营管理需求的指标，设计适合院内的指标体系。对接院内HIS系统、手麻系统、电子病历系统、用药系统、影像系统等，采集病案数据归档前的数据和住院门诊患者当前运行数据、费用数据，及时统计工作量，分析费用结构。支持采集病案前置节点的实时手术数据；支持时间段自定义查询趋势；计算</w:t>
      </w:r>
      <w:r>
        <w:rPr>
          <w:rFonts w:ascii="仿宋" w:hAnsi="仿宋" w:eastAsia="仿宋" w:cs="仿宋"/>
          <w:sz w:val="21"/>
          <w:szCs w:val="21"/>
          <w:highlight w:val="none"/>
        </w:rPr>
        <w:t>同比环比、差距对比，支持下钻到科室统计、个人统计、业务明细</w:t>
      </w:r>
      <w:r>
        <w:rPr>
          <w:rFonts w:hint="eastAsia" w:ascii="仿宋" w:hAnsi="仿宋" w:eastAsia="仿宋" w:cs="仿宋"/>
          <w:sz w:val="21"/>
          <w:szCs w:val="21"/>
          <w:highlight w:val="none"/>
        </w:rPr>
        <w:t>。根据用户角色权限开放相关指标。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4"/>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bCs/>
                <w:color w:val="000000"/>
                <w:kern w:val="0"/>
                <w:sz w:val="21"/>
                <w:szCs w:val="21"/>
                <w:highlight w:val="none"/>
                <w:lang w:bidi="ar"/>
              </w:rPr>
            </w:pPr>
            <w:r>
              <w:rPr>
                <w:rFonts w:hint="eastAsia" w:ascii="仿宋" w:hAnsi="仿宋" w:eastAsia="仿宋" w:cs="仿宋"/>
                <w:b/>
                <w:bCs/>
                <w:color w:val="000000"/>
                <w:kern w:val="0"/>
                <w:sz w:val="21"/>
                <w:szCs w:val="21"/>
                <w:highlight w:val="none"/>
                <w:lang w:bidi="ar"/>
              </w:rPr>
              <w:t>指标分类</w:t>
            </w:r>
          </w:p>
        </w:tc>
        <w:tc>
          <w:tcPr>
            <w:tcW w:w="4865"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center"/>
              <w:rPr>
                <w:rFonts w:hint="eastAsia" w:ascii="仿宋" w:hAnsi="仿宋" w:eastAsia="仿宋" w:cs="仿宋"/>
                <w:b/>
                <w:bCs/>
                <w:color w:val="000000"/>
                <w:kern w:val="0"/>
                <w:sz w:val="21"/>
                <w:szCs w:val="21"/>
                <w:highlight w:val="none"/>
                <w:lang w:bidi="ar"/>
              </w:rPr>
            </w:pPr>
            <w:r>
              <w:rPr>
                <w:rFonts w:hint="eastAsia" w:ascii="仿宋" w:hAnsi="仿宋" w:eastAsia="仿宋" w:cs="仿宋"/>
                <w:b/>
                <w:bCs/>
                <w:color w:val="000000"/>
                <w:kern w:val="0"/>
                <w:sz w:val="21"/>
                <w:szCs w:val="21"/>
                <w:highlight w:val="none"/>
                <w:lang w:bidi="ar"/>
              </w:rPr>
              <w:t>指标名称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手术类指标（来源医生提交首页）</w:t>
            </w:r>
          </w:p>
        </w:tc>
        <w:tc>
          <w:tcPr>
            <w:tcW w:w="486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出院患者手术占比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出院患者四级手术比例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出院患者微创手术占比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手术患者并发症发生率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Ⅰ类切口手术部位感染率（在院患者）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手术类指标（来源于手术记录）</w:t>
            </w:r>
          </w:p>
        </w:tc>
        <w:tc>
          <w:tcPr>
            <w:tcW w:w="486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出院患者手术占比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出院患者四级手术占比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出院患者微创手术占比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出院患者四级微创手术占比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总手术量（含非国考）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特需医疗服务</w:t>
            </w: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特需医疗服务量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特需医疗服务收入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住院管控指标</w:t>
            </w: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出院人数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平均住院日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病床使用率（含借床）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病床使用率（不含借床）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出院总费用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住院次均费用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住院次均药品费用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住院次均药品费用（剔除有关项）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住院次均材料费用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住院次均检查费用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住院次均化验费用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住院次均治疗费用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住院次均手术费用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住院药品费用占比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住院药品费用占比（剔除有关项）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住院材料费用占比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住院检查费用占比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住院化验费用占比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住院治疗费用占比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1"/>
                <w:szCs w:val="21"/>
                <w:highlight w:val="none"/>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住院手术费用占比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体检业务</w:t>
            </w: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体检人次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体检收入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全院管控指标</w:t>
            </w: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抗菌药物使用强度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医疗服务性收入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药品占医疗收入比例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卫生材料占医疗收入比例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检查占医疗收入比例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化验占医疗收入比例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治疗占医疗收入比例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手术占医疗收入比例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互联网业务</w:t>
            </w: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互联网门诊人数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互联网门诊收入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技诊相关指标</w:t>
            </w: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技诊工作量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技诊平均预约等待时间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FF0000"/>
                <w:kern w:val="0"/>
                <w:sz w:val="21"/>
                <w:szCs w:val="21"/>
                <w:highlight w:val="none"/>
                <w:lang w:bidi="ar"/>
              </w:rPr>
            </w:pPr>
            <w:r>
              <w:rPr>
                <w:rFonts w:hint="eastAsia" w:ascii="仿宋" w:hAnsi="仿宋" w:eastAsia="仿宋" w:cs="仿宋"/>
                <w:color w:val="000000"/>
                <w:kern w:val="0"/>
                <w:sz w:val="21"/>
                <w:szCs w:val="21"/>
                <w:highlight w:val="none"/>
                <w:lang w:bidi="ar"/>
              </w:rPr>
              <w:t>门诊管控指标</w:t>
            </w: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FF0000"/>
                <w:kern w:val="0"/>
                <w:sz w:val="21"/>
                <w:szCs w:val="21"/>
                <w:highlight w:val="none"/>
                <w:lang w:bidi="ar"/>
              </w:rPr>
            </w:pPr>
            <w:r>
              <w:rPr>
                <w:rFonts w:hint="eastAsia" w:ascii="仿宋" w:hAnsi="仿宋" w:eastAsia="仿宋" w:cs="仿宋"/>
                <w:color w:val="000000"/>
                <w:kern w:val="0"/>
                <w:sz w:val="21"/>
                <w:szCs w:val="21"/>
                <w:highlight w:val="none"/>
                <w:lang w:bidi="ar"/>
              </w:rPr>
              <w:t>门急诊诊疗人次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FF0000"/>
                <w:kern w:val="0"/>
                <w:sz w:val="21"/>
                <w:szCs w:val="21"/>
                <w:highlight w:val="none"/>
                <w:lang w:bidi="ar"/>
              </w:rPr>
            </w:pPr>
            <w:r>
              <w:rPr>
                <w:rFonts w:hint="eastAsia" w:ascii="仿宋" w:hAnsi="仿宋" w:eastAsia="仿宋" w:cs="仿宋"/>
                <w:color w:val="000000"/>
                <w:kern w:val="0"/>
                <w:sz w:val="21"/>
                <w:szCs w:val="21"/>
                <w:highlight w:val="none"/>
                <w:lang w:bidi="ar"/>
              </w:rPr>
              <w:t>门急诊诊疗人次（剔除核酸）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FF0000"/>
                <w:kern w:val="0"/>
                <w:sz w:val="21"/>
                <w:szCs w:val="21"/>
                <w:highlight w:val="none"/>
                <w:lang w:bidi="ar"/>
              </w:rPr>
            </w:pPr>
            <w:r>
              <w:rPr>
                <w:rFonts w:hint="eastAsia" w:ascii="仿宋" w:hAnsi="仿宋" w:eastAsia="仿宋" w:cs="仿宋"/>
                <w:color w:val="000000"/>
                <w:kern w:val="0"/>
                <w:sz w:val="21"/>
                <w:szCs w:val="21"/>
                <w:highlight w:val="none"/>
                <w:lang w:bidi="ar"/>
              </w:rPr>
              <w:t>门诊出诊工时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FF0000"/>
                <w:kern w:val="0"/>
                <w:sz w:val="21"/>
                <w:szCs w:val="21"/>
                <w:highlight w:val="none"/>
                <w:lang w:bidi="ar"/>
              </w:rPr>
            </w:pPr>
            <w:r>
              <w:rPr>
                <w:rFonts w:hint="eastAsia" w:ascii="仿宋" w:hAnsi="仿宋" w:eastAsia="仿宋" w:cs="仿宋"/>
                <w:color w:val="000000"/>
                <w:kern w:val="0"/>
                <w:sz w:val="21"/>
                <w:szCs w:val="21"/>
                <w:highlight w:val="none"/>
                <w:lang w:bidi="ar"/>
              </w:rPr>
              <w:t>门诊总收入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FF0000"/>
                <w:kern w:val="0"/>
                <w:sz w:val="21"/>
                <w:szCs w:val="21"/>
                <w:highlight w:val="none"/>
                <w:lang w:bidi="ar"/>
              </w:rPr>
            </w:pPr>
            <w:r>
              <w:rPr>
                <w:rFonts w:hint="eastAsia" w:ascii="仿宋" w:hAnsi="仿宋" w:eastAsia="仿宋" w:cs="仿宋"/>
                <w:color w:val="000000"/>
                <w:kern w:val="0"/>
                <w:sz w:val="21"/>
                <w:szCs w:val="21"/>
                <w:highlight w:val="none"/>
                <w:lang w:bidi="ar"/>
              </w:rPr>
              <w:t>门诊次均费用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FF0000"/>
                <w:kern w:val="0"/>
                <w:sz w:val="21"/>
                <w:szCs w:val="21"/>
                <w:highlight w:val="none"/>
                <w:lang w:bidi="ar"/>
              </w:rPr>
            </w:pPr>
            <w:r>
              <w:rPr>
                <w:rFonts w:hint="eastAsia" w:ascii="仿宋" w:hAnsi="仿宋" w:eastAsia="仿宋" w:cs="仿宋"/>
                <w:color w:val="000000"/>
                <w:kern w:val="0"/>
                <w:sz w:val="21"/>
                <w:szCs w:val="21"/>
                <w:highlight w:val="none"/>
                <w:lang w:bidi="ar"/>
              </w:rPr>
              <w:t>门诊次均药品费用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FF0000"/>
                <w:kern w:val="0"/>
                <w:sz w:val="21"/>
                <w:szCs w:val="21"/>
                <w:highlight w:val="none"/>
                <w:lang w:bidi="ar"/>
              </w:rPr>
            </w:pPr>
            <w:r>
              <w:rPr>
                <w:rFonts w:hint="eastAsia" w:ascii="仿宋" w:hAnsi="仿宋" w:eastAsia="仿宋" w:cs="仿宋"/>
                <w:color w:val="000000"/>
                <w:kern w:val="0"/>
                <w:sz w:val="21"/>
                <w:szCs w:val="21"/>
                <w:highlight w:val="none"/>
                <w:lang w:bidi="ar"/>
              </w:rPr>
              <w:t>门诊次均材料费用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FF0000"/>
                <w:kern w:val="0"/>
                <w:sz w:val="21"/>
                <w:szCs w:val="21"/>
                <w:highlight w:val="none"/>
                <w:lang w:bidi="ar"/>
              </w:rPr>
            </w:pPr>
            <w:r>
              <w:rPr>
                <w:rFonts w:hint="eastAsia" w:ascii="仿宋" w:hAnsi="仿宋" w:eastAsia="仿宋" w:cs="仿宋"/>
                <w:color w:val="000000"/>
                <w:kern w:val="0"/>
                <w:sz w:val="21"/>
                <w:szCs w:val="21"/>
                <w:highlight w:val="none"/>
                <w:lang w:bidi="ar"/>
              </w:rPr>
              <w:t>门诊次均检查费用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FF0000"/>
                <w:kern w:val="0"/>
                <w:sz w:val="21"/>
                <w:szCs w:val="21"/>
                <w:highlight w:val="none"/>
                <w:lang w:bidi="ar"/>
              </w:rPr>
            </w:pPr>
            <w:r>
              <w:rPr>
                <w:rFonts w:hint="eastAsia" w:ascii="仿宋" w:hAnsi="仿宋" w:eastAsia="仿宋" w:cs="仿宋"/>
                <w:color w:val="000000"/>
                <w:kern w:val="0"/>
                <w:sz w:val="21"/>
                <w:szCs w:val="21"/>
                <w:highlight w:val="none"/>
                <w:lang w:bidi="ar"/>
              </w:rPr>
              <w:t>门诊次均化验费用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FF0000"/>
                <w:kern w:val="0"/>
                <w:sz w:val="21"/>
                <w:szCs w:val="21"/>
                <w:highlight w:val="none"/>
                <w:lang w:bidi="ar"/>
              </w:rPr>
            </w:pPr>
            <w:r>
              <w:rPr>
                <w:rFonts w:hint="eastAsia" w:ascii="仿宋" w:hAnsi="仿宋" w:eastAsia="仿宋" w:cs="仿宋"/>
                <w:color w:val="000000"/>
                <w:kern w:val="0"/>
                <w:sz w:val="21"/>
                <w:szCs w:val="21"/>
                <w:highlight w:val="none"/>
                <w:lang w:bidi="ar"/>
              </w:rPr>
              <w:t>门诊次均治疗费用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门诊次均手术费用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门诊药品费用占比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门诊药品费用占比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门诊材料费用占比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门诊检查费用占比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门诊化验费用占比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门诊治疗费用占比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FF0000"/>
                <w:kern w:val="0"/>
                <w:sz w:val="21"/>
                <w:szCs w:val="21"/>
                <w:highlight w:val="none"/>
                <w:lang w:bidi="ar"/>
              </w:rPr>
            </w:pPr>
          </w:p>
        </w:tc>
        <w:tc>
          <w:tcPr>
            <w:tcW w:w="486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门诊手术费用占比</w:t>
            </w:r>
          </w:p>
        </w:tc>
      </w:tr>
    </w:tbl>
    <w:p>
      <w:pPr>
        <w:numPr>
          <w:ilvl w:val="0"/>
          <w:numId w:val="15"/>
        </w:numPr>
        <w:spacing w:line="360" w:lineRule="auto"/>
        <w:outlineLvl w:val="2"/>
        <w:rPr>
          <w:rFonts w:hint="eastAsia" w:ascii="仿宋" w:hAnsi="仿宋" w:eastAsia="仿宋" w:cs="仿宋"/>
          <w:b/>
          <w:bCs/>
          <w:sz w:val="21"/>
          <w:szCs w:val="21"/>
          <w:highlight w:val="none"/>
        </w:rPr>
      </w:pPr>
      <w:bookmarkStart w:id="106" w:name="_Toc15442"/>
      <w:bookmarkStart w:id="107" w:name="_Toc18804"/>
      <w:r>
        <w:rPr>
          <w:rFonts w:hint="eastAsia" w:ascii="仿宋" w:hAnsi="仿宋" w:eastAsia="仿宋" w:cs="仿宋"/>
          <w:b/>
          <w:bCs/>
          <w:sz w:val="21"/>
          <w:szCs w:val="21"/>
          <w:highlight w:val="none"/>
        </w:rPr>
        <w:t>科室精细化考核</w:t>
      </w:r>
      <w:bookmarkEnd w:id="106"/>
      <w:bookmarkEnd w:id="107"/>
    </w:p>
    <w:p>
      <w:pPr>
        <w:spacing w:line="360" w:lineRule="auto"/>
        <w:ind w:left="4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根据科室类型，主要分为手术科室、介入科室、其他科室，能够从内控指标下钻到专科查看相关数据，支持数据指标拆解、同比统计。能够提供执行口径统计，按国考口径以临床医生所属科室统计科室工作量，输出相关统计报表。支持通过科室下钻到病案明细表，医生工作量统计表，实现多口径多条件数据查询。</w:t>
      </w:r>
    </w:p>
    <w:p>
      <w:pPr>
        <w:numPr>
          <w:ilvl w:val="0"/>
          <w:numId w:val="15"/>
        </w:numPr>
        <w:spacing w:line="360" w:lineRule="auto"/>
        <w:outlineLvl w:val="2"/>
        <w:rPr>
          <w:rFonts w:hint="eastAsia" w:ascii="仿宋" w:hAnsi="仿宋" w:eastAsia="仿宋" w:cs="仿宋"/>
          <w:b/>
          <w:bCs/>
          <w:sz w:val="21"/>
          <w:szCs w:val="21"/>
          <w:highlight w:val="none"/>
        </w:rPr>
      </w:pPr>
      <w:bookmarkStart w:id="108" w:name="_Toc17354"/>
      <w:bookmarkStart w:id="109" w:name="_Toc9705"/>
      <w:r>
        <w:rPr>
          <w:rFonts w:hint="eastAsia" w:ascii="仿宋" w:hAnsi="仿宋" w:eastAsia="仿宋" w:cs="仿宋"/>
          <w:b/>
          <w:bCs/>
          <w:sz w:val="21"/>
          <w:szCs w:val="21"/>
          <w:highlight w:val="none"/>
        </w:rPr>
        <w:t>源数据报表</w:t>
      </w:r>
      <w:bookmarkEnd w:id="108"/>
      <w:bookmarkEnd w:id="109"/>
    </w:p>
    <w:p>
      <w:pPr>
        <w:spacing w:line="360" w:lineRule="auto"/>
        <w:ind w:left="420"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根据下钻精细度要求，同步病案监测明细表、单病种明细表进行多条件组合查询，比如四级、微创、并发症的筛选。快速筛选出满足国考标准的病案明细，提供并发症明细执行口径的筛选，快速定位属于择期手术后并发症的明细。</w:t>
      </w:r>
    </w:p>
    <w:p>
      <w:pPr>
        <w:spacing w:line="360" w:lineRule="auto"/>
        <w:ind w:left="4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根据其他指标需求能提供第三方满意度明细、科研经费表导入系统查询数据。</w:t>
      </w:r>
    </w:p>
    <w:p>
      <w:pPr>
        <w:spacing w:line="360" w:lineRule="auto"/>
        <w:ind w:left="420" w:firstLine="420" w:firstLineChars="200"/>
        <w:rPr>
          <w:rFonts w:hint="eastAsia" w:ascii="仿宋" w:hAnsi="仿宋" w:eastAsia="仿宋" w:cs="仿宋"/>
          <w:sz w:val="21"/>
          <w:szCs w:val="21"/>
          <w:highlight w:val="none"/>
        </w:rPr>
      </w:pPr>
    </w:p>
    <w:p>
      <w:pPr>
        <w:pStyle w:val="63"/>
        <w:numPr>
          <w:ilvl w:val="0"/>
          <w:numId w:val="4"/>
        </w:numPr>
        <w:ind w:left="845"/>
        <w:rPr>
          <w:rFonts w:hint="eastAsia" w:cs="仿宋"/>
          <w:sz w:val="21"/>
          <w:szCs w:val="21"/>
          <w:highlight w:val="none"/>
        </w:rPr>
      </w:pPr>
      <w:bookmarkStart w:id="110" w:name="_Toc30611"/>
      <w:bookmarkStart w:id="111" w:name="_Toc16835"/>
      <w:r>
        <w:rPr>
          <w:rFonts w:hint="eastAsia" w:cs="仿宋"/>
          <w:sz w:val="21"/>
          <w:szCs w:val="21"/>
          <w:highlight w:val="none"/>
        </w:rPr>
        <w:t>智能诊断报告</w:t>
      </w:r>
      <w:bookmarkEnd w:id="110"/>
      <w:bookmarkEnd w:id="111"/>
    </w:p>
    <w:p>
      <w:pPr>
        <w:numPr>
          <w:ilvl w:val="0"/>
          <w:numId w:val="16"/>
        </w:numPr>
        <w:spacing w:line="360" w:lineRule="auto"/>
        <w:outlineLvl w:val="2"/>
        <w:rPr>
          <w:rFonts w:hint="eastAsia" w:ascii="仿宋" w:hAnsi="仿宋" w:eastAsia="仿宋" w:cs="仿宋"/>
          <w:b/>
          <w:bCs/>
          <w:sz w:val="21"/>
          <w:szCs w:val="21"/>
          <w:highlight w:val="none"/>
        </w:rPr>
      </w:pPr>
      <w:bookmarkStart w:id="112" w:name="_Toc28887"/>
      <w:bookmarkStart w:id="113" w:name="_Toc22004"/>
      <w:r>
        <w:rPr>
          <w:rFonts w:hint="eastAsia" w:ascii="仿宋" w:hAnsi="仿宋" w:eastAsia="仿宋" w:cs="仿宋"/>
          <w:b/>
          <w:bCs/>
          <w:sz w:val="21"/>
          <w:szCs w:val="21"/>
          <w:highlight w:val="none"/>
        </w:rPr>
        <w:t>模拟考核</w:t>
      </w:r>
      <w:bookmarkEnd w:id="112"/>
      <w:bookmarkEnd w:id="113"/>
    </w:p>
    <w:p>
      <w:pPr>
        <w:spacing w:line="360" w:lineRule="auto"/>
        <w:ind w:left="420" w:firstLine="420" w:firstLineChars="200"/>
        <w:rPr>
          <w:rFonts w:ascii="仿宋" w:hAnsi="仿宋" w:eastAsia="仿宋" w:cs="仿宋"/>
          <w:sz w:val="21"/>
          <w:szCs w:val="21"/>
          <w:highlight w:val="none"/>
        </w:rPr>
      </w:pPr>
      <w:r>
        <w:rPr>
          <w:rFonts w:ascii="仿宋" w:hAnsi="仿宋" w:eastAsia="仿宋" w:cs="仿宋"/>
          <w:sz w:val="21"/>
          <w:szCs w:val="21"/>
          <w:highlight w:val="none"/>
        </w:rPr>
        <w:t>平台内置</w:t>
      </w:r>
      <w:r>
        <w:rPr>
          <w:rFonts w:hint="eastAsia" w:ascii="仿宋" w:hAnsi="仿宋" w:eastAsia="仿宋" w:cs="仿宋"/>
          <w:sz w:val="21"/>
          <w:szCs w:val="21"/>
          <w:highlight w:val="none"/>
        </w:rPr>
        <w:t>国考评分</w:t>
      </w:r>
      <w:r>
        <w:rPr>
          <w:rFonts w:ascii="仿宋" w:hAnsi="仿宋" w:eastAsia="仿宋" w:cs="仿宋"/>
          <w:sz w:val="21"/>
          <w:szCs w:val="21"/>
          <w:highlight w:val="none"/>
        </w:rPr>
        <w:t>规则</w:t>
      </w:r>
      <w:r>
        <w:rPr>
          <w:rFonts w:hint="eastAsia" w:ascii="仿宋" w:hAnsi="仿宋" w:eastAsia="仿宋" w:cs="仿宋"/>
          <w:sz w:val="21"/>
          <w:szCs w:val="21"/>
          <w:highlight w:val="none"/>
        </w:rPr>
        <w:t>。支持每天实时预测，自动生成国考的模拟成绩单，可查看每项指标的预估分，达标情况，满分值中位值。同时也支持人工复核校正，规则有变动，需要及时更新评分细则。</w:t>
      </w:r>
    </w:p>
    <w:p>
      <w:pPr>
        <w:numPr>
          <w:ilvl w:val="0"/>
          <w:numId w:val="16"/>
        </w:numPr>
        <w:spacing w:line="360" w:lineRule="auto"/>
        <w:outlineLvl w:val="2"/>
        <w:rPr>
          <w:rFonts w:hint="eastAsia" w:ascii="仿宋" w:hAnsi="仿宋" w:eastAsia="仿宋" w:cs="仿宋"/>
          <w:b/>
          <w:bCs/>
          <w:sz w:val="21"/>
          <w:szCs w:val="21"/>
          <w:highlight w:val="none"/>
        </w:rPr>
      </w:pPr>
      <w:bookmarkStart w:id="114" w:name="_Toc1185"/>
      <w:bookmarkStart w:id="115" w:name="_Toc22736"/>
      <w:r>
        <w:rPr>
          <w:rFonts w:hint="eastAsia" w:ascii="仿宋" w:hAnsi="仿宋" w:eastAsia="仿宋" w:cs="仿宋"/>
          <w:b/>
          <w:bCs/>
          <w:sz w:val="21"/>
          <w:szCs w:val="21"/>
          <w:highlight w:val="none"/>
        </w:rPr>
        <w:t>体检报告</w:t>
      </w:r>
      <w:bookmarkEnd w:id="114"/>
      <w:bookmarkEnd w:id="115"/>
    </w:p>
    <w:p>
      <w:pPr>
        <w:spacing w:line="360" w:lineRule="auto"/>
        <w:ind w:left="420"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每月自动更新</w:t>
      </w:r>
      <w:r>
        <w:rPr>
          <w:rFonts w:ascii="仿宋" w:hAnsi="仿宋" w:eastAsia="仿宋" w:cs="仿宋"/>
          <w:sz w:val="21"/>
          <w:szCs w:val="21"/>
          <w:highlight w:val="none"/>
        </w:rPr>
        <w:t>公立医院绩效考核体检报告，</w:t>
      </w:r>
      <w:r>
        <w:rPr>
          <w:rFonts w:hint="eastAsia" w:ascii="仿宋" w:hAnsi="仿宋" w:eastAsia="仿宋" w:cs="仿宋"/>
          <w:sz w:val="21"/>
          <w:szCs w:val="21"/>
          <w:highlight w:val="none"/>
        </w:rPr>
        <w:t>定期生成年度报告、季度报告、月度报告。</w:t>
      </w:r>
      <w:r>
        <w:rPr>
          <w:rFonts w:ascii="仿宋" w:hAnsi="仿宋" w:eastAsia="仿宋" w:cs="仿宋"/>
          <w:sz w:val="21"/>
          <w:szCs w:val="21"/>
          <w:highlight w:val="none"/>
        </w:rPr>
        <w:t>报告分别从整体分析、医疗质量、运行效率、持续发展、满意度评价五个方面进行深度分析，使用</w:t>
      </w:r>
      <w:r>
        <w:rPr>
          <w:rFonts w:hint="eastAsia" w:ascii="仿宋" w:hAnsi="仿宋" w:eastAsia="仿宋" w:cs="仿宋"/>
          <w:sz w:val="21"/>
          <w:szCs w:val="21"/>
          <w:highlight w:val="none"/>
        </w:rPr>
        <w:t>多</w:t>
      </w:r>
      <w:r>
        <w:rPr>
          <w:rFonts w:ascii="仿宋" w:hAnsi="仿宋" w:eastAsia="仿宋" w:cs="仿宋"/>
          <w:sz w:val="21"/>
          <w:szCs w:val="21"/>
          <w:highlight w:val="none"/>
        </w:rPr>
        <w:t>种图形可视化分析</w:t>
      </w:r>
      <w:r>
        <w:rPr>
          <w:rFonts w:hint="eastAsia" w:ascii="仿宋" w:hAnsi="仿宋" w:eastAsia="仿宋" w:cs="仿宋"/>
          <w:sz w:val="21"/>
          <w:szCs w:val="21"/>
          <w:highlight w:val="none"/>
        </w:rPr>
        <w:t>。</w:t>
      </w:r>
    </w:p>
    <w:p>
      <w:pPr>
        <w:numPr>
          <w:ilvl w:val="0"/>
          <w:numId w:val="16"/>
        </w:numPr>
        <w:spacing w:line="360" w:lineRule="auto"/>
        <w:outlineLvl w:val="2"/>
        <w:rPr>
          <w:rFonts w:hint="eastAsia" w:ascii="仿宋" w:hAnsi="仿宋" w:eastAsia="仿宋" w:cs="仿宋"/>
          <w:b/>
          <w:bCs/>
          <w:sz w:val="21"/>
          <w:szCs w:val="21"/>
          <w:highlight w:val="none"/>
        </w:rPr>
      </w:pPr>
      <w:bookmarkStart w:id="116" w:name="_Toc12471"/>
      <w:bookmarkStart w:id="117" w:name="_Toc3932"/>
      <w:r>
        <w:rPr>
          <w:rFonts w:hint="eastAsia" w:ascii="仿宋" w:hAnsi="仿宋" w:eastAsia="仿宋" w:cs="仿宋"/>
          <w:b/>
          <w:bCs/>
          <w:sz w:val="21"/>
          <w:szCs w:val="21"/>
          <w:highlight w:val="none"/>
        </w:rPr>
        <w:t>手术日报</w:t>
      </w:r>
      <w:bookmarkEnd w:id="116"/>
      <w:bookmarkEnd w:id="117"/>
    </w:p>
    <w:p>
      <w:pPr>
        <w:spacing w:line="360" w:lineRule="auto"/>
        <w:ind w:left="420"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以国考口径为依据，统计手术专题的每日反馈表，统计手术指标每天数据、月度值和年度值，以及月同期、年同期，当前年目标值和实际完成之间的差距，能下钻到每个科室的手术明细，支持多表合并导出。科主任只能查看自己科室的数据。</w:t>
      </w:r>
    </w:p>
    <w:p>
      <w:pPr>
        <w:numPr>
          <w:ilvl w:val="0"/>
          <w:numId w:val="16"/>
        </w:numPr>
        <w:spacing w:line="360" w:lineRule="auto"/>
        <w:outlineLvl w:val="2"/>
        <w:rPr>
          <w:rFonts w:hint="eastAsia" w:ascii="仿宋" w:hAnsi="仿宋" w:eastAsia="仿宋" w:cs="仿宋"/>
          <w:b/>
          <w:bCs/>
          <w:sz w:val="21"/>
          <w:szCs w:val="21"/>
          <w:highlight w:val="none"/>
        </w:rPr>
      </w:pPr>
      <w:bookmarkStart w:id="118" w:name="_Toc3670"/>
      <w:bookmarkStart w:id="119" w:name="_Toc27456"/>
      <w:r>
        <w:rPr>
          <w:rFonts w:hint="eastAsia" w:ascii="仿宋" w:hAnsi="仿宋" w:eastAsia="仿宋" w:cs="仿宋"/>
          <w:b/>
          <w:bCs/>
          <w:sz w:val="21"/>
          <w:szCs w:val="21"/>
          <w:highlight w:val="none"/>
        </w:rPr>
        <w:t>国考月报</w:t>
      </w:r>
      <w:bookmarkEnd w:id="118"/>
      <w:bookmarkEnd w:id="119"/>
    </w:p>
    <w:p>
      <w:pPr>
        <w:spacing w:line="360" w:lineRule="auto"/>
        <w:ind w:left="420"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自动生成国考指标汇报PPT,根据院内汇报模板，根据</w:t>
      </w:r>
      <w:r>
        <w:rPr>
          <w:rFonts w:ascii="仿宋" w:hAnsi="仿宋" w:eastAsia="仿宋" w:cs="仿宋"/>
          <w:sz w:val="21"/>
          <w:szCs w:val="21"/>
          <w:highlight w:val="none"/>
        </w:rPr>
        <w:t>选择</w:t>
      </w:r>
      <w:r>
        <w:rPr>
          <w:rFonts w:hint="eastAsia" w:ascii="仿宋" w:hAnsi="仿宋" w:eastAsia="仿宋" w:cs="仿宋"/>
          <w:sz w:val="21"/>
          <w:szCs w:val="21"/>
          <w:highlight w:val="none"/>
        </w:rPr>
        <w:t>的</w:t>
      </w:r>
      <w:r>
        <w:rPr>
          <w:rFonts w:ascii="仿宋" w:hAnsi="仿宋" w:eastAsia="仿宋" w:cs="仿宋"/>
          <w:sz w:val="21"/>
          <w:szCs w:val="21"/>
          <w:highlight w:val="none"/>
        </w:rPr>
        <w:t>月份</w:t>
      </w:r>
      <w:r>
        <w:rPr>
          <w:rFonts w:hint="eastAsia" w:ascii="仿宋" w:hAnsi="仿宋" w:eastAsia="仿宋" w:cs="仿宋"/>
          <w:sz w:val="21"/>
          <w:szCs w:val="21"/>
          <w:highlight w:val="none"/>
        </w:rPr>
        <w:t>统计当前月和累计月的</w:t>
      </w:r>
      <w:r>
        <w:rPr>
          <w:rFonts w:ascii="仿宋" w:hAnsi="仿宋" w:eastAsia="仿宋" w:cs="仿宋"/>
          <w:sz w:val="21"/>
          <w:szCs w:val="21"/>
          <w:highlight w:val="none"/>
        </w:rPr>
        <w:t>绩效考核指标进度，内容分为手术量指标、医疗质量指标、财务类指标、年底反馈指标4部分的数据和描述性分析</w:t>
      </w:r>
      <w:r>
        <w:rPr>
          <w:rFonts w:hint="eastAsia" w:ascii="仿宋" w:hAnsi="仿宋" w:eastAsia="仿宋" w:cs="仿宋"/>
          <w:sz w:val="21"/>
          <w:szCs w:val="21"/>
          <w:highlight w:val="none"/>
        </w:rPr>
        <w:t>。</w:t>
      </w:r>
    </w:p>
    <w:p>
      <w:pPr>
        <w:numPr>
          <w:ilvl w:val="0"/>
          <w:numId w:val="16"/>
        </w:numPr>
        <w:spacing w:line="360" w:lineRule="auto"/>
        <w:outlineLvl w:val="2"/>
        <w:rPr>
          <w:rFonts w:hint="eastAsia" w:ascii="仿宋" w:hAnsi="仿宋" w:eastAsia="仿宋" w:cs="仿宋"/>
          <w:b/>
          <w:bCs/>
          <w:sz w:val="21"/>
          <w:szCs w:val="21"/>
          <w:highlight w:val="none"/>
        </w:rPr>
      </w:pPr>
      <w:bookmarkStart w:id="120" w:name="_Toc24540"/>
      <w:bookmarkStart w:id="121" w:name="_Toc18843"/>
      <w:r>
        <w:rPr>
          <w:rFonts w:hint="eastAsia" w:ascii="仿宋" w:hAnsi="仿宋" w:eastAsia="仿宋" w:cs="仿宋"/>
          <w:b/>
          <w:bCs/>
          <w:sz w:val="21"/>
          <w:szCs w:val="21"/>
          <w:highlight w:val="none"/>
        </w:rPr>
        <w:t>内控管理月报</w:t>
      </w:r>
      <w:bookmarkEnd w:id="120"/>
      <w:bookmarkEnd w:id="121"/>
    </w:p>
    <w:p>
      <w:pPr>
        <w:spacing w:line="360" w:lineRule="auto"/>
        <w:ind w:left="420"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自动生成国考指标汇报PPT,根据院内汇报模板，根据</w:t>
      </w:r>
      <w:r>
        <w:rPr>
          <w:rFonts w:ascii="仿宋" w:hAnsi="仿宋" w:eastAsia="仿宋" w:cs="仿宋"/>
          <w:sz w:val="21"/>
          <w:szCs w:val="21"/>
          <w:highlight w:val="none"/>
        </w:rPr>
        <w:t>选择</w:t>
      </w:r>
      <w:r>
        <w:rPr>
          <w:rFonts w:hint="eastAsia" w:ascii="仿宋" w:hAnsi="仿宋" w:eastAsia="仿宋" w:cs="仿宋"/>
          <w:sz w:val="21"/>
          <w:szCs w:val="21"/>
          <w:highlight w:val="none"/>
        </w:rPr>
        <w:t>的</w:t>
      </w:r>
      <w:r>
        <w:rPr>
          <w:rFonts w:ascii="仿宋" w:hAnsi="仿宋" w:eastAsia="仿宋" w:cs="仿宋"/>
          <w:sz w:val="21"/>
          <w:szCs w:val="21"/>
          <w:highlight w:val="none"/>
        </w:rPr>
        <w:t>月份</w:t>
      </w:r>
      <w:r>
        <w:rPr>
          <w:rFonts w:hint="eastAsia" w:ascii="仿宋" w:hAnsi="仿宋" w:eastAsia="仿宋" w:cs="仿宋"/>
          <w:sz w:val="21"/>
          <w:szCs w:val="21"/>
          <w:highlight w:val="none"/>
        </w:rPr>
        <w:t>统计当前月和累计月的医疗运行和医疗质量管理相关指标</w:t>
      </w:r>
      <w:r>
        <w:rPr>
          <w:rFonts w:ascii="仿宋" w:hAnsi="仿宋" w:eastAsia="仿宋" w:cs="仿宋"/>
          <w:sz w:val="21"/>
          <w:szCs w:val="21"/>
          <w:highlight w:val="none"/>
        </w:rPr>
        <w:t>，内容</w:t>
      </w:r>
      <w:r>
        <w:rPr>
          <w:rFonts w:hint="eastAsia" w:ascii="仿宋" w:hAnsi="仿宋" w:eastAsia="仿宋" w:cs="仿宋"/>
          <w:sz w:val="21"/>
          <w:szCs w:val="21"/>
          <w:highlight w:val="none"/>
        </w:rPr>
        <w:t>细化到手术、门诊、住院、费用结构分析，专科排名的指标数据，同比数据，趋势分析。</w:t>
      </w:r>
    </w:p>
    <w:p>
      <w:pPr>
        <w:pStyle w:val="63"/>
        <w:numPr>
          <w:ilvl w:val="0"/>
          <w:numId w:val="4"/>
        </w:numPr>
        <w:ind w:left="845"/>
        <w:rPr>
          <w:rFonts w:hint="eastAsia" w:cs="仿宋"/>
          <w:sz w:val="21"/>
          <w:szCs w:val="21"/>
          <w:highlight w:val="none"/>
        </w:rPr>
      </w:pPr>
      <w:bookmarkStart w:id="122" w:name="_Toc5269"/>
      <w:bookmarkStart w:id="123" w:name="_Toc28195"/>
      <w:r>
        <w:rPr>
          <w:rFonts w:hint="eastAsia" w:cs="仿宋"/>
          <w:sz w:val="21"/>
          <w:szCs w:val="21"/>
          <w:highlight w:val="none"/>
        </w:rPr>
        <w:t>运营管理工具</w:t>
      </w:r>
      <w:bookmarkEnd w:id="122"/>
      <w:bookmarkEnd w:id="123"/>
    </w:p>
    <w:p>
      <w:pPr>
        <w:numPr>
          <w:ilvl w:val="0"/>
          <w:numId w:val="17"/>
        </w:numPr>
        <w:spacing w:line="360" w:lineRule="auto"/>
        <w:outlineLvl w:val="2"/>
        <w:rPr>
          <w:rFonts w:hint="eastAsia" w:ascii="仿宋" w:hAnsi="仿宋" w:eastAsia="仿宋" w:cs="仿宋"/>
          <w:b/>
          <w:bCs/>
          <w:sz w:val="21"/>
          <w:szCs w:val="21"/>
          <w:highlight w:val="none"/>
        </w:rPr>
      </w:pPr>
      <w:bookmarkStart w:id="124" w:name="_Toc304"/>
      <w:bookmarkStart w:id="125" w:name="_Toc16563"/>
      <w:r>
        <w:rPr>
          <w:rFonts w:hint="eastAsia" w:ascii="仿宋" w:hAnsi="仿宋" w:eastAsia="仿宋" w:cs="仿宋"/>
          <w:b/>
          <w:bCs/>
          <w:sz w:val="21"/>
          <w:szCs w:val="21"/>
          <w:highlight w:val="none"/>
        </w:rPr>
        <w:t>专科分析矩阵</w:t>
      </w:r>
      <w:bookmarkEnd w:id="124"/>
      <w:bookmarkEnd w:id="125"/>
    </w:p>
    <w:p>
      <w:pPr>
        <w:spacing w:line="360" w:lineRule="auto"/>
        <w:ind w:left="420" w:firstLine="420" w:firstLineChars="200"/>
        <w:rPr>
          <w:rFonts w:ascii="仿宋" w:hAnsi="仿宋" w:eastAsia="仿宋" w:cs="仿宋"/>
          <w:sz w:val="21"/>
          <w:szCs w:val="21"/>
          <w:highlight w:val="none"/>
        </w:rPr>
      </w:pPr>
      <w:r>
        <w:rPr>
          <w:rFonts w:ascii="仿宋" w:hAnsi="仿宋" w:eastAsia="仿宋" w:cs="仿宋"/>
          <w:sz w:val="21"/>
          <w:szCs w:val="21"/>
          <w:highlight w:val="none"/>
        </w:rPr>
        <w:t>动态配置不同的考核指标，以</w:t>
      </w:r>
      <w:r>
        <w:rPr>
          <w:rFonts w:hint="eastAsia" w:ascii="仿宋" w:hAnsi="仿宋" w:eastAsia="仿宋" w:cs="仿宋"/>
          <w:sz w:val="21"/>
          <w:szCs w:val="21"/>
          <w:highlight w:val="none"/>
        </w:rPr>
        <w:t>波士顿</w:t>
      </w:r>
      <w:r>
        <w:rPr>
          <w:rFonts w:ascii="仿宋" w:hAnsi="仿宋" w:eastAsia="仿宋" w:cs="仿宋"/>
          <w:sz w:val="21"/>
          <w:szCs w:val="21"/>
          <w:highlight w:val="none"/>
        </w:rPr>
        <w:t>矩阵图分析全院</w:t>
      </w:r>
      <w:r>
        <w:rPr>
          <w:rFonts w:hint="eastAsia" w:ascii="仿宋" w:hAnsi="仿宋" w:eastAsia="仿宋" w:cs="仿宋"/>
          <w:sz w:val="21"/>
          <w:szCs w:val="21"/>
          <w:highlight w:val="none"/>
        </w:rPr>
        <w:t>手术科室、介入科室、其他科室类型</w:t>
      </w:r>
      <w:r>
        <w:rPr>
          <w:rFonts w:ascii="仿宋" w:hAnsi="仿宋" w:eastAsia="仿宋" w:cs="仿宋"/>
          <w:sz w:val="21"/>
          <w:szCs w:val="21"/>
          <w:highlight w:val="none"/>
        </w:rPr>
        <w:t>的指标执行水平，提供设置等级划分标准、矩阵尺寸、统计周期和统计分类进行象限分布</w:t>
      </w:r>
      <w:r>
        <w:rPr>
          <w:rFonts w:hint="eastAsia" w:ascii="仿宋" w:hAnsi="仿宋" w:eastAsia="仿宋" w:cs="仿宋"/>
          <w:sz w:val="21"/>
          <w:szCs w:val="21"/>
          <w:highlight w:val="none"/>
        </w:rPr>
        <w:t>。</w:t>
      </w:r>
    </w:p>
    <w:p>
      <w:pPr>
        <w:numPr>
          <w:ilvl w:val="0"/>
          <w:numId w:val="17"/>
        </w:numPr>
        <w:spacing w:line="360" w:lineRule="auto"/>
        <w:outlineLvl w:val="2"/>
        <w:rPr>
          <w:rFonts w:hint="eastAsia" w:ascii="仿宋" w:hAnsi="仿宋" w:eastAsia="仿宋" w:cs="仿宋"/>
          <w:b/>
          <w:bCs/>
          <w:sz w:val="21"/>
          <w:szCs w:val="21"/>
          <w:highlight w:val="none"/>
        </w:rPr>
      </w:pPr>
      <w:bookmarkStart w:id="126" w:name="_Toc32499"/>
      <w:bookmarkStart w:id="127" w:name="_Toc5053"/>
      <w:r>
        <w:rPr>
          <w:rFonts w:hint="eastAsia" w:ascii="仿宋" w:hAnsi="仿宋" w:eastAsia="仿宋" w:cs="仿宋"/>
          <w:b/>
          <w:bCs/>
          <w:sz w:val="21"/>
          <w:szCs w:val="21"/>
          <w:highlight w:val="none"/>
        </w:rPr>
        <w:t>督办流程闭环</w:t>
      </w:r>
      <w:bookmarkEnd w:id="126"/>
      <w:bookmarkEnd w:id="127"/>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配置任务督办流程管理，设计问题督办、数据填报、估分核实、上传佐证材料、填写整改意见的表单流转到科室负责人，管理部门。提供数据台账留痕，流程进度提醒，任务关闭前3天临期提醒。系统支持在未关闭前进行撤回修改，流程关闭后同步数据。</w:t>
      </w:r>
    </w:p>
    <w:p>
      <w:pPr>
        <w:pStyle w:val="12"/>
        <w:rPr>
          <w:rFonts w:eastAsia="仿宋"/>
          <w:sz w:val="21"/>
          <w:szCs w:val="21"/>
          <w:highlight w:val="none"/>
        </w:rPr>
      </w:pPr>
    </w:p>
    <w:p>
      <w:pPr>
        <w:jc w:val="center"/>
        <w:rPr>
          <w:sz w:val="21"/>
          <w:szCs w:val="21"/>
          <w:highlight w:val="none"/>
        </w:rPr>
      </w:pPr>
      <w:r>
        <w:rPr>
          <w:rFonts w:hint="eastAsia"/>
          <w:sz w:val="21"/>
          <w:szCs w:val="21"/>
          <w:highlight w:val="none"/>
        </w:rPr>
        <w:drawing>
          <wp:inline distT="0" distB="0" distL="114300" distR="114300">
            <wp:extent cx="5771515" cy="5546725"/>
            <wp:effectExtent l="0" t="0" r="635" b="15875"/>
            <wp:docPr id="2" name="图片 1" descr="工单下达流转业务流程图v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工单下达流转业务流程图v2.0"/>
                    <pic:cNvPicPr>
                      <a:picLocks noChangeAspect="1"/>
                    </pic:cNvPicPr>
                  </pic:nvPicPr>
                  <pic:blipFill>
                    <a:blip r:embed="rId4"/>
                    <a:stretch>
                      <a:fillRect/>
                    </a:stretch>
                  </pic:blipFill>
                  <pic:spPr>
                    <a:xfrm>
                      <a:off x="0" y="0"/>
                      <a:ext cx="5771515" cy="5546725"/>
                    </a:xfrm>
                    <a:prstGeom prst="rect">
                      <a:avLst/>
                    </a:prstGeom>
                    <a:noFill/>
                    <a:ln>
                      <a:noFill/>
                    </a:ln>
                  </pic:spPr>
                </pic:pic>
              </a:graphicData>
            </a:graphic>
          </wp:inline>
        </w:drawing>
      </w:r>
    </w:p>
    <w:p>
      <w:pPr>
        <w:numPr>
          <w:ilvl w:val="0"/>
          <w:numId w:val="17"/>
        </w:numPr>
        <w:spacing w:line="360" w:lineRule="auto"/>
        <w:outlineLvl w:val="2"/>
        <w:rPr>
          <w:rFonts w:hint="eastAsia" w:ascii="仿宋" w:hAnsi="仿宋" w:eastAsia="仿宋" w:cs="仿宋"/>
          <w:b/>
          <w:bCs/>
          <w:sz w:val="21"/>
          <w:szCs w:val="21"/>
          <w:highlight w:val="none"/>
        </w:rPr>
      </w:pPr>
      <w:bookmarkStart w:id="128" w:name="_Toc10479"/>
      <w:bookmarkStart w:id="129" w:name="_Toc32534"/>
      <w:r>
        <w:rPr>
          <w:rFonts w:hint="eastAsia" w:ascii="仿宋" w:hAnsi="仿宋" w:eastAsia="仿宋" w:cs="仿宋"/>
          <w:b/>
          <w:bCs/>
          <w:sz w:val="21"/>
          <w:szCs w:val="21"/>
          <w:highlight w:val="none"/>
        </w:rPr>
        <w:t>目标分解跟踪</w:t>
      </w:r>
      <w:bookmarkEnd w:id="128"/>
      <w:bookmarkEnd w:id="129"/>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能够根据往年数据趋势和院内考核要求，</w:t>
      </w:r>
      <w:r>
        <w:rPr>
          <w:rFonts w:ascii="仿宋" w:hAnsi="仿宋" w:eastAsia="仿宋" w:cs="仿宋"/>
          <w:sz w:val="21"/>
          <w:szCs w:val="21"/>
          <w:highlight w:val="none"/>
        </w:rPr>
        <w:t>支持</w:t>
      </w:r>
      <w:r>
        <w:rPr>
          <w:rFonts w:hint="eastAsia" w:ascii="仿宋" w:hAnsi="仿宋" w:eastAsia="仿宋" w:cs="仿宋"/>
          <w:sz w:val="21"/>
          <w:szCs w:val="21"/>
          <w:highlight w:val="none"/>
        </w:rPr>
        <w:t>运营指标的目标四级分解，分解到年度、月度、科室、医生的目标。基于设置的目标进行实时的跟踪，进度异常进行及时提醒，比如当月的费用超额要提醒科主任留意。</w:t>
      </w:r>
    </w:p>
    <w:p>
      <w:pPr>
        <w:numPr>
          <w:ilvl w:val="0"/>
          <w:numId w:val="17"/>
        </w:numPr>
        <w:spacing w:line="360" w:lineRule="auto"/>
        <w:outlineLvl w:val="2"/>
        <w:rPr>
          <w:rFonts w:hint="eastAsia" w:ascii="仿宋" w:hAnsi="仿宋" w:eastAsia="仿宋" w:cs="仿宋"/>
          <w:b/>
          <w:bCs/>
          <w:sz w:val="21"/>
          <w:szCs w:val="21"/>
          <w:highlight w:val="none"/>
        </w:rPr>
      </w:pPr>
      <w:bookmarkStart w:id="130" w:name="_Toc30711"/>
      <w:bookmarkStart w:id="131" w:name="_Toc16633"/>
      <w:r>
        <w:rPr>
          <w:rFonts w:hint="eastAsia" w:ascii="仿宋" w:hAnsi="仿宋" w:eastAsia="仿宋" w:cs="仿宋"/>
          <w:b/>
          <w:bCs/>
          <w:sz w:val="21"/>
          <w:szCs w:val="21"/>
          <w:highlight w:val="none"/>
        </w:rPr>
        <w:t>目标改进方案</w:t>
      </w:r>
      <w:bookmarkEnd w:id="130"/>
      <w:bookmarkEnd w:id="131"/>
    </w:p>
    <w:p>
      <w:pPr>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支持跟踪</w:t>
      </w:r>
      <w:r>
        <w:rPr>
          <w:rFonts w:ascii="仿宋" w:hAnsi="仿宋" w:eastAsia="仿宋" w:cs="仿宋"/>
          <w:sz w:val="21"/>
          <w:szCs w:val="21"/>
          <w:highlight w:val="none"/>
        </w:rPr>
        <w:t>月度目标实际完成数，与设置的月度目标完成差距，目标完成百分比、完成情况</w:t>
      </w:r>
      <w:r>
        <w:rPr>
          <w:rFonts w:hint="eastAsia" w:ascii="仿宋" w:hAnsi="仿宋" w:eastAsia="仿宋" w:cs="仿宋"/>
          <w:sz w:val="21"/>
          <w:szCs w:val="21"/>
          <w:highlight w:val="none"/>
        </w:rPr>
        <w:t>。根据历史完成情况和当前实际进度，提供目标改进方案，推荐下一月调整的目标以及说明目标进度完成情况，保证全年目标进度完成。</w:t>
      </w:r>
    </w:p>
    <w:p>
      <w:pPr>
        <w:numPr>
          <w:ilvl w:val="0"/>
          <w:numId w:val="17"/>
        </w:numPr>
        <w:spacing w:line="360" w:lineRule="auto"/>
        <w:outlineLvl w:val="2"/>
        <w:rPr>
          <w:rFonts w:hint="eastAsia" w:ascii="仿宋" w:hAnsi="仿宋" w:eastAsia="仿宋" w:cs="仿宋"/>
          <w:b/>
          <w:bCs/>
          <w:sz w:val="21"/>
          <w:szCs w:val="21"/>
          <w:highlight w:val="none"/>
        </w:rPr>
      </w:pPr>
      <w:bookmarkStart w:id="132" w:name="_Toc30564"/>
      <w:bookmarkStart w:id="133" w:name="_Toc25508"/>
      <w:r>
        <w:rPr>
          <w:rFonts w:hint="eastAsia" w:ascii="仿宋" w:hAnsi="仿宋" w:eastAsia="仿宋" w:cs="仿宋"/>
          <w:b/>
          <w:bCs/>
          <w:sz w:val="21"/>
          <w:szCs w:val="21"/>
          <w:highlight w:val="none"/>
        </w:rPr>
        <w:t>单病种专题</w:t>
      </w:r>
      <w:bookmarkEnd w:id="132"/>
      <w:bookmarkEnd w:id="133"/>
    </w:p>
    <w:p>
      <w:pPr>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从收治总例数、平均住院日、病死率、次均费用统计10个单病种统计数据，配置每项考核标准，提供科室达标趋势分析，支持快速筛选不达标科室，点击下钻单病种明细表。</w:t>
      </w:r>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单病种明细可以统计实时（前一天前的）四个维度数据以及下钻到科室的统计；支持快速筛选不达标明细，提醒关注，比如住院天数大于60天，次均费用超标准的病例明细。</w:t>
      </w:r>
    </w:p>
    <w:p>
      <w:pPr>
        <w:numPr>
          <w:ilvl w:val="0"/>
          <w:numId w:val="17"/>
        </w:numPr>
        <w:spacing w:line="360" w:lineRule="auto"/>
        <w:outlineLvl w:val="2"/>
        <w:rPr>
          <w:rFonts w:hint="eastAsia" w:ascii="仿宋" w:hAnsi="仿宋" w:eastAsia="仿宋" w:cs="仿宋"/>
          <w:b/>
          <w:bCs/>
          <w:sz w:val="21"/>
          <w:szCs w:val="21"/>
          <w:highlight w:val="none"/>
        </w:rPr>
      </w:pPr>
      <w:bookmarkStart w:id="134" w:name="_Toc5917"/>
      <w:bookmarkStart w:id="135" w:name="_Toc2107"/>
      <w:r>
        <w:rPr>
          <w:rFonts w:hint="eastAsia" w:ascii="仿宋" w:hAnsi="仿宋" w:eastAsia="仿宋" w:cs="仿宋"/>
          <w:b/>
          <w:bCs/>
          <w:sz w:val="21"/>
          <w:szCs w:val="21"/>
          <w:highlight w:val="none"/>
        </w:rPr>
        <w:t>DIP/DRG专题</w:t>
      </w:r>
      <w:bookmarkEnd w:id="134"/>
      <w:bookmarkEnd w:id="135"/>
    </w:p>
    <w:p>
      <w:pPr>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根据DIP付费规则和DRG分组目录，对接院内DIP医保数据和DRG分组结果数据，实现科室每月医保结余预测、病种分组分析。支持根据主要诊断或者术种进行聚类分析，分析出分值付费和病种间的关系。</w:t>
      </w:r>
    </w:p>
    <w:p>
      <w:pPr>
        <w:numPr>
          <w:ilvl w:val="0"/>
          <w:numId w:val="17"/>
        </w:numPr>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抗菌药物专题</w:t>
      </w:r>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根据国考指标要求，统计同期出院患者住院期间抗菌药物的实际消耗量，抗菌药物使用强度，可以按全院、科室、个人、等维度统计；支持数据可视化趋势对比，提供同比（去年同期）、环比（上个月）对比，目标差距对比。默认不达标的科室进行标记，一键筛选导出。</w:t>
      </w:r>
    </w:p>
    <w:p>
      <w:pPr>
        <w:pStyle w:val="63"/>
        <w:numPr>
          <w:ilvl w:val="0"/>
          <w:numId w:val="4"/>
        </w:numPr>
        <w:ind w:left="845"/>
        <w:rPr>
          <w:rFonts w:hint="eastAsia" w:cs="仿宋"/>
          <w:sz w:val="21"/>
          <w:szCs w:val="21"/>
          <w:highlight w:val="none"/>
        </w:rPr>
      </w:pPr>
      <w:bookmarkStart w:id="136" w:name="_Toc27231"/>
      <w:bookmarkStart w:id="137" w:name="_Toc27871"/>
      <w:r>
        <w:rPr>
          <w:rFonts w:hint="eastAsia" w:cs="仿宋"/>
          <w:sz w:val="21"/>
          <w:szCs w:val="21"/>
          <w:highlight w:val="none"/>
        </w:rPr>
        <w:t>指标建模管理</w:t>
      </w:r>
      <w:bookmarkEnd w:id="136"/>
      <w:bookmarkEnd w:id="137"/>
    </w:p>
    <w:p>
      <w:pPr>
        <w:numPr>
          <w:ilvl w:val="0"/>
          <w:numId w:val="18"/>
        </w:numPr>
        <w:spacing w:line="360" w:lineRule="auto"/>
        <w:outlineLvl w:val="2"/>
        <w:rPr>
          <w:rFonts w:hint="eastAsia" w:ascii="仿宋" w:hAnsi="仿宋" w:eastAsia="仿宋" w:cs="仿宋"/>
          <w:b/>
          <w:bCs/>
          <w:sz w:val="21"/>
          <w:szCs w:val="21"/>
          <w:highlight w:val="none"/>
        </w:rPr>
      </w:pPr>
      <w:bookmarkStart w:id="138" w:name="_Toc24580"/>
      <w:bookmarkStart w:id="139" w:name="_Toc13094"/>
      <w:r>
        <w:rPr>
          <w:rFonts w:hint="eastAsia" w:ascii="仿宋" w:hAnsi="仿宋" w:eastAsia="仿宋" w:cs="仿宋"/>
          <w:b/>
          <w:bCs/>
          <w:sz w:val="21"/>
          <w:szCs w:val="21"/>
          <w:highlight w:val="none"/>
        </w:rPr>
        <w:t>指标体系</w:t>
      </w:r>
      <w:bookmarkEnd w:id="138"/>
      <w:bookmarkEnd w:id="139"/>
      <w:r>
        <w:rPr>
          <w:rFonts w:hint="eastAsia" w:ascii="仿宋" w:hAnsi="仿宋" w:eastAsia="仿宋" w:cs="仿宋"/>
          <w:b/>
          <w:bCs/>
          <w:sz w:val="21"/>
          <w:szCs w:val="21"/>
          <w:highlight w:val="none"/>
        </w:rPr>
        <w:t>配置</w:t>
      </w:r>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搭建多个考核体系，按不同级别从指标池不同层级库选择配置指标目录，支持同级指标间的自定义排序，支持下载指标体系树图。</w:t>
      </w:r>
    </w:p>
    <w:p>
      <w:pPr>
        <w:numPr>
          <w:ilvl w:val="0"/>
          <w:numId w:val="18"/>
        </w:numPr>
        <w:spacing w:line="360" w:lineRule="auto"/>
        <w:outlineLvl w:val="2"/>
        <w:rPr>
          <w:rFonts w:hint="eastAsia" w:ascii="仿宋" w:hAnsi="仿宋" w:eastAsia="仿宋" w:cs="仿宋"/>
          <w:b/>
          <w:bCs/>
          <w:sz w:val="21"/>
          <w:szCs w:val="21"/>
          <w:highlight w:val="none"/>
        </w:rPr>
      </w:pPr>
      <w:bookmarkStart w:id="140" w:name="_Toc6791"/>
      <w:bookmarkStart w:id="141" w:name="_Toc17319"/>
      <w:r>
        <w:rPr>
          <w:rFonts w:hint="eastAsia" w:ascii="仿宋" w:hAnsi="仿宋" w:eastAsia="仿宋" w:cs="仿宋"/>
          <w:b/>
          <w:bCs/>
          <w:sz w:val="21"/>
          <w:szCs w:val="21"/>
          <w:highlight w:val="none"/>
        </w:rPr>
        <w:t>指标池管理</w:t>
      </w:r>
      <w:bookmarkEnd w:id="140"/>
      <w:bookmarkEnd w:id="141"/>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新增考核指标的基本信息，指标类型，指标层级，口径定义等信息，配置查看权限，配置因子公式，关联年份目标值。支持快速复用、导出、查询指标。</w:t>
      </w:r>
    </w:p>
    <w:p>
      <w:pPr>
        <w:numPr>
          <w:ilvl w:val="0"/>
          <w:numId w:val="18"/>
        </w:numPr>
        <w:spacing w:line="360" w:lineRule="auto"/>
        <w:outlineLvl w:val="2"/>
        <w:rPr>
          <w:rFonts w:hint="eastAsia" w:ascii="仿宋" w:hAnsi="仿宋" w:eastAsia="仿宋" w:cs="仿宋"/>
          <w:b/>
          <w:bCs/>
          <w:sz w:val="21"/>
          <w:szCs w:val="21"/>
          <w:highlight w:val="none"/>
        </w:rPr>
      </w:pPr>
      <w:bookmarkStart w:id="142" w:name="_Toc26707"/>
      <w:bookmarkStart w:id="143" w:name="_Toc7067"/>
      <w:r>
        <w:rPr>
          <w:rFonts w:hint="eastAsia" w:ascii="仿宋" w:hAnsi="仿宋" w:eastAsia="仿宋" w:cs="仿宋"/>
          <w:b/>
          <w:bCs/>
          <w:sz w:val="21"/>
          <w:szCs w:val="21"/>
          <w:highlight w:val="none"/>
        </w:rPr>
        <w:t>因子库管理</w:t>
      </w:r>
      <w:bookmarkEnd w:id="142"/>
      <w:bookmarkEnd w:id="143"/>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新增数据因子的信息，类型，单位，统计方式，配置数据源，清洗规则。</w:t>
      </w:r>
    </w:p>
    <w:p>
      <w:pPr>
        <w:numPr>
          <w:ilvl w:val="0"/>
          <w:numId w:val="18"/>
        </w:numPr>
        <w:spacing w:line="360" w:lineRule="auto"/>
        <w:outlineLvl w:val="2"/>
        <w:rPr>
          <w:rFonts w:hint="eastAsia" w:ascii="仿宋" w:hAnsi="仿宋" w:eastAsia="仿宋" w:cs="仿宋"/>
          <w:b/>
          <w:bCs/>
          <w:sz w:val="21"/>
          <w:szCs w:val="21"/>
          <w:highlight w:val="none"/>
        </w:rPr>
      </w:pPr>
      <w:bookmarkStart w:id="144" w:name="_Toc308"/>
      <w:bookmarkStart w:id="145" w:name="_Toc29621"/>
      <w:r>
        <w:rPr>
          <w:rFonts w:hint="eastAsia" w:ascii="仿宋" w:hAnsi="仿宋" w:eastAsia="仿宋" w:cs="仿宋"/>
          <w:b/>
          <w:bCs/>
          <w:sz w:val="21"/>
          <w:szCs w:val="21"/>
          <w:highlight w:val="none"/>
        </w:rPr>
        <w:t>字典目录管理</w:t>
      </w:r>
      <w:bookmarkEnd w:id="144"/>
      <w:bookmarkEnd w:id="145"/>
    </w:p>
    <w:p>
      <w:pPr>
        <w:pStyle w:val="8"/>
        <w:ind w:firstLine="420" w:firstLineChars="200"/>
        <w:outlineLvl w:val="3"/>
        <w:rPr>
          <w:rFonts w:hint="eastAsia" w:ascii="仿宋" w:hAnsi="仿宋" w:eastAsia="仿宋" w:cs="仿宋"/>
          <w:sz w:val="21"/>
          <w:szCs w:val="21"/>
          <w:highlight w:val="none"/>
        </w:rPr>
      </w:pPr>
      <w:r>
        <w:rPr>
          <w:rFonts w:hint="eastAsia" w:ascii="仿宋" w:hAnsi="仿宋" w:eastAsia="仿宋" w:cs="仿宋"/>
          <w:sz w:val="21"/>
          <w:szCs w:val="21"/>
          <w:highlight w:val="none"/>
        </w:rPr>
        <w:t>（1）引用目录管理</w:t>
      </w:r>
    </w:p>
    <w:p>
      <w:pPr>
        <w:pStyle w:val="12"/>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支持查看指标统计应用到的手术编码、诊断编码、并发症ICD编码、日间手术编码、耗材类型编码、药品类型编码等目录。</w:t>
      </w:r>
    </w:p>
    <w:p>
      <w:pPr>
        <w:pStyle w:val="8"/>
        <w:ind w:firstLine="420" w:firstLineChars="200"/>
        <w:outlineLvl w:val="3"/>
        <w:rPr>
          <w:rFonts w:hint="eastAsia" w:ascii="仿宋" w:hAnsi="仿宋" w:eastAsia="仿宋" w:cs="仿宋"/>
          <w:sz w:val="21"/>
          <w:szCs w:val="21"/>
          <w:highlight w:val="none"/>
        </w:rPr>
      </w:pPr>
      <w:bookmarkStart w:id="146" w:name="_Toc18349"/>
      <w:bookmarkStart w:id="147" w:name="_Toc13171"/>
      <w:r>
        <w:rPr>
          <w:rFonts w:hint="eastAsia" w:ascii="仿宋" w:hAnsi="仿宋" w:eastAsia="仿宋" w:cs="仿宋"/>
          <w:sz w:val="21"/>
          <w:szCs w:val="21"/>
          <w:highlight w:val="none"/>
        </w:rPr>
        <w:t>（2）基础字典管理</w:t>
      </w:r>
      <w:bookmarkEnd w:id="146"/>
      <w:bookmarkEnd w:id="147"/>
    </w:p>
    <w:p>
      <w:pPr>
        <w:pStyle w:val="12"/>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提供病案首页基础字典的查询界面。</w:t>
      </w:r>
    </w:p>
    <w:p>
      <w:pPr>
        <w:pStyle w:val="8"/>
        <w:ind w:firstLine="420" w:firstLineChars="200"/>
        <w:outlineLvl w:val="3"/>
        <w:rPr>
          <w:rFonts w:hint="eastAsia" w:ascii="仿宋" w:hAnsi="仿宋" w:eastAsia="仿宋" w:cs="仿宋"/>
          <w:sz w:val="21"/>
          <w:szCs w:val="21"/>
          <w:highlight w:val="none"/>
        </w:rPr>
      </w:pPr>
      <w:bookmarkStart w:id="148" w:name="_Toc16968"/>
      <w:bookmarkStart w:id="149" w:name="_Toc10533"/>
      <w:r>
        <w:rPr>
          <w:rFonts w:hint="eastAsia" w:ascii="仿宋" w:hAnsi="仿宋" w:eastAsia="仿宋" w:cs="仿宋"/>
          <w:sz w:val="21"/>
          <w:szCs w:val="21"/>
          <w:highlight w:val="none"/>
        </w:rPr>
        <w:t>（3）诊断字典管理</w:t>
      </w:r>
      <w:bookmarkEnd w:id="148"/>
      <w:bookmarkEnd w:id="149"/>
    </w:p>
    <w:p>
      <w:pPr>
        <w:pStyle w:val="12"/>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提供西医诊断的查询、维护和版本管理界面，提供查询诊断库的历史版本和更新对照情况。</w:t>
      </w:r>
    </w:p>
    <w:p>
      <w:pPr>
        <w:pStyle w:val="8"/>
        <w:ind w:firstLine="420" w:firstLineChars="200"/>
        <w:outlineLvl w:val="3"/>
        <w:rPr>
          <w:rFonts w:hint="eastAsia" w:ascii="仿宋" w:hAnsi="仿宋" w:eastAsia="仿宋" w:cs="仿宋"/>
          <w:sz w:val="21"/>
          <w:szCs w:val="21"/>
          <w:highlight w:val="none"/>
        </w:rPr>
      </w:pPr>
      <w:bookmarkStart w:id="150" w:name="_Toc17421"/>
      <w:bookmarkStart w:id="151" w:name="_Toc3293"/>
      <w:r>
        <w:rPr>
          <w:rFonts w:hint="eastAsia" w:ascii="仿宋" w:hAnsi="仿宋" w:eastAsia="仿宋" w:cs="仿宋"/>
          <w:sz w:val="21"/>
          <w:szCs w:val="21"/>
          <w:highlight w:val="none"/>
        </w:rPr>
        <w:t>（4）手术字典管理</w:t>
      </w:r>
      <w:bookmarkEnd w:id="150"/>
      <w:bookmarkEnd w:id="151"/>
    </w:p>
    <w:p>
      <w:pPr>
        <w:pStyle w:val="12"/>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提供西医手术、中医操作的查询、维护和版本管理界面，提供查询手术库的历史版本和更新对照情况。</w:t>
      </w:r>
    </w:p>
    <w:p>
      <w:pPr>
        <w:pStyle w:val="8"/>
        <w:ind w:firstLine="420" w:firstLineChars="200"/>
        <w:outlineLvl w:val="3"/>
        <w:rPr>
          <w:rFonts w:hint="eastAsia" w:ascii="仿宋" w:hAnsi="仿宋" w:eastAsia="仿宋" w:cs="仿宋"/>
          <w:sz w:val="21"/>
          <w:szCs w:val="21"/>
          <w:highlight w:val="none"/>
        </w:rPr>
      </w:pPr>
      <w:bookmarkStart w:id="152" w:name="_Toc11903"/>
      <w:bookmarkStart w:id="153" w:name="_Toc13549"/>
      <w:r>
        <w:rPr>
          <w:rFonts w:hint="eastAsia" w:ascii="仿宋" w:hAnsi="仿宋" w:eastAsia="仿宋" w:cs="仿宋"/>
          <w:sz w:val="21"/>
          <w:szCs w:val="21"/>
          <w:highlight w:val="none"/>
        </w:rPr>
        <w:t>（5）麻醉字典管理</w:t>
      </w:r>
      <w:bookmarkEnd w:id="152"/>
      <w:bookmarkEnd w:id="153"/>
    </w:p>
    <w:p>
      <w:pPr>
        <w:pStyle w:val="12"/>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提供麻醉字典的查询、维护和版本管理界面</w:t>
      </w:r>
    </w:p>
    <w:p>
      <w:pPr>
        <w:pStyle w:val="8"/>
        <w:ind w:firstLine="420" w:firstLineChars="200"/>
        <w:outlineLvl w:val="3"/>
        <w:rPr>
          <w:rFonts w:ascii="仿宋" w:hAnsi="仿宋" w:eastAsia="仿宋" w:cs="仿宋"/>
          <w:sz w:val="21"/>
          <w:szCs w:val="21"/>
          <w:highlight w:val="none"/>
        </w:rPr>
      </w:pPr>
      <w:bookmarkStart w:id="154" w:name="_Toc24307"/>
      <w:bookmarkStart w:id="155" w:name="_Toc20909"/>
      <w:r>
        <w:rPr>
          <w:rFonts w:hint="eastAsia" w:ascii="仿宋" w:hAnsi="仿宋" w:eastAsia="仿宋" w:cs="仿宋"/>
          <w:sz w:val="21"/>
          <w:szCs w:val="21"/>
          <w:highlight w:val="none"/>
        </w:rPr>
        <w:t>（6）HIS字典管理</w:t>
      </w:r>
      <w:bookmarkEnd w:id="154"/>
      <w:bookmarkEnd w:id="155"/>
    </w:p>
    <w:p>
      <w:pPr>
        <w:pStyle w:val="12"/>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提供HIS字典维护界面、HIS字典对照界面。</w:t>
      </w:r>
    </w:p>
    <w:p>
      <w:pPr>
        <w:numPr>
          <w:ilvl w:val="0"/>
          <w:numId w:val="18"/>
        </w:numPr>
        <w:spacing w:line="360" w:lineRule="auto"/>
        <w:outlineLvl w:val="2"/>
        <w:rPr>
          <w:rFonts w:hint="eastAsia" w:ascii="仿宋" w:hAnsi="仿宋" w:eastAsia="仿宋" w:cs="仿宋"/>
          <w:b/>
          <w:bCs/>
          <w:sz w:val="21"/>
          <w:szCs w:val="21"/>
          <w:highlight w:val="none"/>
        </w:rPr>
      </w:pPr>
      <w:bookmarkStart w:id="156" w:name="_Toc3423"/>
      <w:bookmarkStart w:id="157" w:name="_Toc17554"/>
      <w:r>
        <w:rPr>
          <w:rFonts w:hint="eastAsia" w:ascii="仿宋" w:hAnsi="仿宋" w:eastAsia="仿宋" w:cs="仿宋"/>
          <w:b/>
          <w:bCs/>
          <w:sz w:val="21"/>
          <w:szCs w:val="21"/>
          <w:highlight w:val="none"/>
        </w:rPr>
        <w:t>动态表管理</w:t>
      </w:r>
      <w:bookmarkEnd w:id="156"/>
      <w:bookmarkEnd w:id="157"/>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提供动态表工具快速新增报表，新增表管理信息，配置相关表字段。用于自定义二维数据表快速配置。</w:t>
      </w:r>
    </w:p>
    <w:p>
      <w:pPr>
        <w:pStyle w:val="63"/>
        <w:numPr>
          <w:ilvl w:val="0"/>
          <w:numId w:val="4"/>
        </w:numPr>
        <w:ind w:left="845"/>
        <w:rPr>
          <w:rFonts w:hint="eastAsia" w:cs="仿宋"/>
          <w:sz w:val="21"/>
          <w:szCs w:val="21"/>
          <w:highlight w:val="none"/>
        </w:rPr>
      </w:pPr>
      <w:bookmarkStart w:id="158" w:name="_Toc21841"/>
      <w:bookmarkStart w:id="159" w:name="_Toc14470"/>
      <w:r>
        <w:rPr>
          <w:rFonts w:hint="eastAsia" w:cs="仿宋"/>
          <w:sz w:val="21"/>
          <w:szCs w:val="21"/>
          <w:highlight w:val="none"/>
        </w:rPr>
        <w:t>知识门户</w:t>
      </w:r>
      <w:bookmarkEnd w:id="158"/>
      <w:bookmarkEnd w:id="159"/>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提供运营管理方向的知识门户搭建，提供外部公开渠道（官网网站、公众号、新闻报刊等）的外部医院数据、政策文件、指标解读、运营知识资讯采集转载和工具册运营管理。支持标签联动指标，按年份、章节标题进行版本关联。定期更新外部医院数据包、指标解读数据包、政策文件包、运营资讯包。</w:t>
      </w:r>
    </w:p>
    <w:p>
      <w:pPr>
        <w:pStyle w:val="63"/>
        <w:numPr>
          <w:ilvl w:val="0"/>
          <w:numId w:val="4"/>
        </w:numPr>
        <w:ind w:left="845"/>
        <w:rPr>
          <w:rFonts w:hint="eastAsia" w:cs="仿宋"/>
          <w:sz w:val="21"/>
          <w:szCs w:val="21"/>
          <w:highlight w:val="none"/>
        </w:rPr>
      </w:pPr>
      <w:bookmarkStart w:id="160" w:name="_Toc4343"/>
      <w:bookmarkStart w:id="161" w:name="_Toc14796"/>
      <w:r>
        <w:rPr>
          <w:rFonts w:hint="eastAsia" w:cs="仿宋"/>
          <w:sz w:val="21"/>
          <w:szCs w:val="21"/>
          <w:highlight w:val="none"/>
        </w:rPr>
        <w:t>数字画像</w:t>
      </w:r>
      <w:bookmarkEnd w:id="160"/>
      <w:bookmarkEnd w:id="161"/>
    </w:p>
    <w:p>
      <w:pPr>
        <w:ind w:firstLine="420" w:firstLineChars="200"/>
        <w:rPr>
          <w:sz w:val="21"/>
          <w:szCs w:val="21"/>
          <w:highlight w:val="none"/>
        </w:rPr>
      </w:pPr>
      <w:r>
        <w:rPr>
          <w:rFonts w:hint="eastAsia" w:ascii="仿宋" w:hAnsi="仿宋" w:eastAsia="仿宋" w:cs="仿宋"/>
          <w:sz w:val="21"/>
          <w:szCs w:val="21"/>
          <w:highlight w:val="none"/>
        </w:rPr>
        <w:t>为医生个人提供数字工作报告，内容分为诊疗报告、节假日工作、科研报告、教学报告等四大部分。其中诊疗报告分为接诊、住院、手术、患者四个维度，统计周期性的门急诊、互联网接诊人数，收治患者人数，主刀手术量、国考手术量、四级手术量、微创手术量、操作量，患者来源结构等。最多最晚工作是统计该医生单日最多接诊量，手术量，单台最长手术时长，最晚结束时间，生日当天的接诊、收治患者和手术台次。科研报告是该医生主持或参与科研课题累计数。教学报告为该医生指导带教和教学论文、课题的统计。</w:t>
      </w:r>
    </w:p>
    <w:p>
      <w:pPr>
        <w:pStyle w:val="63"/>
        <w:numPr>
          <w:ilvl w:val="0"/>
          <w:numId w:val="4"/>
        </w:numPr>
        <w:ind w:left="845"/>
        <w:rPr>
          <w:rFonts w:hint="eastAsia" w:cs="仿宋"/>
          <w:sz w:val="21"/>
          <w:szCs w:val="21"/>
          <w:highlight w:val="none"/>
        </w:rPr>
      </w:pPr>
      <w:bookmarkStart w:id="162" w:name="_Toc23594"/>
      <w:bookmarkStart w:id="163" w:name="_Toc30103"/>
      <w:r>
        <w:rPr>
          <w:rFonts w:hint="eastAsia" w:cs="仿宋"/>
          <w:sz w:val="21"/>
          <w:szCs w:val="21"/>
          <w:highlight w:val="none"/>
        </w:rPr>
        <w:t>系统管理</w:t>
      </w:r>
      <w:bookmarkEnd w:id="162"/>
      <w:bookmarkEnd w:id="163"/>
    </w:p>
    <w:p>
      <w:pPr>
        <w:numPr>
          <w:ilvl w:val="0"/>
          <w:numId w:val="19"/>
        </w:numPr>
        <w:spacing w:line="360" w:lineRule="auto"/>
        <w:outlineLvl w:val="2"/>
        <w:rPr>
          <w:rFonts w:hint="eastAsia" w:ascii="仿宋" w:hAnsi="仿宋" w:eastAsia="仿宋" w:cs="仿宋"/>
          <w:b/>
          <w:bCs/>
          <w:sz w:val="21"/>
          <w:szCs w:val="21"/>
          <w:highlight w:val="none"/>
        </w:rPr>
      </w:pPr>
      <w:bookmarkStart w:id="164" w:name="_Toc26795"/>
      <w:bookmarkStart w:id="165" w:name="_Toc27637"/>
      <w:r>
        <w:rPr>
          <w:rFonts w:hint="eastAsia" w:ascii="仿宋" w:hAnsi="仿宋" w:eastAsia="仿宋" w:cs="仿宋"/>
          <w:b/>
          <w:bCs/>
          <w:sz w:val="21"/>
          <w:szCs w:val="21"/>
          <w:highlight w:val="none"/>
        </w:rPr>
        <w:t>用户管理</w:t>
      </w:r>
      <w:bookmarkEnd w:id="164"/>
      <w:bookmarkEnd w:id="165"/>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新增维护运营管理账户，支持配置所属科室，开放的角色权限，重置密码。以用户工号为登录账号，自动带出院内的人员基本信息。</w:t>
      </w:r>
    </w:p>
    <w:p>
      <w:pPr>
        <w:numPr>
          <w:ilvl w:val="0"/>
          <w:numId w:val="19"/>
        </w:numPr>
        <w:spacing w:line="360" w:lineRule="auto"/>
        <w:outlineLvl w:val="2"/>
        <w:rPr>
          <w:rFonts w:hint="eastAsia" w:ascii="仿宋" w:hAnsi="仿宋" w:eastAsia="仿宋" w:cs="仿宋"/>
          <w:b/>
          <w:bCs/>
          <w:sz w:val="21"/>
          <w:szCs w:val="21"/>
          <w:highlight w:val="none"/>
        </w:rPr>
      </w:pPr>
      <w:bookmarkStart w:id="166" w:name="_Toc30154"/>
      <w:bookmarkStart w:id="167" w:name="_Toc6985"/>
      <w:r>
        <w:rPr>
          <w:rFonts w:hint="eastAsia" w:ascii="仿宋" w:hAnsi="仿宋" w:eastAsia="仿宋" w:cs="仿宋"/>
          <w:b/>
          <w:bCs/>
          <w:sz w:val="21"/>
          <w:szCs w:val="21"/>
          <w:highlight w:val="none"/>
        </w:rPr>
        <w:t>角色管理</w:t>
      </w:r>
      <w:bookmarkEnd w:id="166"/>
      <w:bookmarkEnd w:id="167"/>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根据运营管理需求，新增维护用户的角色字典，分配菜单权限、数据权限、操作权限。</w:t>
      </w:r>
    </w:p>
    <w:p>
      <w:pPr>
        <w:numPr>
          <w:ilvl w:val="0"/>
          <w:numId w:val="19"/>
        </w:numPr>
        <w:spacing w:line="360" w:lineRule="auto"/>
        <w:outlineLvl w:val="2"/>
        <w:rPr>
          <w:rFonts w:hint="eastAsia" w:ascii="仿宋" w:hAnsi="仿宋" w:eastAsia="仿宋" w:cs="仿宋"/>
          <w:b/>
          <w:bCs/>
          <w:sz w:val="21"/>
          <w:szCs w:val="21"/>
          <w:highlight w:val="none"/>
        </w:rPr>
      </w:pPr>
      <w:bookmarkStart w:id="168" w:name="_Toc26351"/>
      <w:bookmarkStart w:id="169" w:name="_Toc32697"/>
      <w:r>
        <w:rPr>
          <w:rFonts w:hint="eastAsia" w:ascii="仿宋" w:hAnsi="仿宋" w:eastAsia="仿宋" w:cs="仿宋"/>
          <w:b/>
          <w:bCs/>
          <w:sz w:val="21"/>
          <w:szCs w:val="21"/>
          <w:highlight w:val="none"/>
        </w:rPr>
        <w:t>菜单管理</w:t>
      </w:r>
      <w:bookmarkEnd w:id="168"/>
      <w:bookmarkEnd w:id="169"/>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支持对菜单面板进行增删改查，细分至每个模块下的功能点调整。</w:t>
      </w:r>
    </w:p>
    <w:p>
      <w:pPr>
        <w:numPr>
          <w:ilvl w:val="0"/>
          <w:numId w:val="19"/>
        </w:numPr>
        <w:spacing w:line="360" w:lineRule="auto"/>
        <w:outlineLvl w:val="2"/>
        <w:rPr>
          <w:rFonts w:hint="eastAsia" w:ascii="仿宋" w:hAnsi="仿宋" w:eastAsia="仿宋" w:cs="仿宋"/>
          <w:b/>
          <w:bCs/>
          <w:sz w:val="21"/>
          <w:szCs w:val="21"/>
          <w:highlight w:val="none"/>
        </w:rPr>
      </w:pPr>
      <w:bookmarkStart w:id="170" w:name="_Toc12914"/>
      <w:bookmarkStart w:id="171" w:name="_Toc1098"/>
      <w:r>
        <w:rPr>
          <w:rFonts w:hint="eastAsia" w:ascii="仿宋" w:hAnsi="仿宋" w:eastAsia="仿宋" w:cs="仿宋"/>
          <w:b/>
          <w:bCs/>
          <w:sz w:val="21"/>
          <w:szCs w:val="21"/>
          <w:highlight w:val="none"/>
        </w:rPr>
        <w:t>科室管理</w:t>
      </w:r>
      <w:bookmarkEnd w:id="170"/>
      <w:bookmarkEnd w:id="171"/>
    </w:p>
    <w:p>
      <w:pPr>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科室治理后的科室字典维护管理，维护科室名称、科室编码、科室ID、科室类型、治理映射字典、系统来源。提供医生和执行科室关系表，用于统计执行工作量。</w:t>
      </w:r>
    </w:p>
    <w:p>
      <w:pPr>
        <w:numPr>
          <w:ilvl w:val="0"/>
          <w:numId w:val="19"/>
        </w:numPr>
        <w:spacing w:line="360" w:lineRule="auto"/>
        <w:outlineLvl w:val="2"/>
        <w:rPr>
          <w:rFonts w:hint="eastAsia" w:ascii="仿宋" w:hAnsi="仿宋" w:eastAsia="仿宋" w:cs="仿宋"/>
          <w:b/>
          <w:bCs/>
          <w:sz w:val="21"/>
          <w:szCs w:val="21"/>
          <w:highlight w:val="none"/>
        </w:rPr>
      </w:pPr>
      <w:bookmarkStart w:id="172" w:name="_Toc15208"/>
      <w:bookmarkStart w:id="173" w:name="_Toc17351"/>
      <w:r>
        <w:rPr>
          <w:rFonts w:hint="eastAsia" w:ascii="仿宋" w:hAnsi="仿宋" w:eastAsia="仿宋" w:cs="仿宋"/>
          <w:b/>
          <w:bCs/>
          <w:sz w:val="21"/>
          <w:szCs w:val="21"/>
          <w:highlight w:val="none"/>
        </w:rPr>
        <w:t>配置管理</w:t>
      </w:r>
      <w:bookmarkEnd w:id="172"/>
      <w:bookmarkEnd w:id="173"/>
    </w:p>
    <w:p>
      <w:pPr>
        <w:pStyle w:val="12"/>
        <w:rPr>
          <w:rFonts w:hint="eastAsia" w:ascii="仿宋" w:hAnsi="仿宋" w:eastAsia="仿宋" w:cs="仿宋"/>
          <w:sz w:val="21"/>
          <w:szCs w:val="21"/>
          <w:highlight w:val="none"/>
        </w:rPr>
      </w:pPr>
      <w:r>
        <w:rPr>
          <w:rFonts w:hint="eastAsia" w:ascii="仿宋" w:hAnsi="仿宋" w:eastAsia="仿宋" w:cs="仿宋"/>
          <w:sz w:val="21"/>
          <w:szCs w:val="21"/>
          <w:highlight w:val="none"/>
        </w:rPr>
        <w:t>支持对系统视图、自定义字典配置新增的字段内容。</w:t>
      </w:r>
    </w:p>
    <w:p>
      <w:pPr>
        <w:numPr>
          <w:ilvl w:val="0"/>
          <w:numId w:val="19"/>
        </w:numPr>
        <w:spacing w:line="360" w:lineRule="auto"/>
        <w:outlineLvl w:val="2"/>
        <w:rPr>
          <w:rFonts w:hint="eastAsia" w:ascii="仿宋" w:hAnsi="仿宋" w:eastAsia="仿宋" w:cs="仿宋"/>
          <w:b/>
          <w:bCs/>
          <w:sz w:val="21"/>
          <w:szCs w:val="21"/>
          <w:highlight w:val="none"/>
        </w:rPr>
      </w:pPr>
      <w:bookmarkStart w:id="174" w:name="_Toc17682"/>
      <w:bookmarkStart w:id="175" w:name="_Toc13653"/>
      <w:r>
        <w:rPr>
          <w:rFonts w:hint="eastAsia" w:ascii="仿宋" w:hAnsi="仿宋" w:eastAsia="仿宋" w:cs="仿宋"/>
          <w:b/>
          <w:bCs/>
          <w:sz w:val="21"/>
          <w:szCs w:val="21"/>
          <w:highlight w:val="none"/>
        </w:rPr>
        <w:t>日志管理</w:t>
      </w:r>
      <w:bookmarkEnd w:id="174"/>
      <w:bookmarkEnd w:id="175"/>
    </w:p>
    <w:p>
      <w:pPr>
        <w:pStyle w:val="53"/>
        <w:numPr>
          <w:ilvl w:val="1"/>
          <w:numId w:val="0"/>
        </w:numPr>
        <w:ind w:leftChars="0" w:firstLine="422" w:firstLineChars="200"/>
        <w:rPr>
          <w:rFonts w:hint="eastAsia" w:ascii="宋体" w:hAnsi="宋体" w:eastAsia="宋体" w:cs="宋体"/>
          <w:b w:val="0"/>
          <w:bCs/>
          <w:sz w:val="21"/>
          <w:szCs w:val="21"/>
          <w:highlight w:val="none"/>
        </w:rPr>
      </w:pPr>
      <w:r>
        <w:rPr>
          <w:rFonts w:ascii="仿宋" w:hAnsi="仿宋" w:eastAsia="仿宋" w:cs="仿宋"/>
          <w:sz w:val="21"/>
          <w:szCs w:val="21"/>
          <w:highlight w:val="none"/>
        </w:rPr>
        <w:t>支持</w:t>
      </w:r>
      <w:r>
        <w:rPr>
          <w:rFonts w:hint="eastAsia" w:ascii="仿宋" w:hAnsi="仿宋" w:eastAsia="仿宋" w:cs="仿宋"/>
          <w:sz w:val="21"/>
          <w:szCs w:val="21"/>
          <w:highlight w:val="none"/>
        </w:rPr>
        <w:t>记录</w:t>
      </w:r>
      <w:r>
        <w:rPr>
          <w:rFonts w:ascii="仿宋" w:hAnsi="仿宋" w:eastAsia="仿宋" w:cs="仿宋"/>
          <w:sz w:val="21"/>
          <w:szCs w:val="21"/>
          <w:highlight w:val="none"/>
        </w:rPr>
        <w:t>系统用户操作日志记录</w:t>
      </w:r>
      <w:r>
        <w:rPr>
          <w:rFonts w:hint="eastAsia" w:ascii="仿宋" w:hAnsi="仿宋" w:eastAsia="仿宋" w:cs="仿宋"/>
          <w:sz w:val="21"/>
          <w:szCs w:val="21"/>
          <w:highlight w:val="none"/>
        </w:rPr>
        <w:t>，支持导出近一个月用户登录次数统计。</w:t>
      </w:r>
    </w:p>
    <w:p>
      <w:pPr>
        <w:pStyle w:val="53"/>
        <w:numPr>
          <w:ilvl w:val="1"/>
          <w:numId w:val="0"/>
        </w:numPr>
        <w:ind w:leftChars="0" w:firstLine="422" w:firstLineChars="200"/>
        <w:rPr>
          <w:rFonts w:hint="eastAsia" w:ascii="宋体" w:hAnsi="宋体" w:eastAsia="宋体" w:cs="宋体"/>
          <w:sz w:val="21"/>
          <w:szCs w:val="21"/>
          <w:highlight w:val="none"/>
        </w:rPr>
      </w:pPr>
      <w:r>
        <w:rPr>
          <w:rFonts w:hint="eastAsia" w:cs="宋体"/>
          <w:sz w:val="21"/>
          <w:szCs w:val="21"/>
          <w:highlight w:val="none"/>
          <w:lang w:val="en-US" w:eastAsia="zh-CN"/>
        </w:rPr>
        <w:t>三、</w:t>
      </w:r>
      <w:r>
        <w:rPr>
          <w:rFonts w:hint="eastAsia" w:ascii="宋体" w:hAnsi="宋体" w:eastAsia="宋体" w:cs="宋体"/>
          <w:sz w:val="21"/>
          <w:szCs w:val="21"/>
          <w:highlight w:val="none"/>
        </w:rPr>
        <w:t>服务需求</w:t>
      </w:r>
    </w:p>
    <w:p>
      <w:pPr>
        <w:pStyle w:val="8"/>
        <w:numPr>
          <w:ilvl w:val="0"/>
          <w:numId w:val="0"/>
        </w:numPr>
        <w:ind w:firstLine="416" w:firstLineChars="200"/>
        <w:rPr>
          <w:rFonts w:hint="default"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▲1</w:t>
      </w:r>
      <w:r>
        <w:rPr>
          <w:rFonts w:hint="eastAsia" w:ascii="宋体" w:hAnsi="宋体" w:cs="宋体"/>
          <w:spacing w:val="-1"/>
          <w:sz w:val="21"/>
          <w:szCs w:val="21"/>
          <w:highlight w:val="none"/>
          <w:lang w:val="en-US" w:eastAsia="zh-CN"/>
        </w:rPr>
        <w:t>.</w:t>
      </w:r>
      <w:r>
        <w:rPr>
          <w:rFonts w:hint="eastAsia" w:ascii="宋体" w:hAnsi="宋体" w:eastAsia="宋体" w:cs="宋体"/>
          <w:spacing w:val="-1"/>
          <w:sz w:val="21"/>
          <w:szCs w:val="21"/>
          <w:highlight w:val="none"/>
        </w:rPr>
        <w:t>免费维护期要求：从项目验收通过之日起，包括系统</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软硬件）</w:t>
      </w:r>
      <w:r>
        <w:rPr>
          <w:rFonts w:hint="eastAsia" w:ascii="宋体" w:hAnsi="宋体" w:eastAsia="宋体" w:cs="宋体"/>
          <w:spacing w:val="-1"/>
          <w:sz w:val="21"/>
          <w:szCs w:val="21"/>
          <w:highlight w:val="none"/>
        </w:rPr>
        <w:t>局部功能修订及完善服务等。质量保证期内投标人因维护</w:t>
      </w:r>
      <w:r>
        <w:rPr>
          <w:rFonts w:hint="eastAsia" w:ascii="宋体" w:hAnsi="宋体" w:cs="宋体"/>
          <w:spacing w:val="-1"/>
          <w:sz w:val="21"/>
          <w:szCs w:val="21"/>
          <w:highlight w:val="none"/>
          <w:lang w:val="en-US" w:eastAsia="zh-CN"/>
        </w:rPr>
        <w:t>系统</w:t>
      </w:r>
      <w:r>
        <w:rPr>
          <w:rFonts w:hint="eastAsia" w:ascii="宋体" w:hAnsi="宋体" w:eastAsia="宋体" w:cs="宋体"/>
          <w:spacing w:val="-1"/>
          <w:sz w:val="21"/>
          <w:szCs w:val="21"/>
          <w:highlight w:val="none"/>
        </w:rPr>
        <w:t>所发生的一切费用，包括工时费、交通费、住宿费、通讯费均由响应供应商承担。质保期过后，响应供应商应</w:t>
      </w:r>
      <w:r>
        <w:rPr>
          <w:rFonts w:hint="eastAsia" w:ascii="宋体" w:hAnsi="宋体" w:eastAsia="宋体" w:cs="宋体"/>
          <w:spacing w:val="-1"/>
          <w:sz w:val="21"/>
          <w:szCs w:val="21"/>
          <w:highlight w:val="none"/>
          <w:lang w:val="en-US" w:eastAsia="zh-CN"/>
        </w:rPr>
        <w:t>能</w:t>
      </w:r>
      <w:r>
        <w:rPr>
          <w:rFonts w:hint="eastAsia" w:ascii="宋体" w:hAnsi="宋体" w:eastAsia="宋体" w:cs="宋体"/>
          <w:spacing w:val="-1"/>
          <w:sz w:val="21"/>
          <w:szCs w:val="21"/>
          <w:highlight w:val="none"/>
        </w:rPr>
        <w:t>提供系统</w:t>
      </w:r>
      <w:r>
        <w:rPr>
          <w:rFonts w:hint="eastAsia" w:ascii="宋体" w:hAnsi="宋体" w:eastAsia="宋体" w:cs="宋体"/>
          <w:spacing w:val="-1"/>
          <w:sz w:val="21"/>
          <w:szCs w:val="21"/>
          <w:highlight w:val="none"/>
          <w:lang w:val="en-US" w:eastAsia="zh-CN"/>
        </w:rPr>
        <w:t>软硬件</w:t>
      </w:r>
      <w:r>
        <w:rPr>
          <w:rFonts w:hint="eastAsia" w:ascii="宋体" w:hAnsi="宋体" w:eastAsia="宋体" w:cs="宋体"/>
          <w:spacing w:val="-1"/>
          <w:sz w:val="21"/>
          <w:szCs w:val="21"/>
          <w:highlight w:val="none"/>
        </w:rPr>
        <w:t>终身维护和服务，具体维护费用由采购人和响应供应商通过合同或协议商定。</w:t>
      </w:r>
      <w:r>
        <w:rPr>
          <w:rFonts w:hint="eastAsia" w:ascii="宋体" w:hAnsi="宋体" w:cs="宋体"/>
          <w:spacing w:val="-1"/>
          <w:sz w:val="21"/>
          <w:szCs w:val="21"/>
          <w:highlight w:val="none"/>
          <w:lang w:val="en-US" w:eastAsia="zh-CN"/>
        </w:rPr>
        <w:t>响应供应商需在报价表中注明免费维护期的期限和质保期过后的维护费用。</w:t>
      </w:r>
    </w:p>
    <w:p>
      <w:pPr>
        <w:pStyle w:val="8"/>
        <w:ind w:firstLine="416" w:firstLineChars="200"/>
        <w:rPr>
          <w:rFonts w:hint="eastAsia" w:ascii="宋体" w:hAnsi="宋体" w:eastAsia="宋体" w:cs="宋体"/>
          <w:spacing w:val="-1"/>
          <w:sz w:val="21"/>
          <w:szCs w:val="21"/>
          <w:highlight w:val="none"/>
        </w:rPr>
      </w:pPr>
      <w:r>
        <w:rPr>
          <w:rFonts w:hint="eastAsia" w:ascii="宋体" w:hAnsi="宋体" w:cs="宋体"/>
          <w:spacing w:val="-1"/>
          <w:sz w:val="21"/>
          <w:szCs w:val="21"/>
          <w:highlight w:val="none"/>
          <w:lang w:val="en-US" w:eastAsia="zh-CN"/>
        </w:rPr>
        <w:t>2.</w:t>
      </w:r>
      <w:r>
        <w:rPr>
          <w:rFonts w:hint="eastAsia" w:ascii="宋体" w:hAnsi="宋体" w:eastAsia="宋体" w:cs="宋体"/>
          <w:spacing w:val="-1"/>
          <w:sz w:val="21"/>
          <w:szCs w:val="21"/>
          <w:highlight w:val="none"/>
        </w:rPr>
        <w:t>售后服务要求：本项目范围内的软件系统开发维护服务，必须提供全年无休7*24小时技术热线电话服务。如发生故障必须30分钟内响应；若无法解决的，相关技术专家应4小时内到达现场，尽快加以修复故障。</w:t>
      </w:r>
    </w:p>
    <w:p>
      <w:pPr>
        <w:pStyle w:val="25"/>
        <w:numPr>
          <w:ilvl w:val="0"/>
          <w:numId w:val="0"/>
        </w:numPr>
        <w:ind w:firstLine="416" w:firstLineChars="200"/>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3.</w:t>
      </w:r>
      <w:r>
        <w:rPr>
          <w:rFonts w:hint="eastAsia" w:ascii="宋体" w:hAnsi="宋体" w:eastAsia="宋体" w:cs="宋体"/>
          <w:spacing w:val="-1"/>
          <w:sz w:val="21"/>
          <w:szCs w:val="21"/>
          <w:highlight w:val="none"/>
        </w:rPr>
        <w:t>培训要求：培训对象包括用户单位系统，如系统管理员、医师、科室主任等角色；通过培训使用户方能独立操作、维护、管理，从而使用户方能独立进行管理、故障处理、日常测试维护等日常工作，确保系统能正常安全运行。必须作出培训承诺，含培训计划、培训内容、培训方法、培训时间、培训地点等。</w:t>
      </w:r>
    </w:p>
    <w:p>
      <w:pPr>
        <w:pStyle w:val="25"/>
        <w:numPr>
          <w:ilvl w:val="0"/>
          <w:numId w:val="0"/>
        </w:numPr>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4.报价要求</w:t>
      </w:r>
    </w:p>
    <w:p>
      <w:pPr>
        <w:pStyle w:val="25"/>
        <w:numPr>
          <w:ilvl w:val="0"/>
          <w:numId w:val="0"/>
        </w:numPr>
        <w:spacing w:line="360" w:lineRule="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    </w:t>
      </w:r>
      <w:r>
        <w:rPr>
          <w:rFonts w:hint="eastAsia" w:ascii="宋体" w:hAnsi="宋体" w:eastAsia="宋体" w:cs="宋体"/>
          <w:sz w:val="21"/>
          <w:szCs w:val="21"/>
          <w:highlight w:val="none"/>
        </w:rPr>
        <w:t>本项目以人民币进行报价，报价应包括：设计、设备制造、包装、仓储、运输、安装（含安装所需材料）、第三方检测验收、保修期与备品备件发生的所有含税费用以及合同实施过程中不可预见费用等，所有货物都必须由供应商专人送达，采购人不代收快递传送货物。设备拆箱、安装时成交供应商与厂家均应在场。项目执行期间项目总金额不变，采购人无须另向成交供应商支付其他任何费用。</w:t>
      </w:r>
    </w:p>
    <w:p>
      <w:pPr>
        <w:widowControl/>
        <w:spacing w:line="360" w:lineRule="auto"/>
        <w:ind w:firstLine="480" w:firstLineChars="200"/>
        <w:jc w:val="left"/>
        <w:rPr>
          <w:rFonts w:hint="eastAsia" w:ascii="宋体" w:hAnsi="宋体" w:eastAsia="宋体" w:cs="宋体"/>
          <w:bCs/>
          <w:sz w:val="24"/>
          <w:szCs w:val="24"/>
          <w:highlight w:val="none"/>
        </w:rPr>
      </w:pPr>
    </w:p>
    <w:p>
      <w:pPr>
        <w:widowControl/>
        <w:jc w:val="left"/>
        <w:rPr>
          <w:rFonts w:hint="eastAsia" w:ascii="宋体" w:hAnsi="宋体" w:eastAsia="宋体" w:cs="宋体"/>
          <w:b/>
          <w:highlight w:val="none"/>
        </w:rPr>
      </w:pPr>
    </w:p>
    <w:p>
      <w:pPr>
        <w:widowControl/>
        <w:jc w:val="left"/>
        <w:rPr>
          <w:rFonts w:hint="eastAsia" w:ascii="宋体" w:hAnsi="宋体" w:eastAsia="宋体" w:cs="宋体"/>
          <w:b/>
          <w:highlight w:val="none"/>
        </w:rPr>
      </w:pPr>
      <w:r>
        <w:rPr>
          <w:rFonts w:hint="eastAsia" w:ascii="宋体" w:hAnsi="宋体" w:eastAsia="宋体" w:cs="宋体"/>
          <w:b/>
          <w:highlight w:val="none"/>
        </w:rPr>
        <w:br w:type="page"/>
      </w:r>
    </w:p>
    <w:p>
      <w:pPr>
        <w:spacing w:line="360" w:lineRule="auto"/>
        <w:jc w:val="center"/>
        <w:rPr>
          <w:rFonts w:hint="eastAsia" w:ascii="宋体" w:hAnsi="宋体" w:eastAsia="宋体" w:cs="宋体"/>
          <w:b/>
          <w:highlight w:val="none"/>
        </w:rPr>
      </w:pPr>
      <w:r>
        <w:rPr>
          <w:rFonts w:hint="eastAsia" w:ascii="宋体" w:hAnsi="宋体" w:eastAsia="宋体" w:cs="宋体"/>
          <w:b/>
          <w:highlight w:val="none"/>
        </w:rPr>
        <w:t>响应供应商须知</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1.文件的数量和签署</w:t>
      </w:r>
    </w:p>
    <w:p>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1.1响应供应商应编制响应文件一式</w:t>
      </w:r>
      <w:r>
        <w:rPr>
          <w:rFonts w:hint="eastAsia" w:ascii="宋体" w:hAnsi="宋体" w:eastAsia="宋体" w:cs="宋体"/>
          <w:b/>
          <w:bCs/>
          <w:highlight w:val="none"/>
          <w:u w:val="single"/>
        </w:rPr>
        <w:t>壹</w:t>
      </w:r>
      <w:r>
        <w:rPr>
          <w:rFonts w:hint="eastAsia" w:ascii="宋体" w:hAnsi="宋体" w:eastAsia="宋体" w:cs="宋体"/>
          <w:highlight w:val="none"/>
        </w:rPr>
        <w:t>份。</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1.2 响应文件中的任何重要的插字、涂改和增删，必须由法定代表人或经其正式授权的代表在旁边签章或签字才有效。</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2.磋商响应文件的的封装和标记</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2.1响应供应商应将响应文件单独密封包装，封口处须加盖投标人单位公章。</w:t>
      </w:r>
    </w:p>
    <w:p>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2.2响应文件采用胶装式装订，装订应牢固、不易拆散和换页，不得采用活页装订</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hr-HR"/>
        </w:rPr>
        <w:t>2.3响应文件</w:t>
      </w:r>
      <w:r>
        <w:rPr>
          <w:rFonts w:hint="eastAsia" w:ascii="宋体" w:hAnsi="宋体" w:eastAsia="宋体" w:cs="宋体"/>
          <w:highlight w:val="none"/>
        </w:rPr>
        <w:t>需打印或用不褪色墨水书写，</w:t>
      </w:r>
      <w:r>
        <w:rPr>
          <w:rFonts w:hint="eastAsia" w:ascii="宋体" w:hAnsi="宋体" w:eastAsia="宋体" w:cs="宋体"/>
          <w:bCs/>
          <w:szCs w:val="24"/>
          <w:highlight w:val="none"/>
        </w:rPr>
        <w:t>投标文件正本每一页加盖单位公章并加盖骑缝章</w:t>
      </w:r>
      <w:r>
        <w:rPr>
          <w:rFonts w:hint="eastAsia" w:ascii="宋体" w:hAnsi="宋体" w:eastAsia="宋体" w:cs="宋体"/>
          <w:szCs w:val="24"/>
          <w:highlight w:val="none"/>
        </w:rPr>
        <w:t>。</w:t>
      </w:r>
    </w:p>
    <w:p>
      <w:pPr>
        <w:spacing w:line="360" w:lineRule="auto"/>
        <w:rPr>
          <w:rFonts w:hint="eastAsia" w:ascii="宋体" w:hAnsi="宋体" w:eastAsia="宋体" w:cs="宋体"/>
          <w:b/>
          <w:highlight w:val="none"/>
        </w:rPr>
      </w:pPr>
      <w:r>
        <w:rPr>
          <w:rFonts w:hint="eastAsia" w:ascii="宋体" w:hAnsi="宋体" w:eastAsia="宋体" w:cs="宋体"/>
          <w:b/>
          <w:highlight w:val="none"/>
        </w:rPr>
        <w:t>3.</w:t>
      </w:r>
      <w:r>
        <w:rPr>
          <w:rFonts w:hint="eastAsia" w:ascii="宋体" w:hAnsi="宋体" w:eastAsia="宋体" w:cs="宋体"/>
          <w:b/>
          <w:bCs/>
          <w:highlight w:val="none"/>
        </w:rPr>
        <w:t xml:space="preserve"> 响应供应商悉知</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响应供应商将被视为已合理地尽可能地对所有影响本采购项目的事项，包括任何与本招标文件所列明的有关的特殊困难充分了解。</w:t>
      </w:r>
    </w:p>
    <w:p>
      <w:pPr>
        <w:spacing w:line="360" w:lineRule="auto"/>
        <w:rPr>
          <w:rFonts w:hint="eastAsia" w:ascii="宋体" w:hAnsi="宋体" w:eastAsia="宋体" w:cs="宋体"/>
          <w:b/>
          <w:highlight w:val="none"/>
        </w:rPr>
      </w:pPr>
      <w:r>
        <w:rPr>
          <w:rFonts w:hint="eastAsia" w:ascii="宋体" w:hAnsi="宋体" w:eastAsia="宋体" w:cs="宋体"/>
          <w:b/>
          <w:highlight w:val="none"/>
        </w:rPr>
        <w:t>4.响应文件的递交</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所有响应文件应于采购公告的截止时间前递交到采购人指定地点，</w:t>
      </w:r>
      <w:r>
        <w:rPr>
          <w:rFonts w:hint="eastAsia" w:ascii="宋体" w:hAnsi="宋体" w:eastAsia="宋体" w:cs="宋体"/>
          <w:highlight w:val="none"/>
          <w:lang w:val="en-US" w:eastAsia="zh-CN"/>
        </w:rPr>
        <w:t>可邮寄或现场递交。</w:t>
      </w:r>
    </w:p>
    <w:p>
      <w:pPr>
        <w:spacing w:line="360" w:lineRule="auto"/>
        <w:rPr>
          <w:rFonts w:hint="eastAsia" w:ascii="宋体" w:hAnsi="宋体" w:eastAsia="宋体" w:cs="宋体"/>
          <w:b/>
          <w:bCs/>
          <w:highlight w:val="none"/>
        </w:rPr>
      </w:pPr>
      <w:r>
        <w:rPr>
          <w:rFonts w:hint="eastAsia" w:ascii="宋体" w:hAnsi="宋体" w:eastAsia="宋体" w:cs="宋体"/>
          <w:b/>
          <w:bCs/>
          <w:highlight w:val="none"/>
        </w:rPr>
        <w:t>5.本文件的解释权归采购人所有</w:t>
      </w:r>
      <w:r>
        <w:rPr>
          <w:rFonts w:hint="eastAsia" w:ascii="宋体" w:hAnsi="宋体" w:eastAsia="宋体" w:cs="宋体"/>
          <w:highlight w:val="none"/>
        </w:rPr>
        <w:t>。</w:t>
      </w:r>
    </w:p>
    <w:p>
      <w:pPr>
        <w:rPr>
          <w:rFonts w:hint="eastAsia" w:ascii="宋体" w:hAnsi="宋体" w:eastAsia="宋体" w:cs="宋体"/>
          <w:b/>
          <w:spacing w:val="100"/>
          <w:w w:val="110"/>
          <w:kern w:val="0"/>
          <w:sz w:val="44"/>
          <w:szCs w:val="44"/>
          <w:highlight w:val="none"/>
        </w:rPr>
      </w:pPr>
      <w:r>
        <w:rPr>
          <w:rFonts w:hint="eastAsia" w:ascii="宋体" w:hAnsi="宋体" w:eastAsia="宋体" w:cs="宋体"/>
          <w:highlight w:val="none"/>
        </w:rPr>
        <w:br w:type="page"/>
      </w:r>
    </w:p>
    <w:p>
      <w:pPr>
        <w:widowControl/>
        <w:jc w:val="left"/>
        <w:rPr>
          <w:rFonts w:hint="eastAsia" w:ascii="宋体" w:hAnsi="宋体" w:eastAsia="宋体" w:cs="宋体"/>
          <w:b/>
          <w:spacing w:val="100"/>
          <w:w w:val="110"/>
          <w:kern w:val="0"/>
          <w:sz w:val="44"/>
          <w:szCs w:val="44"/>
          <w:highlight w:val="none"/>
        </w:rPr>
      </w:pPr>
    </w:p>
    <w:p>
      <w:pPr>
        <w:pStyle w:val="12"/>
        <w:tabs>
          <w:tab w:val="left" w:pos="1260"/>
        </w:tabs>
        <w:spacing w:line="680" w:lineRule="auto"/>
        <w:ind w:firstLine="0" w:firstLineChars="0"/>
        <w:jc w:val="center"/>
        <w:rPr>
          <w:rFonts w:hint="eastAsia" w:ascii="宋体" w:hAnsi="宋体" w:eastAsia="宋体" w:cs="宋体"/>
          <w:b/>
          <w:spacing w:val="100"/>
          <w:w w:val="110"/>
          <w:sz w:val="44"/>
          <w:szCs w:val="44"/>
          <w:highlight w:val="none"/>
        </w:rPr>
      </w:pPr>
    </w:p>
    <w:p>
      <w:pPr>
        <w:pStyle w:val="12"/>
        <w:tabs>
          <w:tab w:val="left" w:pos="1260"/>
        </w:tabs>
        <w:spacing w:line="680" w:lineRule="auto"/>
        <w:ind w:firstLine="0" w:firstLineChars="0"/>
        <w:jc w:val="center"/>
        <w:rPr>
          <w:rFonts w:hint="eastAsia" w:ascii="宋体" w:hAnsi="宋体" w:eastAsia="宋体" w:cs="宋体"/>
          <w:b/>
          <w:spacing w:val="100"/>
          <w:w w:val="110"/>
          <w:sz w:val="44"/>
          <w:szCs w:val="44"/>
          <w:highlight w:val="none"/>
        </w:rPr>
      </w:pPr>
      <w:r>
        <w:rPr>
          <w:rFonts w:hint="eastAsia" w:ascii="宋体" w:hAnsi="宋体" w:eastAsia="宋体" w:cs="宋体"/>
          <w:b/>
          <w:spacing w:val="100"/>
          <w:w w:val="110"/>
          <w:sz w:val="44"/>
          <w:szCs w:val="44"/>
          <w:highlight w:val="none"/>
        </w:rPr>
        <w:t>响应文件</w:t>
      </w:r>
    </w:p>
    <w:p>
      <w:pPr>
        <w:pStyle w:val="12"/>
        <w:tabs>
          <w:tab w:val="left" w:pos="1260"/>
        </w:tabs>
        <w:spacing w:line="680" w:lineRule="auto"/>
        <w:ind w:firstLine="0" w:firstLineChars="0"/>
        <w:jc w:val="center"/>
        <w:rPr>
          <w:rFonts w:hint="eastAsia" w:ascii="宋体" w:hAnsi="宋体" w:eastAsia="宋体" w:cs="宋体"/>
          <w:b/>
          <w:spacing w:val="100"/>
          <w:w w:val="110"/>
          <w:sz w:val="44"/>
          <w:szCs w:val="44"/>
          <w:highlight w:val="none"/>
        </w:rPr>
      </w:pPr>
      <w:r>
        <w:rPr>
          <w:rFonts w:hint="eastAsia" w:ascii="宋体" w:hAnsi="宋体" w:eastAsia="宋体" w:cs="宋体"/>
          <w:b/>
          <w:sz w:val="44"/>
          <w:szCs w:val="44"/>
          <w:highlight w:val="none"/>
        </w:rPr>
        <w:t>（正本）</w:t>
      </w:r>
    </w:p>
    <w:p>
      <w:pPr>
        <w:pStyle w:val="12"/>
        <w:spacing w:line="680" w:lineRule="auto"/>
        <w:ind w:firstLine="482"/>
        <w:jc w:val="center"/>
        <w:rPr>
          <w:rFonts w:hint="eastAsia" w:ascii="宋体" w:hAnsi="宋体" w:eastAsia="宋体" w:cs="宋体"/>
          <w:b/>
          <w:szCs w:val="24"/>
          <w:highlight w:val="none"/>
        </w:rPr>
      </w:pPr>
    </w:p>
    <w:p>
      <w:pPr>
        <w:pStyle w:val="12"/>
        <w:spacing w:line="440" w:lineRule="auto"/>
        <w:ind w:firstLine="482"/>
        <w:jc w:val="center"/>
        <w:rPr>
          <w:rFonts w:hint="eastAsia" w:ascii="宋体" w:hAnsi="宋体" w:eastAsia="宋体" w:cs="宋体"/>
          <w:b/>
          <w:szCs w:val="24"/>
          <w:highlight w:val="none"/>
        </w:rPr>
      </w:pPr>
    </w:p>
    <w:p>
      <w:pPr>
        <w:pStyle w:val="10"/>
        <w:spacing w:line="440" w:lineRule="auto"/>
        <w:ind w:firstLine="0" w:firstLineChars="0"/>
        <w:rPr>
          <w:rFonts w:hint="eastAsia" w:ascii="宋体" w:hAnsi="宋体" w:eastAsia="宋体" w:cs="宋体"/>
          <w:sz w:val="24"/>
          <w:szCs w:val="24"/>
          <w:highlight w:val="none"/>
          <w:u w:val="single"/>
        </w:rPr>
      </w:pPr>
    </w:p>
    <w:p>
      <w:pPr>
        <w:pStyle w:val="10"/>
        <w:spacing w:line="440" w:lineRule="auto"/>
        <w:ind w:firstLine="1687" w:firstLineChars="700"/>
        <w:rPr>
          <w:rFonts w:hint="eastAsia" w:ascii="宋体" w:hAnsi="宋体" w:eastAsia="宋体" w:cs="宋体"/>
          <w:b/>
          <w:bCs/>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sz w:val="24"/>
          <w:szCs w:val="24"/>
          <w:highlight w:val="none"/>
        </w:rPr>
        <w:t>：</w:t>
      </w:r>
    </w:p>
    <w:p>
      <w:pPr>
        <w:pStyle w:val="12"/>
        <w:spacing w:line="440" w:lineRule="auto"/>
        <w:ind w:firstLine="1687" w:firstLineChars="700"/>
        <w:rPr>
          <w:rFonts w:hint="eastAsia" w:ascii="宋体" w:hAnsi="宋体" w:eastAsia="宋体" w:cs="宋体"/>
          <w:b/>
          <w:szCs w:val="24"/>
          <w:highlight w:val="none"/>
        </w:rPr>
      </w:pPr>
    </w:p>
    <w:p>
      <w:pPr>
        <w:pStyle w:val="12"/>
        <w:spacing w:line="440" w:lineRule="auto"/>
        <w:ind w:firstLine="723" w:firstLineChars="300"/>
        <w:rPr>
          <w:rFonts w:hint="eastAsia" w:ascii="宋体" w:hAnsi="宋体" w:eastAsia="宋体" w:cs="宋体"/>
          <w:b/>
          <w:szCs w:val="24"/>
          <w:highlight w:val="none"/>
        </w:rPr>
      </w:pPr>
    </w:p>
    <w:p>
      <w:pPr>
        <w:pStyle w:val="12"/>
        <w:spacing w:line="440" w:lineRule="auto"/>
        <w:ind w:firstLine="723" w:firstLineChars="300"/>
        <w:rPr>
          <w:rFonts w:hint="eastAsia" w:ascii="宋体" w:hAnsi="宋体" w:eastAsia="宋体" w:cs="宋体"/>
          <w:b/>
          <w:szCs w:val="24"/>
          <w:highlight w:val="none"/>
        </w:rPr>
      </w:pPr>
    </w:p>
    <w:p>
      <w:pPr>
        <w:pStyle w:val="12"/>
        <w:spacing w:line="440" w:lineRule="auto"/>
        <w:ind w:firstLine="723" w:firstLineChars="300"/>
        <w:rPr>
          <w:rFonts w:hint="eastAsia" w:ascii="宋体" w:hAnsi="宋体" w:eastAsia="宋体" w:cs="宋体"/>
          <w:b/>
          <w:szCs w:val="24"/>
          <w:highlight w:val="none"/>
        </w:rPr>
      </w:pPr>
    </w:p>
    <w:p>
      <w:pPr>
        <w:pStyle w:val="12"/>
        <w:spacing w:line="440" w:lineRule="auto"/>
        <w:ind w:firstLine="2243" w:firstLineChars="931"/>
        <w:rPr>
          <w:rFonts w:hint="eastAsia" w:ascii="宋体" w:hAnsi="宋体" w:eastAsia="宋体" w:cs="宋体"/>
          <w:b/>
          <w:szCs w:val="24"/>
          <w:highlight w:val="none"/>
          <w:u w:val="single"/>
        </w:rPr>
      </w:pPr>
      <w:r>
        <w:rPr>
          <w:rFonts w:hint="eastAsia" w:ascii="宋体" w:hAnsi="宋体" w:eastAsia="宋体" w:cs="宋体"/>
          <w:b/>
          <w:szCs w:val="24"/>
          <w:highlight w:val="none"/>
        </w:rPr>
        <w:t>报价单位名称：</w:t>
      </w:r>
      <w:r>
        <w:rPr>
          <w:rFonts w:hint="eastAsia" w:ascii="宋体" w:hAnsi="宋体" w:eastAsia="宋体" w:cs="宋体"/>
          <w:b/>
          <w:szCs w:val="24"/>
          <w:highlight w:val="none"/>
          <w:u w:val="single"/>
        </w:rPr>
        <w:t xml:space="preserve">                    </w:t>
      </w:r>
    </w:p>
    <w:p>
      <w:pPr>
        <w:autoSpaceDE w:val="0"/>
        <w:autoSpaceDN w:val="0"/>
        <w:spacing w:line="440" w:lineRule="auto"/>
        <w:ind w:firstLine="2631" w:firstLineChars="1248"/>
        <w:rPr>
          <w:rFonts w:hint="eastAsia" w:ascii="宋体" w:hAnsi="宋体" w:eastAsia="宋体" w:cs="宋体"/>
          <w:b/>
          <w:highlight w:val="none"/>
          <w:u w:val="single"/>
        </w:rPr>
      </w:pPr>
      <w:r>
        <w:rPr>
          <w:rFonts w:hint="eastAsia" w:ascii="宋体" w:hAnsi="宋体" w:eastAsia="宋体" w:cs="宋体"/>
          <w:b/>
          <w:highlight w:val="none"/>
        </w:rPr>
        <w:t>日期：</w:t>
      </w:r>
      <w:r>
        <w:rPr>
          <w:rFonts w:hint="eastAsia" w:ascii="宋体" w:hAnsi="宋体" w:eastAsia="宋体" w:cs="宋体"/>
          <w:b/>
          <w:highlight w:val="none"/>
          <w:u w:val="single"/>
        </w:rPr>
        <w:t xml:space="preserve">             </w:t>
      </w:r>
      <w:r>
        <w:rPr>
          <w:rFonts w:hint="eastAsia" w:ascii="宋体" w:hAnsi="宋体" w:eastAsia="宋体" w:cs="宋体"/>
          <w:b/>
          <w:highlight w:val="none"/>
        </w:rPr>
        <w:t>年</w:t>
      </w:r>
      <w:r>
        <w:rPr>
          <w:rFonts w:hint="eastAsia" w:ascii="宋体" w:hAnsi="宋体" w:eastAsia="宋体" w:cs="宋体"/>
          <w:b/>
          <w:highlight w:val="none"/>
          <w:u w:val="single"/>
        </w:rPr>
        <w:t xml:space="preserve">      </w:t>
      </w:r>
      <w:r>
        <w:rPr>
          <w:rFonts w:hint="eastAsia" w:ascii="宋体" w:hAnsi="宋体" w:eastAsia="宋体" w:cs="宋体"/>
          <w:b/>
          <w:highlight w:val="none"/>
        </w:rPr>
        <w:t>月</w:t>
      </w:r>
      <w:r>
        <w:rPr>
          <w:rFonts w:hint="eastAsia" w:ascii="宋体" w:hAnsi="宋体" w:eastAsia="宋体" w:cs="宋体"/>
          <w:b/>
          <w:highlight w:val="none"/>
          <w:u w:val="single"/>
        </w:rPr>
        <w:t xml:space="preserve">      </w:t>
      </w:r>
      <w:r>
        <w:rPr>
          <w:rFonts w:hint="eastAsia" w:ascii="宋体" w:hAnsi="宋体" w:eastAsia="宋体" w:cs="宋体"/>
          <w:b/>
          <w:highlight w:val="none"/>
        </w:rPr>
        <w:t>日</w:t>
      </w:r>
    </w:p>
    <w:p>
      <w:pPr>
        <w:autoSpaceDE w:val="0"/>
        <w:autoSpaceDN w:val="0"/>
        <w:adjustRightInd w:val="0"/>
        <w:ind w:firstLine="480"/>
        <w:jc w:val="center"/>
        <w:rPr>
          <w:rFonts w:hint="eastAsia" w:ascii="宋体" w:hAnsi="宋体" w:eastAsia="宋体" w:cs="宋体"/>
          <w:highlight w:val="none"/>
        </w:rPr>
      </w:pPr>
    </w:p>
    <w:p>
      <w:pPr>
        <w:autoSpaceDE w:val="0"/>
        <w:autoSpaceDN w:val="0"/>
        <w:adjustRightInd w:val="0"/>
        <w:ind w:firstLine="480"/>
        <w:jc w:val="center"/>
        <w:rPr>
          <w:rFonts w:hint="eastAsia" w:ascii="宋体" w:hAnsi="宋体" w:eastAsia="宋体" w:cs="宋体"/>
          <w:highlight w:val="none"/>
        </w:rPr>
      </w:pPr>
    </w:p>
    <w:p>
      <w:pPr>
        <w:ind w:firstLine="482"/>
        <w:jc w:val="center"/>
        <w:outlineLvl w:val="1"/>
        <w:rPr>
          <w:rFonts w:hint="eastAsia" w:ascii="宋体" w:hAnsi="宋体" w:eastAsia="宋体" w:cs="宋体"/>
          <w:highlight w:val="none"/>
        </w:rPr>
      </w:pPr>
      <w:r>
        <w:rPr>
          <w:rFonts w:hint="eastAsia" w:ascii="宋体" w:hAnsi="宋体" w:eastAsia="宋体" w:cs="宋体"/>
          <w:b/>
          <w:highlight w:val="none"/>
        </w:rPr>
        <w:br w:type="page"/>
      </w:r>
    </w:p>
    <w:p>
      <w:pPr>
        <w:spacing w:line="380" w:lineRule="exact"/>
        <w:rPr>
          <w:rFonts w:hint="eastAsia" w:ascii="宋体" w:hAnsi="宋体" w:eastAsia="宋体" w:cs="宋体"/>
          <w:highlight w:val="none"/>
          <w:u w:val="single"/>
        </w:rPr>
      </w:pPr>
      <w:r>
        <w:rPr>
          <w:rFonts w:hint="eastAsia" w:ascii="宋体" w:hAnsi="宋体" w:eastAsia="宋体" w:cs="宋体"/>
          <w:b/>
          <w:bCs/>
          <w:highlight w:val="none"/>
        </w:rPr>
        <w:t>一．法定代表人/负责人资格证明书及授权委托书</w:t>
      </w:r>
    </w:p>
    <w:p>
      <w:pPr>
        <w:spacing w:line="360" w:lineRule="auto"/>
        <w:ind w:firstLine="413" w:firstLineChars="196"/>
        <w:jc w:val="center"/>
        <w:rPr>
          <w:rFonts w:hint="eastAsia" w:ascii="宋体" w:hAnsi="宋体" w:eastAsia="宋体" w:cs="宋体"/>
          <w:b/>
          <w:bCs/>
          <w:highlight w:val="none"/>
        </w:rPr>
      </w:pPr>
      <w:r>
        <w:rPr>
          <w:rFonts w:hint="eastAsia" w:ascii="宋体" w:hAnsi="宋体" w:eastAsia="宋体" w:cs="宋体"/>
          <w:b/>
          <w:bCs/>
          <w:highlight w:val="none"/>
        </w:rPr>
        <w:t>法定代表人/负责人资格证明书</w:t>
      </w:r>
    </w:p>
    <w:p>
      <w:pPr>
        <w:spacing w:line="480" w:lineRule="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b/>
          <w:bCs/>
          <w:highlight w:val="none"/>
        </w:rPr>
        <w:t>茂名市人民医院</w:t>
      </w:r>
      <w:r>
        <w:rPr>
          <w:rFonts w:hint="eastAsia" w:ascii="宋体" w:hAnsi="宋体" w:eastAsia="宋体" w:cs="宋体"/>
          <w:highlight w:val="none"/>
        </w:rPr>
        <w:t>：</w:t>
      </w:r>
    </w:p>
    <w:p>
      <w:pPr>
        <w:spacing w:line="480" w:lineRule="auto"/>
        <w:ind w:firstLine="48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同志，现任我单位</w:t>
      </w:r>
      <w:r>
        <w:rPr>
          <w:rFonts w:hint="eastAsia" w:ascii="宋体" w:hAnsi="宋体" w:eastAsia="宋体" w:cs="宋体"/>
          <w:highlight w:val="none"/>
          <w:u w:val="single"/>
        </w:rPr>
        <w:t xml:space="preserve">          </w:t>
      </w:r>
      <w:r>
        <w:rPr>
          <w:rFonts w:hint="eastAsia" w:ascii="宋体" w:hAnsi="宋体" w:eastAsia="宋体" w:cs="宋体"/>
          <w:highlight w:val="none"/>
        </w:rPr>
        <w:t>职务，为法定代表人，特此证明。</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签发日期：           单位：           （盖章）</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附：</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代表人性别：            年龄：           身份证号码：</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联系电话：</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营业执照号码：                       经济性质：</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主营（产）：</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兼营（产）：</w:t>
      </w: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r>
        <w:rPr>
          <w:rFonts w:hint="eastAsia" w:ascii="宋体" w:hAnsi="宋体" w:eastAsia="宋体" w:cs="宋体"/>
          <w:highlight w:val="none"/>
        </w:rPr>
        <w:t>说明：1.法定代表人为企业事业单位、国家机关、社会团体的主要行政负责人。</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 xml:space="preserve">  2.内容必须填写真实、清楚、涂改无效，不得转让、买卖。</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 xml:space="preserve">  3.将此证明书提交对方作为合同附件。</w:t>
      </w:r>
    </w:p>
    <w:p>
      <w:pPr>
        <w:spacing w:line="360" w:lineRule="auto"/>
        <w:ind w:firstLine="560"/>
        <w:rPr>
          <w:rFonts w:hint="eastAsia" w:ascii="宋体" w:hAnsi="宋体" w:eastAsia="宋体" w:cs="宋体"/>
          <w:b/>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b/>
          <w:sz w:val="28"/>
          <w:szCs w:val="28"/>
          <w:highlight w:val="none"/>
        </w:rPr>
        <w:t xml:space="preserve"> （为避免废标，请供应商务必提供本附件）</w:t>
      </w:r>
    </w:p>
    <w:p>
      <w:pPr>
        <w:pStyle w:val="12"/>
        <w:ind w:firstLine="0" w:firstLineChars="0"/>
        <w:rPr>
          <w:rFonts w:hint="eastAsia" w:ascii="宋体" w:hAnsi="宋体" w:eastAsia="宋体" w:cs="宋体"/>
          <w:b/>
          <w:bCs/>
          <w:sz w:val="21"/>
          <w:highlight w:val="none"/>
        </w:rPr>
      </w:pPr>
    </w:p>
    <w:p>
      <w:pPr>
        <w:pStyle w:val="12"/>
        <w:ind w:firstLine="422"/>
        <w:rPr>
          <w:rFonts w:hint="eastAsia" w:ascii="宋体" w:hAnsi="宋体" w:eastAsia="宋体" w:cs="宋体"/>
          <w:b/>
          <w:bCs/>
          <w:sz w:val="21"/>
          <w:highlight w:val="none"/>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2"/>
        <w:ind w:firstLine="422"/>
        <w:rPr>
          <w:rFonts w:hint="eastAsia" w:ascii="宋体" w:hAnsi="宋体" w:eastAsia="宋体" w:cs="宋体"/>
          <w:b/>
          <w:bCs/>
          <w:sz w:val="21"/>
          <w:highlight w:val="none"/>
        </w:rPr>
      </w:pPr>
    </w:p>
    <w:p>
      <w:pPr>
        <w:pStyle w:val="34"/>
        <w:ind w:firstLine="480"/>
        <w:rPr>
          <w:rFonts w:hint="eastAsia" w:ascii="宋体" w:hAnsi="宋体" w:eastAsia="宋体" w:cs="宋体"/>
          <w:highlight w:val="none"/>
        </w:rPr>
      </w:pPr>
      <w:r>
        <w:rPr>
          <w:rFonts w:hint="eastAsia" w:ascii="宋体" w:hAnsi="宋体" w:eastAsia="宋体" w:cs="宋体"/>
          <w:highlight w:val="none"/>
        </w:rPr>
        <w:br w:type="page"/>
      </w:r>
    </w:p>
    <w:p>
      <w:pPr>
        <w:pStyle w:val="34"/>
        <w:ind w:firstLine="480"/>
        <w:jc w:val="both"/>
        <w:rPr>
          <w:rFonts w:hint="eastAsia" w:ascii="宋体" w:hAnsi="宋体" w:eastAsia="宋体" w:cs="宋体"/>
          <w:highlight w:val="none"/>
        </w:rPr>
      </w:pPr>
    </w:p>
    <w:p>
      <w:pPr>
        <w:spacing w:line="360" w:lineRule="auto"/>
        <w:jc w:val="center"/>
        <w:rPr>
          <w:rFonts w:hint="eastAsia" w:ascii="宋体" w:hAnsi="宋体" w:eastAsia="宋体" w:cs="宋体"/>
          <w:highlight w:val="none"/>
        </w:rPr>
      </w:pPr>
      <w:r>
        <w:rPr>
          <w:rFonts w:hint="eastAsia" w:ascii="宋体" w:hAnsi="宋体" w:eastAsia="宋体" w:cs="宋体"/>
          <w:b/>
          <w:bCs/>
          <w:highlight w:val="none"/>
        </w:rPr>
        <w:t>法定代表人/负责人授权委托书</w:t>
      </w:r>
    </w:p>
    <w:p>
      <w:pPr>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b/>
          <w:bCs/>
          <w:highlight w:val="none"/>
        </w:rPr>
        <w:t>茂名市人民医院</w:t>
      </w:r>
      <w:r>
        <w:rPr>
          <w:rFonts w:hint="eastAsia" w:ascii="宋体" w:hAnsi="宋体" w:eastAsia="宋体" w:cs="宋体"/>
          <w:highlight w:val="none"/>
        </w:rPr>
        <w:t>：</w:t>
      </w:r>
    </w:p>
    <w:p>
      <w:pPr>
        <w:ind w:firstLine="480"/>
        <w:rPr>
          <w:rFonts w:hint="eastAsia" w:ascii="宋体" w:hAnsi="宋体" w:eastAsia="宋体" w:cs="宋体"/>
          <w:highlight w:val="none"/>
        </w:rPr>
      </w:pPr>
      <w:r>
        <w:rPr>
          <w:rFonts w:hint="eastAsia" w:ascii="宋体" w:hAnsi="宋体" w:eastAsia="宋体" w:cs="宋体"/>
          <w:highlight w:val="none"/>
        </w:rPr>
        <w:t>兹授权</w:t>
      </w:r>
      <w:r>
        <w:rPr>
          <w:rFonts w:hint="eastAsia" w:ascii="宋体" w:hAnsi="宋体" w:eastAsia="宋体" w:cs="宋体"/>
          <w:highlight w:val="none"/>
          <w:u w:val="single"/>
        </w:rPr>
        <w:t xml:space="preserve">             </w:t>
      </w:r>
      <w:r>
        <w:rPr>
          <w:rFonts w:hint="eastAsia" w:ascii="宋体" w:hAnsi="宋体" w:eastAsia="宋体" w:cs="宋体"/>
          <w:highlight w:val="none"/>
        </w:rPr>
        <w:t>同志，为我方签订经济合同及办理其他事务代理人，其权限是：</w:t>
      </w:r>
    </w:p>
    <w:p>
      <w:pPr>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w:t>
      </w:r>
    </w:p>
    <w:p>
      <w:pPr>
        <w:ind w:firstLine="480"/>
        <w:rPr>
          <w:rFonts w:hint="eastAsia" w:ascii="宋体" w:hAnsi="宋体" w:eastAsia="宋体" w:cs="宋体"/>
          <w:highlight w:val="none"/>
        </w:rPr>
      </w:pPr>
      <w:r>
        <w:rPr>
          <w:rFonts w:hint="eastAsia" w:ascii="宋体" w:hAnsi="宋体" w:eastAsia="宋体" w:cs="宋体"/>
          <w:highlight w:val="none"/>
        </w:rPr>
        <w:t>授权单位：      （盖章）        法定代表人          （签名或盖私章）</w:t>
      </w:r>
    </w:p>
    <w:p>
      <w:pPr>
        <w:ind w:firstLine="480"/>
        <w:rPr>
          <w:rFonts w:hint="eastAsia" w:ascii="宋体" w:hAnsi="宋体" w:eastAsia="宋体" w:cs="宋体"/>
          <w:highlight w:val="none"/>
        </w:rPr>
      </w:pPr>
      <w:r>
        <w:rPr>
          <w:rFonts w:hint="eastAsia" w:ascii="宋体" w:hAnsi="宋体" w:eastAsia="宋体" w:cs="宋体"/>
          <w:highlight w:val="none"/>
        </w:rPr>
        <w:t>有效期限：至        年       月      日       签发日期：</w:t>
      </w:r>
    </w:p>
    <w:p>
      <w:pPr>
        <w:ind w:firstLine="480"/>
        <w:rPr>
          <w:rFonts w:hint="eastAsia" w:ascii="宋体" w:hAnsi="宋体" w:eastAsia="宋体" w:cs="宋体"/>
          <w:highlight w:val="none"/>
        </w:rPr>
      </w:pPr>
      <w:r>
        <w:rPr>
          <w:rFonts w:hint="eastAsia" w:ascii="宋体" w:hAnsi="宋体" w:eastAsia="宋体" w:cs="宋体"/>
          <w:highlight w:val="none"/>
        </w:rPr>
        <w:t>附：</w:t>
      </w:r>
    </w:p>
    <w:p>
      <w:pPr>
        <w:ind w:firstLine="480"/>
        <w:rPr>
          <w:rFonts w:hint="eastAsia" w:ascii="宋体" w:hAnsi="宋体" w:eastAsia="宋体" w:cs="宋体"/>
          <w:highlight w:val="none"/>
        </w:rPr>
      </w:pPr>
      <w:r>
        <w:rPr>
          <w:rFonts w:hint="eastAsia" w:ascii="宋体" w:hAnsi="宋体" w:eastAsia="宋体" w:cs="宋体"/>
          <w:highlight w:val="none"/>
        </w:rPr>
        <w:t>代理人性别：        年龄：       职务：         身份证号码：</w:t>
      </w:r>
    </w:p>
    <w:p>
      <w:pPr>
        <w:ind w:firstLine="480"/>
        <w:rPr>
          <w:rFonts w:hint="eastAsia" w:ascii="宋体" w:hAnsi="宋体" w:eastAsia="宋体" w:cs="宋体"/>
          <w:highlight w:val="none"/>
        </w:rPr>
      </w:pPr>
      <w:r>
        <w:rPr>
          <w:rFonts w:hint="eastAsia" w:ascii="宋体" w:hAnsi="宋体" w:eastAsia="宋体" w:cs="宋体"/>
          <w:highlight w:val="none"/>
        </w:rPr>
        <w:t>联系电话：</w:t>
      </w:r>
    </w:p>
    <w:p>
      <w:pPr>
        <w:ind w:firstLine="480"/>
        <w:rPr>
          <w:rFonts w:hint="eastAsia" w:ascii="宋体" w:hAnsi="宋体" w:eastAsia="宋体" w:cs="宋体"/>
          <w:highlight w:val="none"/>
        </w:rPr>
      </w:pPr>
      <w:r>
        <w:rPr>
          <w:rFonts w:hint="eastAsia" w:ascii="宋体" w:hAnsi="宋体" w:eastAsia="宋体" w:cs="宋体"/>
          <w:highlight w:val="none"/>
        </w:rPr>
        <w:t>营业执照号码：                         经济性质：</w:t>
      </w:r>
    </w:p>
    <w:p>
      <w:pPr>
        <w:ind w:firstLine="480"/>
        <w:rPr>
          <w:rFonts w:hint="eastAsia" w:ascii="宋体" w:hAnsi="宋体" w:eastAsia="宋体" w:cs="宋体"/>
          <w:highlight w:val="none"/>
        </w:rPr>
      </w:pPr>
      <w:r>
        <w:rPr>
          <w:rFonts w:hint="eastAsia" w:ascii="宋体" w:hAnsi="宋体" w:eastAsia="宋体" w:cs="宋体"/>
          <w:highlight w:val="none"/>
        </w:rPr>
        <w:t>主营（产）：</w:t>
      </w:r>
    </w:p>
    <w:p>
      <w:pPr>
        <w:ind w:firstLine="480"/>
        <w:rPr>
          <w:rFonts w:hint="eastAsia" w:ascii="宋体" w:hAnsi="宋体" w:eastAsia="宋体" w:cs="宋体"/>
          <w:highlight w:val="none"/>
        </w:rPr>
      </w:pPr>
      <w:r>
        <w:rPr>
          <w:rFonts w:hint="eastAsia" w:ascii="宋体" w:hAnsi="宋体" w:eastAsia="宋体" w:cs="宋体"/>
          <w:highlight w:val="none"/>
        </w:rPr>
        <w:t>兼营（产）：</w:t>
      </w:r>
    </w:p>
    <w:p>
      <w:pPr>
        <w:ind w:firstLine="480"/>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t>说明：1、法定代表人为企业事业单位、国家机关、社会团体的主要行政负责人。</w:t>
      </w:r>
    </w:p>
    <w:p>
      <w:pPr>
        <w:ind w:firstLine="480"/>
        <w:rPr>
          <w:rFonts w:hint="eastAsia" w:ascii="宋体" w:hAnsi="宋体" w:eastAsia="宋体" w:cs="宋体"/>
          <w:highlight w:val="none"/>
        </w:rPr>
      </w:pPr>
      <w:r>
        <w:rPr>
          <w:rFonts w:hint="eastAsia" w:ascii="宋体" w:hAnsi="宋体" w:eastAsia="宋体" w:cs="宋体"/>
          <w:highlight w:val="none"/>
        </w:rPr>
        <w:t xml:space="preserve">  2、内容必须填写真实、清楚、涂改无效，不得转让、买卖。</w:t>
      </w:r>
    </w:p>
    <w:p>
      <w:pPr>
        <w:ind w:firstLine="480"/>
        <w:rPr>
          <w:rFonts w:hint="eastAsia" w:ascii="宋体" w:hAnsi="宋体" w:eastAsia="宋体" w:cs="宋体"/>
          <w:highlight w:val="none"/>
        </w:rPr>
      </w:pPr>
      <w:r>
        <w:rPr>
          <w:rFonts w:hint="eastAsia" w:ascii="宋体" w:hAnsi="宋体" w:eastAsia="宋体" w:cs="宋体"/>
          <w:highlight w:val="none"/>
        </w:rPr>
        <w:t xml:space="preserve">  3、将此证明书提交对方作为合同附件。</w:t>
      </w:r>
    </w:p>
    <w:p>
      <w:pPr>
        <w:ind w:firstLine="480"/>
        <w:rPr>
          <w:rFonts w:hint="eastAsia" w:ascii="宋体" w:hAnsi="宋体" w:eastAsia="宋体" w:cs="宋体"/>
          <w:highlight w:val="none"/>
        </w:rPr>
      </w:pPr>
      <w:r>
        <w:rPr>
          <w:rFonts w:hint="eastAsia" w:ascii="宋体" w:hAnsi="宋体" w:eastAsia="宋体" w:cs="宋体"/>
          <w:highlight w:val="none"/>
        </w:rPr>
        <w:t xml:space="preserve">  4、授权权限：全权代表本公司参与上述采购项目的磋商响应，负责提供与签</w:t>
      </w:r>
    </w:p>
    <w:p>
      <w:pPr>
        <w:rPr>
          <w:rFonts w:hint="eastAsia" w:ascii="宋体" w:hAnsi="宋体" w:eastAsia="宋体" w:cs="宋体"/>
          <w:highlight w:val="none"/>
        </w:rPr>
      </w:pPr>
      <w:r>
        <w:rPr>
          <w:rFonts w:hint="eastAsia" w:ascii="宋体" w:hAnsi="宋体" w:eastAsia="宋体" w:cs="宋体"/>
          <w:highlight w:val="none"/>
        </w:rPr>
        <w:t xml:space="preserve">   署确认一切文书资料，以及向贵方递交的任何补充承诺。</w:t>
      </w:r>
    </w:p>
    <w:p>
      <w:pPr>
        <w:ind w:firstLine="480"/>
        <w:rPr>
          <w:rFonts w:hint="eastAsia" w:ascii="宋体" w:hAnsi="宋体" w:eastAsia="宋体" w:cs="宋体"/>
          <w:highlight w:val="none"/>
        </w:rPr>
      </w:pPr>
      <w:r>
        <w:rPr>
          <w:rFonts w:hint="eastAsia" w:ascii="宋体" w:hAnsi="宋体" w:eastAsia="宋体" w:cs="宋体"/>
          <w:highlight w:val="none"/>
        </w:rPr>
        <w:t xml:space="preserve">  5、有效期限：与本公司响应文件中标注的磋商有效期相同，自本单位盖</w:t>
      </w:r>
    </w:p>
    <w:p>
      <w:pPr>
        <w:rPr>
          <w:rFonts w:hint="eastAsia" w:ascii="宋体" w:hAnsi="宋体" w:eastAsia="宋体" w:cs="宋体"/>
          <w:highlight w:val="none"/>
        </w:rPr>
      </w:pPr>
      <w:r>
        <w:rPr>
          <w:rFonts w:hint="eastAsia" w:ascii="宋体" w:hAnsi="宋体" w:eastAsia="宋体" w:cs="宋体"/>
          <w:highlight w:val="none"/>
        </w:rPr>
        <w:t xml:space="preserve">   公章之日起生效。</w:t>
      </w:r>
    </w:p>
    <w:p>
      <w:pPr>
        <w:ind w:firstLine="480"/>
        <w:rPr>
          <w:rFonts w:hint="eastAsia" w:ascii="宋体" w:hAnsi="宋体" w:eastAsia="宋体" w:cs="宋体"/>
          <w:highlight w:val="none"/>
        </w:rPr>
      </w:pPr>
      <w:r>
        <w:rPr>
          <w:rFonts w:hint="eastAsia" w:ascii="宋体" w:hAnsi="宋体" w:eastAsia="宋体" w:cs="宋体"/>
          <w:highlight w:val="none"/>
        </w:rPr>
        <w:t xml:space="preserve">  6、磋商签字代表为法定代表人，则本表不适用。</w:t>
      </w:r>
    </w:p>
    <w:p>
      <w:pPr>
        <w:pStyle w:val="12"/>
        <w:ind w:firstLine="422"/>
        <w:rPr>
          <w:rFonts w:hint="eastAsia" w:ascii="宋体" w:hAnsi="宋体" w:eastAsia="宋体" w:cs="宋体"/>
          <w:b/>
          <w:bCs/>
          <w:sz w:val="21"/>
          <w:highlight w:val="none"/>
        </w:rPr>
      </w:pPr>
      <w:r>
        <w:rPr>
          <w:rFonts w:hint="eastAsia" w:ascii="宋体" w:hAnsi="宋体" w:eastAsia="宋体" w:cs="宋体"/>
          <w:b/>
          <w:bCs/>
          <w:sz w:val="21"/>
          <w:highlight w:val="none"/>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int="eastAsia" w:ascii="宋体" w:hAnsi="宋体" w:eastAsia="宋体" w:cs="宋体"/>
          <w:b/>
          <w:bCs/>
          <w:sz w:val="21"/>
          <w:highlight w:val="none"/>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2"/>
        <w:ind w:firstLine="422"/>
        <w:rPr>
          <w:rFonts w:hint="eastAsia" w:ascii="宋体" w:hAnsi="宋体" w:eastAsia="宋体" w:cs="宋体"/>
          <w:b/>
          <w:bCs/>
          <w:sz w:val="21"/>
          <w:highlight w:val="none"/>
        </w:rPr>
      </w:pPr>
    </w:p>
    <w:p>
      <w:pPr>
        <w:spacing w:line="460" w:lineRule="exact"/>
        <w:rPr>
          <w:rFonts w:hint="eastAsia" w:ascii="宋体" w:hAnsi="宋体" w:eastAsia="宋体" w:cs="宋体"/>
          <w:b/>
          <w:bCs/>
          <w:highlight w:val="none"/>
        </w:rPr>
      </w:pPr>
      <w:r>
        <w:rPr>
          <w:rFonts w:hint="eastAsia" w:ascii="宋体" w:hAnsi="宋体" w:eastAsia="宋体" w:cs="宋体"/>
          <w:b/>
          <w:bCs/>
          <w:szCs w:val="24"/>
          <w:highlight w:val="none"/>
          <w:u w:val="single"/>
        </w:rPr>
        <w:br w:type="page"/>
      </w:r>
    </w:p>
    <w:p>
      <w:pPr>
        <w:spacing w:line="460" w:lineRule="exact"/>
        <w:jc w:val="lef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二．供应商证件</w:t>
      </w: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bCs/>
          <w:highlight w:val="none"/>
          <w:lang w:val="en-US" w:eastAsia="zh-CN"/>
        </w:rPr>
      </w:pPr>
    </w:p>
    <w:p>
      <w:pPr>
        <w:spacing w:line="460" w:lineRule="exact"/>
        <w:jc w:val="left"/>
        <w:rPr>
          <w:rFonts w:hint="eastAsia" w:ascii="宋体" w:hAnsi="宋体" w:eastAsia="宋体" w:cs="宋体"/>
          <w:b/>
          <w:sz w:val="28"/>
          <w:szCs w:val="28"/>
          <w:highlight w:val="none"/>
        </w:rPr>
      </w:pPr>
      <w:r>
        <w:rPr>
          <w:rFonts w:hint="eastAsia" w:ascii="宋体" w:hAnsi="宋体" w:eastAsia="宋体" w:cs="宋体"/>
          <w:b/>
          <w:bCs/>
          <w:highlight w:val="none"/>
          <w:lang w:val="en-US" w:eastAsia="zh-CN"/>
        </w:rPr>
        <w:t>三</w:t>
      </w:r>
      <w:r>
        <w:rPr>
          <w:rFonts w:hint="eastAsia" w:ascii="宋体" w:hAnsi="宋体" w:eastAsia="宋体" w:cs="宋体"/>
          <w:b/>
          <w:bCs/>
          <w:highlight w:val="none"/>
        </w:rPr>
        <w:t>．关于资格的声明函</w:t>
      </w:r>
    </w:p>
    <w:p>
      <w:pPr>
        <w:rPr>
          <w:rFonts w:hint="eastAsia" w:ascii="宋体" w:hAnsi="宋体" w:eastAsia="宋体" w:cs="宋体"/>
          <w:highlight w:val="none"/>
        </w:rPr>
      </w:pPr>
    </w:p>
    <w:p>
      <w:pPr>
        <w:spacing w:line="360" w:lineRule="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b/>
          <w:bCs/>
          <w:highlight w:val="none"/>
        </w:rPr>
        <w:t>茂名市人民医院</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关于贵方采购项目名称</w:t>
      </w:r>
      <w:r>
        <w:rPr>
          <w:rFonts w:hint="eastAsia" w:ascii="宋体" w:hAnsi="宋体" w:eastAsia="宋体" w:cs="宋体"/>
          <w:b/>
          <w:bCs/>
          <w:highlight w:val="none"/>
          <w:u w:val="single"/>
        </w:rPr>
        <w:t xml:space="preserve">              </w:t>
      </w:r>
      <w:r>
        <w:rPr>
          <w:rFonts w:hint="eastAsia" w:ascii="宋体" w:hAnsi="宋体" w:eastAsia="宋体" w:cs="宋体"/>
          <w:highlight w:val="none"/>
          <w:u w:val="single"/>
        </w:rPr>
        <w:t>采购</w:t>
      </w:r>
      <w:r>
        <w:rPr>
          <w:rFonts w:hint="eastAsia" w:ascii="宋体" w:hAnsi="宋体" w:eastAsia="宋体" w:cs="宋体"/>
          <w:highlight w:val="none"/>
        </w:rPr>
        <w:t>邀请，本签字人愿意参加报价，提供需求文件中规定的货物及服务，并证明提交的下列文件和说明是准确的和真实的。</w:t>
      </w:r>
    </w:p>
    <w:p>
      <w:pPr>
        <w:spacing w:line="360" w:lineRule="auto"/>
        <w:ind w:left="420" w:leftChars="200"/>
        <w:rPr>
          <w:rFonts w:hint="eastAsia" w:ascii="宋体" w:hAnsi="宋体" w:eastAsia="宋体" w:cs="宋体"/>
          <w:snapToGrid w:val="0"/>
          <w:kern w:val="0"/>
          <w:highlight w:val="none"/>
          <w:lang w:val="hr-HR"/>
        </w:rPr>
      </w:pPr>
      <w:r>
        <w:rPr>
          <w:rFonts w:hint="eastAsia" w:ascii="宋体" w:hAnsi="宋体" w:eastAsia="宋体" w:cs="宋体"/>
          <w:snapToGrid w:val="0"/>
          <w:kern w:val="0"/>
          <w:highlight w:val="none"/>
        </w:rPr>
        <w:t>1、</w:t>
      </w:r>
      <w:r>
        <w:rPr>
          <w:rFonts w:hint="eastAsia" w:ascii="宋体" w:hAnsi="宋体" w:eastAsia="宋体" w:cs="宋体"/>
          <w:snapToGrid w:val="0"/>
          <w:kern w:val="0"/>
          <w:highlight w:val="none"/>
          <w:lang w:val="hr-HR"/>
        </w:rPr>
        <w:t>具有承担民事责任能力的在国内注册的法人或其他组织或自然人，能够独立完成合同约定</w:t>
      </w:r>
      <w:r>
        <w:rPr>
          <w:rFonts w:hint="eastAsia" w:ascii="宋体" w:hAnsi="宋体" w:eastAsia="宋体" w:cs="宋体"/>
          <w:snapToGrid w:val="0"/>
          <w:kern w:val="0"/>
          <w:highlight w:val="none"/>
        </w:rPr>
        <w:t>(提供</w:t>
      </w:r>
      <w:r>
        <w:rPr>
          <w:rFonts w:hint="eastAsia" w:ascii="宋体" w:hAnsi="宋体" w:eastAsia="宋体" w:cs="宋体"/>
          <w:highlight w:val="none"/>
        </w:rPr>
        <w:t>企（事）业法人</w:t>
      </w:r>
      <w:r>
        <w:rPr>
          <w:rFonts w:hint="eastAsia" w:ascii="宋体" w:hAnsi="宋体" w:eastAsia="宋体" w:cs="宋体"/>
          <w:snapToGrid w:val="0"/>
          <w:kern w:val="0"/>
          <w:highlight w:val="none"/>
        </w:rPr>
        <w:t>或者其他组织的营业执照等证明文件</w:t>
      </w:r>
      <w:r>
        <w:rPr>
          <w:rFonts w:hint="eastAsia" w:ascii="宋体" w:hAnsi="宋体" w:eastAsia="宋体" w:cs="宋体"/>
          <w:highlight w:val="none"/>
        </w:rPr>
        <w:t>）</w:t>
      </w:r>
      <w:r>
        <w:rPr>
          <w:rFonts w:hint="eastAsia" w:ascii="宋体" w:hAnsi="宋体" w:eastAsia="宋体" w:cs="宋体"/>
          <w:snapToGrid w:val="0"/>
          <w:kern w:val="0"/>
          <w:highlight w:val="none"/>
          <w:lang w:val="hr-HR"/>
        </w:rPr>
        <w:t>；</w:t>
      </w:r>
    </w:p>
    <w:p>
      <w:pPr>
        <w:spacing w:line="360" w:lineRule="auto"/>
        <w:ind w:left="420" w:leftChars="200"/>
        <w:rPr>
          <w:rFonts w:hint="eastAsia" w:ascii="宋体" w:hAnsi="宋体" w:eastAsia="宋体" w:cs="宋体"/>
          <w:szCs w:val="24"/>
          <w:highlight w:val="none"/>
          <w:lang w:val="zh-CN"/>
        </w:rPr>
      </w:pPr>
      <w:r>
        <w:rPr>
          <w:rFonts w:hint="eastAsia" w:ascii="宋体" w:hAnsi="宋体" w:eastAsia="宋体" w:cs="宋体"/>
          <w:snapToGrid w:val="0"/>
          <w:kern w:val="0"/>
          <w:highlight w:val="none"/>
        </w:rPr>
        <w:t>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具有履行合同所必需的设备和专业技术能力</w:t>
      </w:r>
      <w:r>
        <w:rPr>
          <w:rFonts w:hint="eastAsia" w:ascii="宋体" w:hAnsi="宋体" w:eastAsia="宋体" w:cs="宋体"/>
          <w:b/>
          <w:szCs w:val="24"/>
          <w:highlight w:val="none"/>
          <w:u w:val="single"/>
          <w:lang w:val="zh-CN"/>
        </w:rPr>
        <w:t>（提供声明函，格式自拟）</w:t>
      </w:r>
    </w:p>
    <w:p>
      <w:pPr>
        <w:spacing w:line="360" w:lineRule="auto"/>
        <w:ind w:firstLine="420" w:firstLineChars="200"/>
        <w:rPr>
          <w:rFonts w:hint="eastAsia" w:ascii="宋体" w:hAnsi="宋体" w:eastAsia="宋体" w:cs="宋体"/>
          <w:snapToGrid w:val="0"/>
          <w:kern w:val="0"/>
          <w:highlight w:val="none"/>
          <w:lang w:val="hr-HR"/>
        </w:rPr>
      </w:pPr>
      <w:r>
        <w:rPr>
          <w:rFonts w:hint="eastAsia" w:ascii="宋体" w:hAnsi="宋体" w:eastAsia="宋体" w:cs="宋体"/>
          <w:szCs w:val="24"/>
          <w:highlight w:val="none"/>
          <w:lang w:val="zh-CN"/>
        </w:rPr>
        <w:t>3、参加政府采购活动前三年内，在经营活动中没有重大违法记录</w:t>
      </w:r>
      <w:r>
        <w:rPr>
          <w:rFonts w:hint="eastAsia" w:ascii="宋体" w:hAnsi="宋体" w:eastAsia="宋体" w:cs="宋体"/>
          <w:b/>
          <w:szCs w:val="24"/>
          <w:highlight w:val="none"/>
          <w:u w:val="single"/>
          <w:lang w:val="zh-CN"/>
        </w:rPr>
        <w:t>（提供声明函，格式自拟）</w:t>
      </w:r>
      <w:r>
        <w:rPr>
          <w:rFonts w:hint="eastAsia" w:ascii="宋体" w:hAnsi="宋体" w:eastAsia="宋体" w:cs="宋体"/>
          <w:szCs w:val="24"/>
          <w:highlight w:val="none"/>
          <w:lang w:val="zh-CN"/>
        </w:rPr>
        <w:t>；</w:t>
      </w:r>
    </w:p>
    <w:p>
      <w:pPr>
        <w:spacing w:line="360" w:lineRule="auto"/>
        <w:ind w:firstLine="480"/>
        <w:rPr>
          <w:rFonts w:hint="eastAsia" w:ascii="宋体" w:hAnsi="宋体" w:eastAsia="宋体" w:cs="宋体"/>
          <w:color w:val="000000"/>
          <w:kern w:val="0"/>
          <w:sz w:val="22"/>
          <w:highlight w:val="none"/>
          <w:lang w:val="hr-HR"/>
        </w:rPr>
      </w:pPr>
      <w:r>
        <w:rPr>
          <w:rFonts w:hint="eastAsia" w:ascii="宋体" w:hAnsi="宋体" w:eastAsia="宋体" w:cs="宋体"/>
          <w:highlight w:val="none"/>
          <w:lang w:val="hr-HR"/>
        </w:rPr>
        <w:t>4、</w:t>
      </w:r>
      <w:r>
        <w:rPr>
          <w:rFonts w:hint="eastAsia" w:ascii="宋体" w:hAnsi="宋体" w:eastAsia="宋体" w:cs="宋体"/>
          <w:color w:val="000000"/>
          <w:kern w:val="0"/>
          <w:sz w:val="22"/>
          <w:highlight w:val="none"/>
        </w:rPr>
        <w:t>未被列入</w:t>
      </w:r>
      <w:r>
        <w:rPr>
          <w:rFonts w:hint="eastAsia" w:ascii="宋体" w:hAnsi="宋体" w:eastAsia="宋体" w:cs="宋体"/>
          <w:color w:val="000000"/>
          <w:kern w:val="0"/>
          <w:sz w:val="22"/>
          <w:highlight w:val="none"/>
          <w:lang w:val="hr-HR"/>
        </w:rPr>
        <w:t>“</w:t>
      </w:r>
      <w:r>
        <w:rPr>
          <w:rFonts w:hint="eastAsia" w:ascii="宋体" w:hAnsi="宋体" w:eastAsia="宋体" w:cs="宋体"/>
          <w:color w:val="000000"/>
          <w:kern w:val="0"/>
          <w:sz w:val="22"/>
          <w:highlight w:val="none"/>
        </w:rPr>
        <w:t>信用中国</w:t>
      </w:r>
      <w:r>
        <w:rPr>
          <w:rFonts w:hint="eastAsia" w:ascii="宋体" w:hAnsi="宋体" w:eastAsia="宋体" w:cs="宋体"/>
          <w:color w:val="000000"/>
          <w:kern w:val="0"/>
          <w:sz w:val="22"/>
          <w:highlight w:val="none"/>
          <w:lang w:val="hr-HR"/>
        </w:rPr>
        <w:t>”</w:t>
      </w:r>
      <w:r>
        <w:rPr>
          <w:rFonts w:hint="eastAsia" w:ascii="宋体" w:hAnsi="宋体" w:eastAsia="宋体" w:cs="宋体"/>
          <w:color w:val="000000"/>
          <w:kern w:val="0"/>
          <w:sz w:val="22"/>
          <w:highlight w:val="none"/>
        </w:rPr>
        <w:t>网站</w:t>
      </w:r>
      <w:r>
        <w:rPr>
          <w:rFonts w:hint="eastAsia" w:ascii="宋体" w:hAnsi="宋体" w:eastAsia="宋体" w:cs="宋体"/>
          <w:color w:val="000000"/>
          <w:kern w:val="0"/>
          <w:sz w:val="22"/>
          <w:highlight w:val="none"/>
          <w:u w:val="single"/>
          <w:lang w:val="hr-HR"/>
        </w:rPr>
        <w:t>(www.creditchina.gov.cn)</w:t>
      </w:r>
      <w:r>
        <w:rPr>
          <w:rFonts w:hint="eastAsia" w:ascii="宋体" w:hAnsi="宋体" w:eastAsia="宋体" w:cs="宋体"/>
          <w:color w:val="000000"/>
          <w:kern w:val="0"/>
          <w:sz w:val="22"/>
          <w:highlight w:val="none"/>
          <w:lang w:val="hr-HR"/>
        </w:rPr>
        <w:t>“</w:t>
      </w:r>
      <w:r>
        <w:rPr>
          <w:rFonts w:hint="eastAsia" w:ascii="宋体" w:hAnsi="宋体" w:eastAsia="宋体" w:cs="宋体"/>
          <w:color w:val="000000"/>
          <w:kern w:val="0"/>
          <w:sz w:val="22"/>
          <w:highlight w:val="none"/>
        </w:rPr>
        <w:t>记录失信被执行人或重大税收违法案件当事人名单或政府采购严重违法失信行为</w:t>
      </w:r>
      <w:r>
        <w:rPr>
          <w:rFonts w:hint="eastAsia" w:ascii="宋体" w:hAnsi="宋体" w:eastAsia="宋体" w:cs="宋体"/>
          <w:color w:val="000000"/>
          <w:kern w:val="0"/>
          <w:sz w:val="22"/>
          <w:highlight w:val="none"/>
          <w:lang w:val="hr-HR"/>
        </w:rPr>
        <w:t>”</w:t>
      </w:r>
      <w:r>
        <w:rPr>
          <w:rFonts w:hint="eastAsia" w:ascii="宋体" w:hAnsi="宋体" w:eastAsia="宋体" w:cs="宋体"/>
          <w:color w:val="000000"/>
          <w:kern w:val="0"/>
          <w:sz w:val="22"/>
          <w:highlight w:val="none"/>
        </w:rPr>
        <w:t>记录名单</w:t>
      </w:r>
      <w:r>
        <w:rPr>
          <w:rFonts w:hint="eastAsia" w:ascii="宋体" w:hAnsi="宋体" w:eastAsia="宋体" w:cs="宋体"/>
          <w:color w:val="000000"/>
          <w:kern w:val="0"/>
          <w:sz w:val="22"/>
          <w:highlight w:val="none"/>
          <w:lang w:val="hr-HR"/>
        </w:rPr>
        <w:t>；</w:t>
      </w:r>
    </w:p>
    <w:p>
      <w:pPr>
        <w:spacing w:line="360" w:lineRule="auto"/>
        <w:ind w:firstLine="480"/>
        <w:rPr>
          <w:rFonts w:hint="eastAsia" w:ascii="宋体" w:hAnsi="宋体" w:eastAsia="宋体" w:cs="宋体"/>
          <w:highlight w:val="none"/>
          <w:lang w:val="hr-HR"/>
        </w:rPr>
      </w:pPr>
      <w:r>
        <w:rPr>
          <w:rFonts w:hint="eastAsia" w:ascii="宋体" w:hAnsi="宋体" w:eastAsia="宋体" w:cs="宋体"/>
          <w:highlight w:val="none"/>
          <w:lang w:val="hr-HR"/>
        </w:rPr>
        <w:t>5、</w:t>
      </w:r>
      <w:r>
        <w:rPr>
          <w:rFonts w:hint="eastAsia" w:ascii="宋体" w:hAnsi="宋体" w:eastAsia="宋体" w:cs="宋体"/>
          <w:highlight w:val="none"/>
          <w:lang w:val="hr-HR"/>
        </w:rPr>
        <w:tab/>
      </w:r>
      <w:r>
        <w:rPr>
          <w:rFonts w:hint="eastAsia" w:ascii="宋体" w:hAnsi="宋体" w:eastAsia="宋体" w:cs="宋体"/>
          <w:highlight w:val="none"/>
          <w:lang w:val="hr-HR"/>
        </w:rPr>
        <w:t>本项目不接受联合体投标</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（相关证明文件附后）</w:t>
      </w:r>
    </w:p>
    <w:p>
      <w:pPr>
        <w:spacing w:line="480" w:lineRule="exact"/>
        <w:rPr>
          <w:rFonts w:hint="eastAsia" w:ascii="宋体" w:hAnsi="宋体" w:eastAsia="宋体" w:cs="宋体"/>
          <w:highlight w:val="none"/>
        </w:rPr>
      </w:pPr>
    </w:p>
    <w:p>
      <w:pPr>
        <w:adjustRightInd w:val="0"/>
        <w:snapToGrid w:val="0"/>
        <w:spacing w:line="300" w:lineRule="auto"/>
        <w:ind w:firstLine="480"/>
        <w:rPr>
          <w:rFonts w:hint="eastAsia" w:ascii="宋体" w:hAnsi="宋体" w:eastAsia="宋体" w:cs="宋体"/>
          <w:highlight w:val="none"/>
        </w:rPr>
      </w:pPr>
      <w:r>
        <w:rPr>
          <w:rFonts w:hint="eastAsia" w:ascii="宋体" w:hAnsi="宋体" w:eastAsia="宋体" w:cs="宋体"/>
          <w:highlight w:val="none"/>
        </w:rPr>
        <w:t>…………</w:t>
      </w:r>
    </w:p>
    <w:p>
      <w:pPr>
        <w:spacing w:line="360" w:lineRule="auto"/>
        <w:ind w:firstLine="480"/>
        <w:rPr>
          <w:rFonts w:hint="eastAsia" w:ascii="宋体" w:hAnsi="宋体" w:eastAsia="宋体" w:cs="宋体"/>
          <w:highlight w:val="none"/>
        </w:rPr>
      </w:pP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响应供应商法定代表人（或法定代表人授权代表）签字：</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spacing w:line="360" w:lineRule="auto"/>
        <w:ind w:firstLine="480"/>
        <w:rPr>
          <w:rFonts w:hint="eastAsia" w:ascii="宋体" w:hAnsi="宋体" w:eastAsia="宋体" w:cs="宋体"/>
          <w:highlight w:val="none"/>
          <w:u w:val="single"/>
        </w:rPr>
      </w:pPr>
      <w:r>
        <w:rPr>
          <w:rFonts w:hint="eastAsia" w:ascii="宋体" w:hAnsi="宋体" w:eastAsia="宋体" w:cs="宋体"/>
          <w:highlight w:val="none"/>
        </w:rPr>
        <w:t>响应供应商名称（签章）：</w:t>
      </w:r>
      <w:r>
        <w:rPr>
          <w:rFonts w:hint="eastAsia" w:ascii="宋体" w:hAnsi="宋体" w:eastAsia="宋体" w:cs="宋体"/>
          <w:highlight w:val="none"/>
          <w:u w:val="single"/>
        </w:rPr>
        <w:t xml:space="preserve">                        </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bookmarkStart w:id="176" w:name="_Toc202820352"/>
      <w:bookmarkStart w:id="177" w:name="_Toc202252035"/>
      <w:bookmarkStart w:id="178" w:name="_Toc202254106"/>
      <w:bookmarkStart w:id="179" w:name="_Toc395800949"/>
      <w:bookmarkStart w:id="180" w:name="_Toc202819879"/>
      <w:bookmarkStart w:id="181" w:name="_Toc31980"/>
      <w:bookmarkStart w:id="182" w:name="_Toc202251076"/>
      <w:bookmarkStart w:id="183" w:name="_Toc202251701"/>
      <w:bookmarkStart w:id="184" w:name="_Toc202816997"/>
    </w:p>
    <w:p>
      <w:pPr>
        <w:widowControl/>
        <w:jc w:val="center"/>
        <w:outlineLvl w:val="1"/>
        <w:rPr>
          <w:rFonts w:hint="eastAsia" w:ascii="宋体" w:hAnsi="宋体" w:eastAsia="宋体" w:cs="宋体"/>
          <w:b/>
          <w:highlight w:val="none"/>
        </w:rPr>
      </w:pPr>
    </w:p>
    <w:p>
      <w:pPr>
        <w:widowControl/>
        <w:jc w:val="left"/>
        <w:rPr>
          <w:rFonts w:hint="eastAsia" w:ascii="宋体" w:hAnsi="宋体" w:eastAsia="宋体" w:cs="宋体"/>
          <w:b/>
          <w:highlight w:val="none"/>
        </w:rPr>
      </w:pPr>
      <w:r>
        <w:rPr>
          <w:rFonts w:hint="eastAsia" w:ascii="宋体" w:hAnsi="宋体" w:eastAsia="宋体" w:cs="宋体"/>
          <w:b/>
          <w:highlight w:val="none"/>
        </w:rPr>
        <w:br w:type="page"/>
      </w:r>
    </w:p>
    <w:bookmarkEnd w:id="176"/>
    <w:bookmarkEnd w:id="177"/>
    <w:bookmarkEnd w:id="178"/>
    <w:bookmarkEnd w:id="179"/>
    <w:bookmarkEnd w:id="180"/>
    <w:bookmarkEnd w:id="181"/>
    <w:bookmarkEnd w:id="182"/>
    <w:bookmarkEnd w:id="183"/>
    <w:bookmarkEnd w:id="184"/>
    <w:p>
      <w:pPr>
        <w:ind w:firstLine="482"/>
        <w:rPr>
          <w:rFonts w:hint="eastAsia" w:ascii="宋体" w:hAnsi="宋体" w:eastAsia="宋体" w:cs="宋体"/>
          <w:b/>
          <w:bCs/>
          <w:highlight w:val="none"/>
        </w:rPr>
      </w:pPr>
      <w:bookmarkStart w:id="185" w:name="_Toc6273"/>
      <w:r>
        <w:rPr>
          <w:rFonts w:hint="eastAsia" w:ascii="宋体" w:hAnsi="宋体" w:eastAsia="宋体" w:cs="宋体"/>
          <w:b/>
          <w:highlight w:val="none"/>
          <w:lang w:val="en-US" w:eastAsia="zh-CN"/>
        </w:rPr>
        <w:t>四</w:t>
      </w:r>
      <w:r>
        <w:rPr>
          <w:rFonts w:hint="eastAsia" w:ascii="宋体" w:hAnsi="宋体" w:eastAsia="宋体" w:cs="宋体"/>
          <w:b/>
          <w:highlight w:val="none"/>
        </w:rPr>
        <w:t>、</w:t>
      </w:r>
      <w:r>
        <w:rPr>
          <w:rFonts w:hint="eastAsia" w:ascii="宋体" w:hAnsi="宋体" w:eastAsia="宋体" w:cs="宋体"/>
          <w:b/>
          <w:bCs/>
          <w:highlight w:val="none"/>
        </w:rPr>
        <w:t>技术</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商务</w:t>
      </w:r>
      <w:r>
        <w:rPr>
          <w:rFonts w:hint="eastAsia" w:ascii="宋体" w:hAnsi="宋体" w:eastAsia="宋体" w:cs="宋体"/>
          <w:b/>
          <w:bCs/>
          <w:highlight w:val="none"/>
        </w:rPr>
        <w:t>参数响应情况</w:t>
      </w:r>
    </w:p>
    <w:tbl>
      <w:tblPr>
        <w:tblStyle w:val="2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064" w:type="dxa"/>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招标规格/要求</w:t>
            </w:r>
          </w:p>
        </w:tc>
        <w:tc>
          <w:tcPr>
            <w:tcW w:w="3196" w:type="dxa"/>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投标实际参数</w:t>
            </w:r>
          </w:p>
          <w:p>
            <w:pPr>
              <w:jc w:val="left"/>
              <w:rPr>
                <w:rFonts w:hint="eastAsia" w:ascii="宋体" w:hAnsi="宋体" w:eastAsia="宋体" w:cs="宋体"/>
                <w:b/>
                <w:bCs/>
                <w:highlight w:val="none"/>
              </w:rPr>
            </w:pPr>
            <w:r>
              <w:rPr>
                <w:rFonts w:hint="eastAsia" w:ascii="宋体" w:hAnsi="宋体" w:eastAsia="宋体" w:cs="宋体"/>
                <w:b/>
                <w:bCs/>
                <w:highlight w:val="none"/>
              </w:rPr>
              <w:t>(投标人应按投标货物/服务实际数据填写)</w:t>
            </w:r>
          </w:p>
        </w:tc>
        <w:tc>
          <w:tcPr>
            <w:tcW w:w="2080" w:type="dxa"/>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是否偏离（无偏离/正偏离/负偏离）</w:t>
            </w:r>
          </w:p>
        </w:tc>
        <w:tc>
          <w:tcPr>
            <w:tcW w:w="1378" w:type="dxa"/>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64" w:type="dxa"/>
            <w:vAlign w:val="center"/>
          </w:tcPr>
          <w:p>
            <w:pPr>
              <w:ind w:firstLine="480"/>
              <w:jc w:val="center"/>
              <w:rPr>
                <w:rFonts w:hint="eastAsia" w:ascii="宋体" w:hAnsi="宋体" w:eastAsia="宋体" w:cs="宋体"/>
                <w:szCs w:val="21"/>
                <w:highlight w:val="none"/>
              </w:rPr>
            </w:pPr>
          </w:p>
        </w:tc>
        <w:tc>
          <w:tcPr>
            <w:tcW w:w="3196" w:type="dxa"/>
            <w:vAlign w:val="center"/>
          </w:tcPr>
          <w:p>
            <w:pPr>
              <w:ind w:firstLine="480"/>
              <w:rPr>
                <w:rFonts w:hint="eastAsia" w:ascii="宋体" w:hAnsi="宋体" w:eastAsia="宋体" w:cs="宋体"/>
                <w:szCs w:val="21"/>
                <w:highlight w:val="none"/>
              </w:rPr>
            </w:pPr>
          </w:p>
        </w:tc>
        <w:tc>
          <w:tcPr>
            <w:tcW w:w="2080" w:type="dxa"/>
            <w:vAlign w:val="center"/>
          </w:tcPr>
          <w:p>
            <w:pPr>
              <w:ind w:firstLine="480"/>
              <w:rPr>
                <w:rFonts w:hint="eastAsia" w:ascii="宋体" w:hAnsi="宋体" w:eastAsia="宋体" w:cs="宋体"/>
                <w:szCs w:val="21"/>
                <w:highlight w:val="none"/>
              </w:rPr>
            </w:pPr>
          </w:p>
        </w:tc>
        <w:tc>
          <w:tcPr>
            <w:tcW w:w="1378" w:type="dxa"/>
            <w:vAlign w:val="center"/>
          </w:tcPr>
          <w:p>
            <w:pPr>
              <w:ind w:firstLine="48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64" w:type="dxa"/>
            <w:vAlign w:val="center"/>
          </w:tcPr>
          <w:p>
            <w:pPr>
              <w:ind w:firstLine="480"/>
              <w:jc w:val="center"/>
              <w:rPr>
                <w:rFonts w:hint="eastAsia" w:ascii="宋体" w:hAnsi="宋体" w:eastAsia="宋体" w:cs="宋体"/>
                <w:szCs w:val="21"/>
                <w:highlight w:val="none"/>
              </w:rPr>
            </w:pPr>
          </w:p>
        </w:tc>
        <w:tc>
          <w:tcPr>
            <w:tcW w:w="3196" w:type="dxa"/>
            <w:vAlign w:val="center"/>
          </w:tcPr>
          <w:p>
            <w:pPr>
              <w:ind w:firstLine="480"/>
              <w:rPr>
                <w:rFonts w:hint="eastAsia" w:ascii="宋体" w:hAnsi="宋体" w:eastAsia="宋体" w:cs="宋体"/>
                <w:szCs w:val="21"/>
                <w:highlight w:val="none"/>
              </w:rPr>
            </w:pPr>
          </w:p>
        </w:tc>
        <w:tc>
          <w:tcPr>
            <w:tcW w:w="2080" w:type="dxa"/>
            <w:vAlign w:val="center"/>
          </w:tcPr>
          <w:p>
            <w:pPr>
              <w:ind w:firstLine="480"/>
              <w:rPr>
                <w:rFonts w:hint="eastAsia" w:ascii="宋体" w:hAnsi="宋体" w:eastAsia="宋体" w:cs="宋体"/>
                <w:szCs w:val="21"/>
                <w:highlight w:val="none"/>
              </w:rPr>
            </w:pPr>
          </w:p>
        </w:tc>
        <w:tc>
          <w:tcPr>
            <w:tcW w:w="1378" w:type="dxa"/>
            <w:vAlign w:val="center"/>
          </w:tcPr>
          <w:p>
            <w:pPr>
              <w:ind w:firstLine="48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64" w:type="dxa"/>
            <w:vAlign w:val="center"/>
          </w:tcPr>
          <w:p>
            <w:pPr>
              <w:ind w:firstLine="480"/>
              <w:jc w:val="center"/>
              <w:rPr>
                <w:rFonts w:hint="eastAsia" w:ascii="宋体" w:hAnsi="宋体" w:eastAsia="宋体" w:cs="宋体"/>
                <w:szCs w:val="21"/>
                <w:highlight w:val="none"/>
              </w:rPr>
            </w:pPr>
          </w:p>
        </w:tc>
        <w:tc>
          <w:tcPr>
            <w:tcW w:w="3196" w:type="dxa"/>
            <w:vAlign w:val="center"/>
          </w:tcPr>
          <w:p>
            <w:pPr>
              <w:ind w:firstLine="480"/>
              <w:rPr>
                <w:rFonts w:hint="eastAsia" w:ascii="宋体" w:hAnsi="宋体" w:eastAsia="宋体" w:cs="宋体"/>
                <w:szCs w:val="21"/>
                <w:highlight w:val="none"/>
              </w:rPr>
            </w:pPr>
          </w:p>
        </w:tc>
        <w:tc>
          <w:tcPr>
            <w:tcW w:w="2080" w:type="dxa"/>
            <w:vAlign w:val="center"/>
          </w:tcPr>
          <w:p>
            <w:pPr>
              <w:ind w:firstLine="480"/>
              <w:rPr>
                <w:rFonts w:hint="eastAsia" w:ascii="宋体" w:hAnsi="宋体" w:eastAsia="宋体" w:cs="宋体"/>
                <w:szCs w:val="21"/>
                <w:highlight w:val="none"/>
              </w:rPr>
            </w:pPr>
          </w:p>
        </w:tc>
        <w:tc>
          <w:tcPr>
            <w:tcW w:w="1378" w:type="dxa"/>
            <w:vAlign w:val="center"/>
          </w:tcPr>
          <w:p>
            <w:pPr>
              <w:ind w:firstLine="48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64" w:type="dxa"/>
            <w:vAlign w:val="center"/>
          </w:tcPr>
          <w:p>
            <w:pPr>
              <w:ind w:firstLine="480"/>
              <w:jc w:val="center"/>
              <w:rPr>
                <w:rFonts w:hint="eastAsia" w:ascii="宋体" w:hAnsi="宋体" w:eastAsia="宋体" w:cs="宋体"/>
                <w:szCs w:val="21"/>
                <w:highlight w:val="none"/>
              </w:rPr>
            </w:pPr>
          </w:p>
        </w:tc>
        <w:tc>
          <w:tcPr>
            <w:tcW w:w="3196" w:type="dxa"/>
            <w:vAlign w:val="center"/>
          </w:tcPr>
          <w:p>
            <w:pPr>
              <w:ind w:firstLine="480"/>
              <w:rPr>
                <w:rFonts w:hint="eastAsia" w:ascii="宋体" w:hAnsi="宋体" w:eastAsia="宋体" w:cs="宋体"/>
                <w:szCs w:val="21"/>
                <w:highlight w:val="none"/>
              </w:rPr>
            </w:pPr>
          </w:p>
        </w:tc>
        <w:tc>
          <w:tcPr>
            <w:tcW w:w="2080" w:type="dxa"/>
            <w:vAlign w:val="center"/>
          </w:tcPr>
          <w:p>
            <w:pPr>
              <w:ind w:firstLine="480"/>
              <w:rPr>
                <w:rFonts w:hint="eastAsia" w:ascii="宋体" w:hAnsi="宋体" w:eastAsia="宋体" w:cs="宋体"/>
                <w:szCs w:val="21"/>
                <w:highlight w:val="none"/>
              </w:rPr>
            </w:pPr>
          </w:p>
        </w:tc>
        <w:tc>
          <w:tcPr>
            <w:tcW w:w="1378" w:type="dxa"/>
            <w:vAlign w:val="center"/>
          </w:tcPr>
          <w:p>
            <w:pPr>
              <w:ind w:firstLine="480"/>
              <w:rPr>
                <w:rFonts w:hint="eastAsia" w:ascii="宋体" w:hAnsi="宋体" w:eastAsia="宋体" w:cs="宋体"/>
                <w:szCs w:val="21"/>
                <w:highlight w:val="none"/>
              </w:rPr>
            </w:pPr>
          </w:p>
        </w:tc>
      </w:tr>
    </w:tbl>
    <w:p>
      <w:pPr>
        <w:jc w:val="left"/>
        <w:outlineLvl w:val="1"/>
        <w:rPr>
          <w:rFonts w:hint="eastAsia" w:ascii="宋体" w:hAnsi="宋体" w:eastAsia="宋体" w:cs="宋体"/>
          <w:b/>
          <w:highlight w:val="none"/>
        </w:rPr>
      </w:pPr>
    </w:p>
    <w:p>
      <w:pPr>
        <w:widowControl/>
        <w:jc w:val="left"/>
        <w:rPr>
          <w:rFonts w:hint="eastAsia" w:ascii="宋体" w:hAnsi="宋体" w:eastAsia="宋体" w:cs="宋体"/>
          <w:b/>
          <w:spacing w:val="0"/>
          <w:kern w:val="2"/>
          <w:highlight w:val="none"/>
        </w:rPr>
      </w:pPr>
      <w:r>
        <w:rPr>
          <w:rFonts w:hint="eastAsia" w:ascii="宋体" w:hAnsi="宋体" w:eastAsia="宋体" w:cs="宋体"/>
          <w:b/>
          <w:highlight w:val="none"/>
        </w:rPr>
        <w:br w:type="page"/>
      </w:r>
    </w:p>
    <w:p>
      <w:pPr>
        <w:pStyle w:val="42"/>
        <w:ind w:firstLine="0" w:firstLineChars="0"/>
        <w:rPr>
          <w:rFonts w:hint="eastAsia" w:ascii="宋体" w:hAnsi="宋体" w:eastAsia="宋体" w:cs="宋体"/>
          <w:b/>
          <w:spacing w:val="0"/>
          <w:kern w:val="2"/>
          <w:highlight w:val="none"/>
        </w:rPr>
      </w:pPr>
      <w:r>
        <w:rPr>
          <w:rFonts w:hint="eastAsia" w:ascii="宋体" w:hAnsi="宋体" w:eastAsia="宋体" w:cs="宋体"/>
          <w:b/>
          <w:spacing w:val="0"/>
          <w:kern w:val="2"/>
          <w:highlight w:val="none"/>
          <w:lang w:val="en-US" w:eastAsia="zh-CN"/>
        </w:rPr>
        <w:t>五、</w:t>
      </w:r>
      <w:r>
        <w:rPr>
          <w:rFonts w:hint="eastAsia" w:ascii="宋体" w:hAnsi="宋体" w:eastAsia="宋体" w:cs="宋体"/>
          <w:b/>
          <w:spacing w:val="0"/>
          <w:kern w:val="2"/>
          <w:highlight w:val="none"/>
        </w:rPr>
        <w:t>同类项目业绩介绍</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510" w:type="dxa"/>
            <w:shd w:val="clear" w:color="auto" w:fill="F3F3F3"/>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客户名称</w:t>
            </w:r>
          </w:p>
        </w:tc>
        <w:tc>
          <w:tcPr>
            <w:tcW w:w="2819" w:type="dxa"/>
            <w:shd w:val="clear" w:color="auto" w:fill="F3F3F3"/>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项目名称及合同金额</w:t>
            </w:r>
          </w:p>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（万元）</w:t>
            </w:r>
          </w:p>
        </w:tc>
        <w:tc>
          <w:tcPr>
            <w:tcW w:w="1236" w:type="dxa"/>
            <w:shd w:val="clear" w:color="auto" w:fill="F3F3F3"/>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竣工时间</w:t>
            </w:r>
          </w:p>
        </w:tc>
        <w:tc>
          <w:tcPr>
            <w:tcW w:w="2237" w:type="dxa"/>
            <w:shd w:val="clear" w:color="auto" w:fill="F3F3F3"/>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510" w:type="dxa"/>
            <w:vAlign w:val="center"/>
          </w:tcPr>
          <w:p>
            <w:pPr>
              <w:ind w:firstLine="480"/>
              <w:jc w:val="center"/>
              <w:rPr>
                <w:rFonts w:hint="eastAsia" w:ascii="宋体" w:hAnsi="宋体" w:eastAsia="宋体" w:cs="宋体"/>
                <w:szCs w:val="21"/>
                <w:highlight w:val="none"/>
              </w:rPr>
            </w:pPr>
          </w:p>
        </w:tc>
        <w:tc>
          <w:tcPr>
            <w:tcW w:w="2819" w:type="dxa"/>
            <w:vAlign w:val="center"/>
          </w:tcPr>
          <w:p>
            <w:pPr>
              <w:ind w:firstLine="480"/>
              <w:jc w:val="center"/>
              <w:rPr>
                <w:rFonts w:hint="eastAsia" w:ascii="宋体" w:hAnsi="宋体" w:eastAsia="宋体" w:cs="宋体"/>
                <w:szCs w:val="21"/>
                <w:highlight w:val="none"/>
              </w:rPr>
            </w:pPr>
          </w:p>
        </w:tc>
        <w:tc>
          <w:tcPr>
            <w:tcW w:w="1236" w:type="dxa"/>
            <w:vAlign w:val="center"/>
          </w:tcPr>
          <w:p>
            <w:pPr>
              <w:ind w:firstLine="480"/>
              <w:jc w:val="center"/>
              <w:rPr>
                <w:rFonts w:hint="eastAsia" w:ascii="宋体" w:hAnsi="宋体" w:eastAsia="宋体" w:cs="宋体"/>
                <w:szCs w:val="21"/>
                <w:highlight w:val="none"/>
              </w:rPr>
            </w:pPr>
          </w:p>
        </w:tc>
        <w:tc>
          <w:tcPr>
            <w:tcW w:w="2237" w:type="dxa"/>
            <w:vAlign w:val="center"/>
          </w:tcPr>
          <w:p>
            <w:pPr>
              <w:ind w:firstLine="48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510" w:type="dxa"/>
            <w:vAlign w:val="center"/>
          </w:tcPr>
          <w:p>
            <w:pPr>
              <w:ind w:firstLine="480"/>
              <w:jc w:val="center"/>
              <w:rPr>
                <w:rFonts w:hint="eastAsia" w:ascii="宋体" w:hAnsi="宋体" w:eastAsia="宋体" w:cs="宋体"/>
                <w:szCs w:val="21"/>
                <w:highlight w:val="none"/>
              </w:rPr>
            </w:pPr>
          </w:p>
        </w:tc>
        <w:tc>
          <w:tcPr>
            <w:tcW w:w="2819" w:type="dxa"/>
            <w:vAlign w:val="center"/>
          </w:tcPr>
          <w:p>
            <w:pPr>
              <w:ind w:firstLine="480"/>
              <w:jc w:val="center"/>
              <w:rPr>
                <w:rFonts w:hint="eastAsia" w:ascii="宋体" w:hAnsi="宋体" w:eastAsia="宋体" w:cs="宋体"/>
                <w:szCs w:val="21"/>
                <w:highlight w:val="none"/>
              </w:rPr>
            </w:pPr>
          </w:p>
        </w:tc>
        <w:tc>
          <w:tcPr>
            <w:tcW w:w="1236" w:type="dxa"/>
            <w:vAlign w:val="center"/>
          </w:tcPr>
          <w:p>
            <w:pPr>
              <w:pStyle w:val="41"/>
              <w:ind w:left="-134" w:firstLine="482"/>
              <w:rPr>
                <w:rFonts w:hint="eastAsia" w:ascii="宋体" w:hAnsi="宋体" w:eastAsia="宋体" w:cs="宋体"/>
                <w:color w:val="auto"/>
                <w:highlight w:val="none"/>
              </w:rPr>
            </w:pPr>
          </w:p>
        </w:tc>
        <w:tc>
          <w:tcPr>
            <w:tcW w:w="2237" w:type="dxa"/>
            <w:vAlign w:val="center"/>
          </w:tcPr>
          <w:p>
            <w:pPr>
              <w:ind w:firstLine="48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66"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510" w:type="dxa"/>
            <w:vAlign w:val="center"/>
          </w:tcPr>
          <w:p>
            <w:pPr>
              <w:ind w:firstLine="480"/>
              <w:jc w:val="center"/>
              <w:rPr>
                <w:rFonts w:hint="eastAsia" w:ascii="宋体" w:hAnsi="宋体" w:eastAsia="宋体" w:cs="宋体"/>
                <w:szCs w:val="21"/>
                <w:highlight w:val="none"/>
              </w:rPr>
            </w:pPr>
          </w:p>
        </w:tc>
        <w:tc>
          <w:tcPr>
            <w:tcW w:w="2819" w:type="dxa"/>
            <w:vAlign w:val="center"/>
          </w:tcPr>
          <w:p>
            <w:pPr>
              <w:ind w:firstLine="480"/>
              <w:jc w:val="center"/>
              <w:rPr>
                <w:rFonts w:hint="eastAsia" w:ascii="宋体" w:hAnsi="宋体" w:eastAsia="宋体" w:cs="宋体"/>
                <w:szCs w:val="21"/>
                <w:highlight w:val="none"/>
              </w:rPr>
            </w:pPr>
          </w:p>
        </w:tc>
        <w:tc>
          <w:tcPr>
            <w:tcW w:w="1236" w:type="dxa"/>
            <w:vAlign w:val="center"/>
          </w:tcPr>
          <w:p>
            <w:pPr>
              <w:ind w:firstLine="480"/>
              <w:jc w:val="center"/>
              <w:rPr>
                <w:rFonts w:hint="eastAsia" w:ascii="宋体" w:hAnsi="宋体" w:eastAsia="宋体" w:cs="宋体"/>
                <w:szCs w:val="21"/>
                <w:highlight w:val="none"/>
              </w:rPr>
            </w:pPr>
          </w:p>
        </w:tc>
        <w:tc>
          <w:tcPr>
            <w:tcW w:w="2237" w:type="dxa"/>
            <w:vAlign w:val="center"/>
          </w:tcPr>
          <w:p>
            <w:pPr>
              <w:ind w:firstLine="48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510" w:type="dxa"/>
            <w:vAlign w:val="center"/>
          </w:tcPr>
          <w:p>
            <w:pPr>
              <w:ind w:firstLine="480"/>
              <w:jc w:val="center"/>
              <w:rPr>
                <w:rFonts w:hint="eastAsia" w:ascii="宋体" w:hAnsi="宋体" w:eastAsia="宋体" w:cs="宋体"/>
                <w:szCs w:val="21"/>
                <w:highlight w:val="none"/>
              </w:rPr>
            </w:pPr>
          </w:p>
        </w:tc>
        <w:tc>
          <w:tcPr>
            <w:tcW w:w="2819" w:type="dxa"/>
            <w:vAlign w:val="center"/>
          </w:tcPr>
          <w:p>
            <w:pPr>
              <w:ind w:firstLine="480"/>
              <w:jc w:val="center"/>
              <w:rPr>
                <w:rFonts w:hint="eastAsia" w:ascii="宋体" w:hAnsi="宋体" w:eastAsia="宋体" w:cs="宋体"/>
                <w:szCs w:val="21"/>
                <w:highlight w:val="none"/>
              </w:rPr>
            </w:pPr>
          </w:p>
        </w:tc>
        <w:tc>
          <w:tcPr>
            <w:tcW w:w="1236" w:type="dxa"/>
            <w:vAlign w:val="center"/>
          </w:tcPr>
          <w:p>
            <w:pPr>
              <w:ind w:firstLine="480"/>
              <w:jc w:val="center"/>
              <w:rPr>
                <w:rFonts w:hint="eastAsia" w:ascii="宋体" w:hAnsi="宋体" w:eastAsia="宋体" w:cs="宋体"/>
                <w:szCs w:val="21"/>
                <w:highlight w:val="none"/>
              </w:rPr>
            </w:pPr>
          </w:p>
        </w:tc>
        <w:tc>
          <w:tcPr>
            <w:tcW w:w="2237" w:type="dxa"/>
            <w:vAlign w:val="center"/>
          </w:tcPr>
          <w:p>
            <w:pPr>
              <w:ind w:firstLine="480"/>
              <w:jc w:val="center"/>
              <w:rPr>
                <w:rFonts w:hint="eastAsia" w:ascii="宋体" w:hAnsi="宋体" w:eastAsia="宋体" w:cs="宋体"/>
                <w:szCs w:val="21"/>
                <w:highlight w:val="none"/>
              </w:rPr>
            </w:pPr>
          </w:p>
        </w:tc>
      </w:tr>
    </w:tbl>
    <w:p>
      <w:pPr>
        <w:ind w:firstLine="480"/>
        <w:rPr>
          <w:rFonts w:hint="eastAsia" w:ascii="宋体" w:hAnsi="宋体" w:eastAsia="宋体" w:cs="宋体"/>
          <w:highlight w:val="none"/>
        </w:rPr>
      </w:pPr>
      <w:r>
        <w:rPr>
          <w:rFonts w:hint="eastAsia" w:ascii="宋体" w:hAnsi="宋体" w:eastAsia="宋体" w:cs="宋体"/>
          <w:highlight w:val="none"/>
        </w:rPr>
        <w:t>注：业绩是必须以响应供应商名义完成并已验收的项目。报价人/响应供应商必须提供合同关键页复印件及验收报告。</w:t>
      </w:r>
    </w:p>
    <w:p>
      <w:pPr>
        <w:jc w:val="left"/>
        <w:outlineLvl w:val="1"/>
        <w:rPr>
          <w:rFonts w:hint="eastAsia" w:ascii="宋体" w:hAnsi="宋体" w:eastAsia="宋体" w:cs="宋体"/>
          <w:b/>
          <w:highlight w:val="none"/>
        </w:rPr>
      </w:pPr>
    </w:p>
    <w:p>
      <w:pPr>
        <w:jc w:val="left"/>
        <w:outlineLvl w:val="1"/>
        <w:rPr>
          <w:rFonts w:hint="eastAsia" w:ascii="宋体" w:hAnsi="宋体" w:eastAsia="宋体" w:cs="宋体"/>
          <w:b/>
          <w:highlight w:val="none"/>
        </w:rPr>
      </w:pPr>
    </w:p>
    <w:p>
      <w:pPr>
        <w:widowControl/>
        <w:jc w:val="left"/>
        <w:rPr>
          <w:rFonts w:hint="eastAsia" w:ascii="宋体" w:hAnsi="宋体" w:eastAsia="宋体" w:cs="宋体"/>
          <w:b/>
          <w:highlight w:val="none"/>
        </w:rPr>
      </w:pPr>
      <w:r>
        <w:rPr>
          <w:rFonts w:hint="eastAsia" w:ascii="宋体" w:hAnsi="宋体" w:eastAsia="宋体" w:cs="宋体"/>
          <w:b/>
          <w:highlight w:val="none"/>
        </w:rPr>
        <w:br w:type="page"/>
      </w:r>
    </w:p>
    <w:bookmarkEnd w:id="185"/>
    <w:p>
      <w:pPr>
        <w:jc w:val="both"/>
        <w:outlineLvl w:val="1"/>
        <w:rPr>
          <w:rFonts w:hint="eastAsia" w:ascii="宋体" w:hAnsi="宋体" w:eastAsia="宋体" w:cs="宋体"/>
          <w:b/>
          <w:highlight w:val="none"/>
        </w:rPr>
      </w:pPr>
      <w:r>
        <w:rPr>
          <w:rFonts w:hint="eastAsia" w:ascii="宋体" w:hAnsi="宋体" w:eastAsia="宋体" w:cs="宋体"/>
          <w:b/>
          <w:highlight w:val="none"/>
          <w:lang w:val="en-US" w:eastAsia="zh-CN"/>
        </w:rPr>
        <w:t>六</w:t>
      </w:r>
      <w:r>
        <w:rPr>
          <w:rFonts w:hint="eastAsia" w:ascii="宋体" w:hAnsi="宋体" w:eastAsia="宋体" w:cs="宋体"/>
          <w:b/>
          <w:highlight w:val="none"/>
        </w:rPr>
        <w:t>、价格部分</w:t>
      </w:r>
    </w:p>
    <w:p>
      <w:pPr>
        <w:jc w:val="center"/>
        <w:rPr>
          <w:rFonts w:hint="eastAsia" w:ascii="宋体" w:hAnsi="宋体" w:eastAsia="宋体" w:cs="宋体"/>
          <w:b/>
          <w:bCs/>
          <w:highlight w:val="none"/>
        </w:rPr>
      </w:pPr>
      <w:r>
        <w:rPr>
          <w:rFonts w:hint="eastAsia" w:ascii="宋体" w:hAnsi="宋体" w:eastAsia="宋体" w:cs="宋体"/>
          <w:b/>
          <w:bCs/>
          <w:highlight w:val="none"/>
        </w:rPr>
        <w:t>报价一览表</w:t>
      </w:r>
    </w:p>
    <w:tbl>
      <w:tblPr>
        <w:tblStyle w:val="2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项目名称</w:t>
            </w:r>
          </w:p>
        </w:tc>
        <w:tc>
          <w:tcPr>
            <w:tcW w:w="7632" w:type="dxa"/>
            <w:tcBorders>
              <w:bottom w:val="single" w:color="auto" w:sz="4" w:space="0"/>
            </w:tcBorders>
            <w:vAlign w:val="center"/>
          </w:tcPr>
          <w:p>
            <w:pPr>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响应供应商</w:t>
            </w:r>
          </w:p>
        </w:tc>
        <w:tc>
          <w:tcPr>
            <w:tcW w:w="7632" w:type="dxa"/>
            <w:tcBorders>
              <w:bottom w:val="single" w:color="auto" w:sz="4" w:space="0"/>
            </w:tcBorders>
            <w:vAlign w:val="center"/>
          </w:tcPr>
          <w:p>
            <w:pPr>
              <w:jc w:val="center"/>
              <w:rPr>
                <w:rFonts w:hint="eastAsia" w:ascii="宋体" w:hAnsi="宋体" w:eastAsia="宋体" w:cs="宋体"/>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总报价</w:t>
            </w:r>
          </w:p>
        </w:tc>
        <w:tc>
          <w:tcPr>
            <w:tcW w:w="7632" w:type="dxa"/>
            <w:tcBorders>
              <w:bottom w:val="single" w:color="auto" w:sz="2" w:space="0"/>
            </w:tcBorders>
            <w:vAlign w:val="center"/>
          </w:tcPr>
          <w:p>
            <w:pPr>
              <w:rPr>
                <w:rFonts w:hint="eastAsia" w:ascii="宋体" w:hAnsi="宋体" w:eastAsia="宋体" w:cs="宋体"/>
                <w:highlight w:val="none"/>
              </w:rPr>
            </w:pPr>
            <w:r>
              <w:rPr>
                <w:rFonts w:hint="eastAsia" w:ascii="宋体" w:hAnsi="宋体" w:eastAsia="宋体" w:cs="宋体"/>
                <w:highlight w:val="none"/>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728" w:type="dxa"/>
            <w:vAlign w:val="center"/>
          </w:tcPr>
          <w:p>
            <w:pPr>
              <w:jc w:val="center"/>
              <w:rPr>
                <w:rFonts w:hint="default" w:ascii="宋体" w:hAnsi="宋体" w:eastAsia="宋体" w:cs="宋体"/>
                <w:highlight w:val="none"/>
                <w:lang w:val="en-US" w:eastAsia="zh-CN"/>
              </w:rPr>
            </w:pPr>
            <w:r>
              <w:rPr>
                <w:rFonts w:hint="eastAsia" w:ascii="宋体" w:hAnsi="宋体" w:cs="宋体"/>
                <w:highlight w:val="none"/>
                <w:lang w:val="en-US" w:eastAsia="zh-CN"/>
              </w:rPr>
              <w:t>质保期</w:t>
            </w:r>
          </w:p>
        </w:tc>
        <w:tc>
          <w:tcPr>
            <w:tcW w:w="7632" w:type="dxa"/>
            <w:vAlign w:val="center"/>
          </w:tcPr>
          <w:p>
            <w:pPr>
              <w:jc w:val="center"/>
              <w:rPr>
                <w:rFonts w:hint="default" w:ascii="宋体" w:hAnsi="宋体" w:eastAsia="宋体" w:cs="宋体"/>
                <w:highlight w:val="none"/>
                <w:lang w:val="en-US" w:eastAsia="zh-CN"/>
              </w:rPr>
            </w:pP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728" w:type="dxa"/>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质保期外维保服务报价（年）</w:t>
            </w:r>
          </w:p>
        </w:tc>
        <w:tc>
          <w:tcPr>
            <w:tcW w:w="7632" w:type="dxa"/>
            <w:vAlign w:val="center"/>
          </w:tcPr>
          <w:p>
            <w:pPr>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hint="eastAsia" w:ascii="宋体" w:hAnsi="宋体" w:eastAsia="宋体" w:cs="宋体"/>
                <w:highlight w:val="none"/>
              </w:rPr>
            </w:pPr>
            <w:r>
              <w:rPr>
                <w:rFonts w:hint="eastAsia" w:ascii="宋体" w:hAnsi="宋体" w:eastAsia="宋体" w:cs="宋体"/>
                <w:highlight w:val="none"/>
              </w:rPr>
              <w:t>备注：详细内容见《报价明细报价表》。</w:t>
            </w:r>
          </w:p>
        </w:tc>
      </w:tr>
    </w:tbl>
    <w:p>
      <w:pPr>
        <w:rPr>
          <w:rFonts w:hint="eastAsia" w:ascii="宋体" w:hAnsi="宋体" w:eastAsia="宋体" w:cs="宋体"/>
          <w:b/>
          <w:bCs/>
          <w:highlight w:val="none"/>
        </w:rPr>
      </w:pPr>
      <w:r>
        <w:rPr>
          <w:rFonts w:hint="eastAsia" w:ascii="宋体" w:hAnsi="宋体" w:eastAsia="宋体" w:cs="宋体"/>
          <w:b/>
          <w:bCs/>
          <w:highlight w:val="none"/>
        </w:rPr>
        <w:t>注：</w:t>
      </w:r>
    </w:p>
    <w:p>
      <w:pPr>
        <w:ind w:firstLine="480"/>
        <w:rPr>
          <w:rFonts w:hint="eastAsia" w:ascii="宋体" w:hAnsi="宋体" w:eastAsia="宋体" w:cs="宋体"/>
          <w:highlight w:val="none"/>
        </w:rPr>
      </w:pPr>
      <w:r>
        <w:rPr>
          <w:rFonts w:hint="eastAsia" w:ascii="宋体" w:hAnsi="宋体" w:eastAsia="宋体" w:cs="宋体"/>
          <w:highlight w:val="none"/>
        </w:rPr>
        <w:t>1.响应供应商须按要求填写所有信息，不得随意更改本表格式。</w:t>
      </w:r>
    </w:p>
    <w:p>
      <w:pPr>
        <w:ind w:firstLine="480"/>
        <w:rPr>
          <w:rFonts w:hint="eastAsia" w:ascii="宋体" w:hAnsi="宋体" w:eastAsia="宋体" w:cs="宋体"/>
          <w:highlight w:val="none"/>
        </w:rPr>
      </w:pPr>
      <w:r>
        <w:rPr>
          <w:rFonts w:hint="eastAsia" w:ascii="宋体" w:hAnsi="宋体" w:eastAsia="宋体" w:cs="宋体"/>
          <w:highlight w:val="none"/>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pStyle w:val="25"/>
        <w:rPr>
          <w:rFonts w:hint="eastAsia" w:ascii="宋体" w:hAnsi="宋体" w:eastAsia="宋体" w:cs="宋体"/>
          <w:highlight w:val="none"/>
        </w:rPr>
      </w:pPr>
    </w:p>
    <w:p>
      <w:pPr>
        <w:ind w:firstLine="480"/>
        <w:rPr>
          <w:rFonts w:hint="eastAsia" w:ascii="宋体" w:hAnsi="宋体" w:eastAsia="宋体" w:cs="宋体"/>
          <w:highlight w:val="none"/>
        </w:rPr>
      </w:pPr>
    </w:p>
    <w:p>
      <w:pPr>
        <w:ind w:firstLine="480"/>
        <w:rPr>
          <w:rFonts w:hint="eastAsia" w:ascii="宋体" w:hAnsi="宋体" w:eastAsia="宋体" w:cs="宋体"/>
          <w:highlight w:val="none"/>
        </w:rPr>
      </w:pPr>
    </w:p>
    <w:p>
      <w:pPr>
        <w:ind w:firstLine="480"/>
        <w:rPr>
          <w:rFonts w:hint="eastAsia" w:ascii="宋体" w:hAnsi="宋体" w:eastAsia="宋体" w:cs="宋体"/>
          <w:highlight w:val="none"/>
        </w:rPr>
      </w:pPr>
    </w:p>
    <w:p>
      <w:pPr>
        <w:ind w:firstLine="480"/>
        <w:rPr>
          <w:rFonts w:hint="eastAsia" w:ascii="宋体" w:hAnsi="宋体" w:eastAsia="宋体" w:cs="宋体"/>
          <w:highlight w:val="none"/>
        </w:rPr>
      </w:pPr>
    </w:p>
    <w:p>
      <w:pPr>
        <w:ind w:firstLine="480"/>
        <w:rPr>
          <w:rFonts w:hint="eastAsia" w:ascii="宋体" w:hAnsi="宋体" w:eastAsia="宋体" w:cs="宋体"/>
          <w:highlight w:val="none"/>
        </w:rPr>
      </w:pPr>
      <w:r>
        <w:rPr>
          <w:rFonts w:hint="eastAsia" w:ascii="宋体" w:hAnsi="宋体" w:eastAsia="宋体" w:cs="宋体"/>
          <w:highlight w:val="none"/>
        </w:rPr>
        <w:t>响应供应商法定代表人（或法定代表人授权代表）签字：</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ind w:firstLine="480"/>
        <w:rPr>
          <w:rFonts w:hint="eastAsia" w:ascii="宋体" w:hAnsi="宋体" w:eastAsia="宋体" w:cs="宋体"/>
          <w:highlight w:val="none"/>
          <w:u w:val="single"/>
        </w:rPr>
      </w:pPr>
      <w:r>
        <w:rPr>
          <w:rFonts w:hint="eastAsia" w:ascii="宋体" w:hAnsi="宋体" w:eastAsia="宋体" w:cs="宋体"/>
          <w:highlight w:val="none"/>
        </w:rPr>
        <w:t>响应供应商名称（签章）：</w:t>
      </w:r>
      <w:r>
        <w:rPr>
          <w:rFonts w:hint="eastAsia" w:ascii="宋体" w:hAnsi="宋体" w:eastAsia="宋体" w:cs="宋体"/>
          <w:highlight w:val="none"/>
          <w:u w:val="single"/>
        </w:rPr>
        <w:t xml:space="preserve">                        </w:t>
      </w:r>
    </w:p>
    <w:p>
      <w:pPr>
        <w:ind w:firstLine="480"/>
        <w:rPr>
          <w:rFonts w:hint="eastAsia" w:ascii="宋体" w:hAnsi="宋体" w:eastAsia="宋体" w:cs="宋体"/>
          <w:highlight w:val="none"/>
        </w:rPr>
      </w:pPr>
      <w:r>
        <w:rPr>
          <w:rFonts w:hint="eastAsia" w:ascii="宋体" w:hAnsi="宋体" w:eastAsia="宋体" w:cs="宋体"/>
          <w:highlight w:val="none"/>
        </w:rPr>
        <w:t>日期：   年   月   日</w:t>
      </w:r>
    </w:p>
    <w:p>
      <w:pPr>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center"/>
        <w:rPr>
          <w:rFonts w:hint="eastAsia" w:ascii="宋体" w:hAnsi="宋体" w:eastAsia="宋体" w:cs="宋体"/>
          <w:b/>
          <w:sz w:val="28"/>
          <w:szCs w:val="28"/>
          <w:highlight w:val="none"/>
        </w:rPr>
      </w:pPr>
      <w:r>
        <w:rPr>
          <w:rFonts w:hint="eastAsia" w:ascii="宋体" w:hAnsi="宋体" w:eastAsia="宋体" w:cs="宋体"/>
          <w:highlight w:val="none"/>
        </w:rPr>
        <w:br w:type="page"/>
      </w:r>
      <w:r>
        <w:rPr>
          <w:rFonts w:hint="eastAsia" w:ascii="宋体" w:hAnsi="宋体" w:eastAsia="宋体" w:cs="宋体"/>
          <w:b/>
          <w:sz w:val="28"/>
          <w:szCs w:val="28"/>
          <w:highlight w:val="none"/>
        </w:rPr>
        <w:t>报价明细报价表</w:t>
      </w:r>
    </w:p>
    <w:tbl>
      <w:tblPr>
        <w:tblStyle w:val="20"/>
        <w:tblW w:w="8820" w:type="dxa"/>
        <w:jc w:val="center"/>
        <w:tblLayout w:type="fixed"/>
        <w:tblCellMar>
          <w:top w:w="0" w:type="dxa"/>
          <w:left w:w="108" w:type="dxa"/>
          <w:bottom w:w="0" w:type="dxa"/>
          <w:right w:w="108" w:type="dxa"/>
        </w:tblCellMar>
      </w:tblPr>
      <w:tblGrid>
        <w:gridCol w:w="1242"/>
        <w:gridCol w:w="2674"/>
        <w:gridCol w:w="946"/>
        <w:gridCol w:w="945"/>
        <w:gridCol w:w="1313"/>
        <w:gridCol w:w="1700"/>
      </w:tblGrid>
      <w:tr>
        <w:tblPrEx>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总价</w:t>
            </w: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highlight w:val="none"/>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hint="eastAsia" w:ascii="宋体" w:hAnsi="宋体" w:eastAsia="宋体" w:cs="宋体"/>
                <w:szCs w:val="21"/>
                <w:highlight w:val="none"/>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highlight w:val="none"/>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highlight w:val="none"/>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highlight w:val="none"/>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highlight w:val="none"/>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highlight w:val="none"/>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highlight w:val="none"/>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highlight w:val="none"/>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highlight w:val="none"/>
              </w:rPr>
            </w:pPr>
          </w:p>
        </w:tc>
      </w:tr>
    </w:tbl>
    <w:p>
      <w:pPr>
        <w:widowControl/>
        <w:jc w:val="center"/>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widowControl/>
        <w:jc w:val="left"/>
        <w:rPr>
          <w:rFonts w:hint="eastAsia" w:ascii="宋体" w:hAnsi="宋体" w:eastAsia="宋体" w:cs="宋体"/>
          <w:highlight w:val="none"/>
        </w:rPr>
      </w:pPr>
    </w:p>
    <w:p>
      <w:pPr>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七、</w:t>
      </w:r>
      <w:r>
        <w:rPr>
          <w:rFonts w:hint="eastAsia" w:ascii="宋体" w:hAnsi="宋体" w:eastAsia="宋体" w:cs="宋体"/>
          <w:b/>
          <w:sz w:val="21"/>
          <w:szCs w:val="21"/>
          <w:highlight w:val="none"/>
        </w:rPr>
        <w:t>采购需求的“负面清单”</w:t>
      </w:r>
    </w:p>
    <w:p>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为有利于后期项目的合理竞争，请供应商提供如下“负面清单”，并注意以下事项：</w:t>
      </w:r>
    </w:p>
    <w:p>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1.供应商完成该项目不需要额外具备的供应商资格条件。</w:t>
      </w:r>
    </w:p>
    <w:p>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2.供应商认为《</w:t>
      </w:r>
      <w:r>
        <w:rPr>
          <w:rFonts w:hint="eastAsia" w:ascii="宋体" w:hAnsi="宋体" w:eastAsia="宋体" w:cs="宋体"/>
          <w:sz w:val="21"/>
          <w:szCs w:val="21"/>
          <w:highlight w:val="none"/>
          <w:lang w:val="en-US" w:eastAsia="zh-CN"/>
        </w:rPr>
        <w:t>用户需求书</w:t>
      </w:r>
      <w:r>
        <w:rPr>
          <w:rFonts w:hint="eastAsia" w:ascii="宋体" w:hAnsi="宋体" w:eastAsia="宋体" w:cs="宋体"/>
          <w:sz w:val="21"/>
          <w:szCs w:val="21"/>
          <w:highlight w:val="none"/>
        </w:rPr>
        <w:t>》信息中的内容，哪些可能会对采购项目的采购预算或者最高限价的合理设定，带来不利影响的内容。</w:t>
      </w:r>
    </w:p>
    <w:p>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3.后期采购项目的评审规则制定过程中，供应商认为可能涉及作为评审因素的技术或商务评审中，哪些指标的不合理设置，容易造成以不合理的条件对供应商实行差别待遇或者歧视待遇情形的。</w:t>
      </w:r>
    </w:p>
    <w:p>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4.合同后期履行过程中，可能不利于采购人的情形（包括供货期、质保要求等等，主要是避免个别供应商协助采购人制定的采购方案中存在不利于采购人，而采购人却未能发现的）。</w:t>
      </w:r>
    </w:p>
    <w:p>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5.具体参考的标准</w:t>
      </w:r>
    </w:p>
    <w:tbl>
      <w:tblPr>
        <w:tblStyle w:val="21"/>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143" w:type="dxa"/>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内容</w:t>
            </w:r>
          </w:p>
        </w:tc>
        <w:tc>
          <w:tcPr>
            <w:tcW w:w="2401" w:type="dxa"/>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具体事项</w:t>
            </w:r>
          </w:p>
        </w:tc>
        <w:tc>
          <w:tcPr>
            <w:tcW w:w="3402" w:type="dxa"/>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具体填写说明</w:t>
            </w:r>
          </w:p>
        </w:tc>
        <w:tc>
          <w:tcPr>
            <w:tcW w:w="2101" w:type="dxa"/>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43" w:type="dxa"/>
            <w:vMerge w:val="restar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资格条件</w:t>
            </w:r>
          </w:p>
        </w:tc>
        <w:tc>
          <w:tcPr>
            <w:tcW w:w="24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本项目应当具备的供应商资格条件</w:t>
            </w:r>
          </w:p>
        </w:tc>
        <w:tc>
          <w:tcPr>
            <w:tcW w:w="3402" w:type="dxa"/>
          </w:tcPr>
          <w:p>
            <w:pPr>
              <w:pStyle w:val="30"/>
              <w:numPr>
                <w:ilvl w:val="0"/>
                <w:numId w:val="20"/>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政府采购法第22条；</w:t>
            </w:r>
          </w:p>
          <w:p>
            <w:pPr>
              <w:pStyle w:val="30"/>
              <w:numPr>
                <w:ilvl w:val="0"/>
                <w:numId w:val="20"/>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采购项目对供应商的特定要求。</w:t>
            </w:r>
          </w:p>
        </w:tc>
        <w:tc>
          <w:tcPr>
            <w:tcW w:w="2101"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highlight w:val="none"/>
              </w:rPr>
            </w:pPr>
          </w:p>
        </w:tc>
        <w:tc>
          <w:tcPr>
            <w:tcW w:w="1143" w:type="dxa"/>
            <w:vMerge w:val="continue"/>
          </w:tcPr>
          <w:p>
            <w:pPr>
              <w:rPr>
                <w:rFonts w:hint="eastAsia" w:ascii="宋体" w:hAnsi="宋体" w:eastAsia="宋体" w:cs="宋体"/>
                <w:sz w:val="21"/>
                <w:szCs w:val="21"/>
                <w:highlight w:val="none"/>
              </w:rPr>
            </w:pPr>
          </w:p>
        </w:tc>
        <w:tc>
          <w:tcPr>
            <w:tcW w:w="24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本项目不应当包含在内的供应商资格条件</w:t>
            </w:r>
          </w:p>
        </w:tc>
        <w:tc>
          <w:tcPr>
            <w:tcW w:w="3402" w:type="dxa"/>
          </w:tcPr>
          <w:p>
            <w:pPr>
              <w:pStyle w:val="30"/>
              <w:numPr>
                <w:ilvl w:val="0"/>
                <w:numId w:val="21"/>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供应商后期履行本项目不需要包含的资格条件。</w:t>
            </w:r>
          </w:p>
        </w:tc>
        <w:tc>
          <w:tcPr>
            <w:tcW w:w="2101"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143" w:type="dxa"/>
            <w:vMerge w:val="restar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技术需求</w:t>
            </w:r>
          </w:p>
        </w:tc>
        <w:tc>
          <w:tcPr>
            <w:tcW w:w="2401" w:type="dxa"/>
            <w:vMerge w:val="restar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根据本项目需要达到的绩效，后期采购时包含的技术需求</w:t>
            </w:r>
          </w:p>
        </w:tc>
        <w:tc>
          <w:tcPr>
            <w:tcW w:w="3402" w:type="dxa"/>
          </w:tcPr>
          <w:p>
            <w:pPr>
              <w:pStyle w:val="30"/>
              <w:numPr>
                <w:ilvl w:val="0"/>
                <w:numId w:val="22"/>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从有利于采购人角度出发，供应商认为本次采购项目应当包含的基本技术参数。</w:t>
            </w:r>
          </w:p>
        </w:tc>
        <w:tc>
          <w:tcPr>
            <w:tcW w:w="21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不应将自身具有核心竞争力的技术参数填入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highlight w:val="none"/>
              </w:rPr>
            </w:pPr>
          </w:p>
        </w:tc>
        <w:tc>
          <w:tcPr>
            <w:tcW w:w="1143" w:type="dxa"/>
            <w:vMerge w:val="continue"/>
            <w:vAlign w:val="center"/>
          </w:tcPr>
          <w:p>
            <w:pPr>
              <w:rPr>
                <w:rFonts w:hint="eastAsia" w:ascii="宋体" w:hAnsi="宋体" w:eastAsia="宋体" w:cs="宋体"/>
                <w:sz w:val="21"/>
                <w:szCs w:val="21"/>
                <w:highlight w:val="none"/>
              </w:rPr>
            </w:pPr>
          </w:p>
        </w:tc>
        <w:tc>
          <w:tcPr>
            <w:tcW w:w="2401" w:type="dxa"/>
            <w:vMerge w:val="continue"/>
            <w:vAlign w:val="center"/>
          </w:tcPr>
          <w:p>
            <w:pPr>
              <w:rPr>
                <w:rFonts w:hint="eastAsia" w:ascii="宋体" w:hAnsi="宋体" w:eastAsia="宋体" w:cs="宋体"/>
                <w:sz w:val="21"/>
                <w:szCs w:val="21"/>
                <w:highlight w:val="none"/>
              </w:rPr>
            </w:pPr>
          </w:p>
        </w:tc>
        <w:tc>
          <w:tcPr>
            <w:tcW w:w="3402" w:type="dxa"/>
          </w:tcPr>
          <w:p>
            <w:pPr>
              <w:pStyle w:val="30"/>
              <w:numPr>
                <w:ilvl w:val="0"/>
                <w:numId w:val="23"/>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拟参与后期竞争时，供应商认为其提供的货物（服务）具备核心竞争力的技术参数；</w:t>
            </w:r>
          </w:p>
        </w:tc>
        <w:tc>
          <w:tcPr>
            <w:tcW w:w="21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即后期认为应当作为实质性要求的技术参数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highlight w:val="none"/>
              </w:rPr>
            </w:pPr>
          </w:p>
        </w:tc>
        <w:tc>
          <w:tcPr>
            <w:tcW w:w="1143" w:type="dxa"/>
            <w:vMerge w:val="continue"/>
            <w:vAlign w:val="center"/>
          </w:tcPr>
          <w:p>
            <w:pPr>
              <w:rPr>
                <w:rFonts w:hint="eastAsia" w:ascii="宋体" w:hAnsi="宋体" w:eastAsia="宋体" w:cs="宋体"/>
                <w:sz w:val="21"/>
                <w:szCs w:val="21"/>
                <w:highlight w:val="none"/>
              </w:rPr>
            </w:pPr>
          </w:p>
        </w:tc>
        <w:tc>
          <w:tcPr>
            <w:tcW w:w="2401" w:type="dxa"/>
            <w:vMerge w:val="restar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根据本项目需要达到的绩效，后期采购时可以不需要包含的技术需求</w:t>
            </w:r>
          </w:p>
        </w:tc>
        <w:tc>
          <w:tcPr>
            <w:tcW w:w="3402" w:type="dxa"/>
          </w:tcPr>
          <w:p>
            <w:pPr>
              <w:pStyle w:val="30"/>
              <w:numPr>
                <w:ilvl w:val="0"/>
                <w:numId w:val="24"/>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供应商以列举的方式，认为其他供应商在技术需求制定过程中会作为实质性要求的技术参数。</w:t>
            </w:r>
          </w:p>
        </w:tc>
        <w:tc>
          <w:tcPr>
            <w:tcW w:w="21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highlight w:val="none"/>
              </w:rPr>
            </w:pPr>
          </w:p>
        </w:tc>
        <w:tc>
          <w:tcPr>
            <w:tcW w:w="1143" w:type="dxa"/>
            <w:vMerge w:val="continue"/>
            <w:vAlign w:val="center"/>
          </w:tcPr>
          <w:p>
            <w:pPr>
              <w:rPr>
                <w:rFonts w:hint="eastAsia" w:ascii="宋体" w:hAnsi="宋体" w:eastAsia="宋体" w:cs="宋体"/>
                <w:sz w:val="21"/>
                <w:szCs w:val="21"/>
                <w:highlight w:val="none"/>
              </w:rPr>
            </w:pPr>
          </w:p>
        </w:tc>
        <w:tc>
          <w:tcPr>
            <w:tcW w:w="2401" w:type="dxa"/>
            <w:vMerge w:val="continue"/>
            <w:vAlign w:val="center"/>
          </w:tcPr>
          <w:p>
            <w:pPr>
              <w:rPr>
                <w:rFonts w:hint="eastAsia" w:ascii="宋体" w:hAnsi="宋体" w:eastAsia="宋体" w:cs="宋体"/>
                <w:sz w:val="21"/>
                <w:szCs w:val="21"/>
                <w:highlight w:val="none"/>
              </w:rPr>
            </w:pPr>
          </w:p>
        </w:tc>
        <w:tc>
          <w:tcPr>
            <w:tcW w:w="3402" w:type="dxa"/>
          </w:tcPr>
          <w:p>
            <w:pPr>
              <w:pStyle w:val="30"/>
              <w:numPr>
                <w:ilvl w:val="0"/>
                <w:numId w:val="25"/>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供应商认为需要特别说明的内容</w:t>
            </w:r>
          </w:p>
        </w:tc>
        <w:tc>
          <w:tcPr>
            <w:tcW w:w="21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从有利于采购人的角度，对采购人提出的建议和意见。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highlight w:val="none"/>
              </w:rPr>
            </w:pPr>
          </w:p>
        </w:tc>
        <w:tc>
          <w:tcPr>
            <w:tcW w:w="1143" w:type="dxa"/>
            <w:vMerge w:val="continue"/>
            <w:vAlign w:val="center"/>
          </w:tcPr>
          <w:p>
            <w:pPr>
              <w:rPr>
                <w:rFonts w:hint="eastAsia" w:ascii="宋体" w:hAnsi="宋体" w:eastAsia="宋体" w:cs="宋体"/>
                <w:sz w:val="21"/>
                <w:szCs w:val="21"/>
                <w:highlight w:val="none"/>
              </w:rPr>
            </w:pPr>
          </w:p>
        </w:tc>
        <w:tc>
          <w:tcPr>
            <w:tcW w:w="2401" w:type="dxa"/>
            <w:vMerge w:val="restar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征集基本需求中的技术参数是否具有倾向性、排他性情况</w:t>
            </w:r>
          </w:p>
        </w:tc>
        <w:tc>
          <w:tcPr>
            <w:tcW w:w="3402" w:type="dxa"/>
          </w:tcPr>
          <w:p>
            <w:pPr>
              <w:pStyle w:val="30"/>
              <w:numPr>
                <w:ilvl w:val="0"/>
                <w:numId w:val="26"/>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采购人在本项目提供的征集基本需求中，是否存在倾向于某一个品牌或某一个供应商的情形？或者存在排他技术参数的情形？</w:t>
            </w:r>
          </w:p>
        </w:tc>
        <w:tc>
          <w:tcPr>
            <w:tcW w:w="21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供应商可以逐项列举，从本项目采购技术需求必要性的角度，进行说明，并提供相关证明材料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highlight w:val="none"/>
              </w:rPr>
            </w:pPr>
          </w:p>
        </w:tc>
        <w:tc>
          <w:tcPr>
            <w:tcW w:w="1143" w:type="dxa"/>
            <w:vMerge w:val="continue"/>
            <w:vAlign w:val="center"/>
          </w:tcPr>
          <w:p>
            <w:pPr>
              <w:rPr>
                <w:rFonts w:hint="eastAsia" w:ascii="宋体" w:hAnsi="宋体" w:eastAsia="宋体" w:cs="宋体"/>
                <w:sz w:val="21"/>
                <w:szCs w:val="21"/>
                <w:highlight w:val="none"/>
              </w:rPr>
            </w:pPr>
          </w:p>
        </w:tc>
        <w:tc>
          <w:tcPr>
            <w:tcW w:w="2401" w:type="dxa"/>
            <w:vMerge w:val="continue"/>
            <w:vAlign w:val="center"/>
          </w:tcPr>
          <w:p>
            <w:pPr>
              <w:rPr>
                <w:rFonts w:hint="eastAsia" w:ascii="宋体" w:hAnsi="宋体" w:eastAsia="宋体" w:cs="宋体"/>
                <w:sz w:val="21"/>
                <w:szCs w:val="21"/>
                <w:highlight w:val="none"/>
              </w:rPr>
            </w:pPr>
          </w:p>
        </w:tc>
        <w:tc>
          <w:tcPr>
            <w:tcW w:w="3402" w:type="dxa"/>
          </w:tcPr>
          <w:p>
            <w:pPr>
              <w:pStyle w:val="30"/>
              <w:numPr>
                <w:ilvl w:val="0"/>
                <w:numId w:val="27"/>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针对征集基本需求中的技术参数，供应商建议应当如何设定较为合理。</w:t>
            </w:r>
          </w:p>
        </w:tc>
        <w:tc>
          <w:tcPr>
            <w:tcW w:w="2101"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143" w:type="dxa"/>
            <w:vMerge w:val="restart"/>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商务需求</w:t>
            </w:r>
          </w:p>
        </w:tc>
        <w:tc>
          <w:tcPr>
            <w:tcW w:w="2401" w:type="dxa"/>
            <w:vMerge w:val="restart"/>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根据本项目需要达到的绩效，后期采购时包含的商务需求</w:t>
            </w:r>
          </w:p>
        </w:tc>
        <w:tc>
          <w:tcPr>
            <w:tcW w:w="3402" w:type="dxa"/>
          </w:tcPr>
          <w:p>
            <w:pPr>
              <w:pStyle w:val="30"/>
              <w:numPr>
                <w:ilvl w:val="0"/>
                <w:numId w:val="28"/>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从有利于采购人角度出发，供应商认为本次采购项目应当包含的基本商务参数；</w:t>
            </w:r>
          </w:p>
        </w:tc>
        <w:tc>
          <w:tcPr>
            <w:tcW w:w="21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不应将自身具有核心竞争力的商务参数填入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highlight w:val="none"/>
              </w:rPr>
            </w:pPr>
          </w:p>
        </w:tc>
        <w:tc>
          <w:tcPr>
            <w:tcW w:w="1143" w:type="dxa"/>
            <w:vMerge w:val="continue"/>
          </w:tcPr>
          <w:p>
            <w:pPr>
              <w:rPr>
                <w:rFonts w:hint="eastAsia" w:ascii="宋体" w:hAnsi="宋体" w:eastAsia="宋体" w:cs="宋体"/>
                <w:sz w:val="21"/>
                <w:szCs w:val="21"/>
                <w:highlight w:val="none"/>
              </w:rPr>
            </w:pPr>
          </w:p>
        </w:tc>
        <w:tc>
          <w:tcPr>
            <w:tcW w:w="2401" w:type="dxa"/>
            <w:vMerge w:val="continue"/>
          </w:tcPr>
          <w:p>
            <w:pPr>
              <w:rPr>
                <w:rFonts w:hint="eastAsia" w:ascii="宋体" w:hAnsi="宋体" w:eastAsia="宋体" w:cs="宋体"/>
                <w:sz w:val="21"/>
                <w:szCs w:val="21"/>
                <w:highlight w:val="none"/>
              </w:rPr>
            </w:pPr>
          </w:p>
        </w:tc>
        <w:tc>
          <w:tcPr>
            <w:tcW w:w="3402" w:type="dxa"/>
          </w:tcPr>
          <w:p>
            <w:pPr>
              <w:pStyle w:val="30"/>
              <w:numPr>
                <w:ilvl w:val="0"/>
                <w:numId w:val="29"/>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拟参与后期竞争时，供应商认为其提供的货物（服务）具备核心竞争力的商务参数；</w:t>
            </w:r>
          </w:p>
        </w:tc>
        <w:tc>
          <w:tcPr>
            <w:tcW w:w="21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即后期认为应当作为实质性要求的商务参数，货物项目包括保修年限、耗材提供等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continue"/>
          </w:tcPr>
          <w:p>
            <w:pPr>
              <w:rPr>
                <w:rFonts w:hint="eastAsia" w:ascii="宋体" w:hAnsi="宋体" w:eastAsia="宋体" w:cs="宋体"/>
                <w:sz w:val="21"/>
                <w:szCs w:val="21"/>
                <w:highlight w:val="none"/>
              </w:rPr>
            </w:pPr>
          </w:p>
        </w:tc>
        <w:tc>
          <w:tcPr>
            <w:tcW w:w="1143" w:type="dxa"/>
            <w:vMerge w:val="continue"/>
          </w:tcPr>
          <w:p>
            <w:pPr>
              <w:rPr>
                <w:rFonts w:hint="eastAsia" w:ascii="宋体" w:hAnsi="宋体" w:eastAsia="宋体" w:cs="宋体"/>
                <w:sz w:val="21"/>
                <w:szCs w:val="21"/>
                <w:highlight w:val="none"/>
              </w:rPr>
            </w:pPr>
          </w:p>
        </w:tc>
        <w:tc>
          <w:tcPr>
            <w:tcW w:w="2401" w:type="dxa"/>
            <w:vMerge w:val="restart"/>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根据本项目需要达到的绩效，后期采购时可以不需要包含的商务需求</w:t>
            </w:r>
          </w:p>
        </w:tc>
        <w:tc>
          <w:tcPr>
            <w:tcW w:w="3402" w:type="dxa"/>
          </w:tcPr>
          <w:p>
            <w:pPr>
              <w:pStyle w:val="30"/>
              <w:numPr>
                <w:ilvl w:val="0"/>
                <w:numId w:val="30"/>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供应商以列举的方式，认为其他供应商在商务需求制定过程中会作为实质性要求的商务参数。</w:t>
            </w:r>
          </w:p>
        </w:tc>
        <w:tc>
          <w:tcPr>
            <w:tcW w:w="21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highlight w:val="none"/>
              </w:rPr>
            </w:pPr>
          </w:p>
        </w:tc>
        <w:tc>
          <w:tcPr>
            <w:tcW w:w="1143" w:type="dxa"/>
            <w:vMerge w:val="continue"/>
          </w:tcPr>
          <w:p>
            <w:pPr>
              <w:rPr>
                <w:rFonts w:hint="eastAsia" w:ascii="宋体" w:hAnsi="宋体" w:eastAsia="宋体" w:cs="宋体"/>
                <w:sz w:val="21"/>
                <w:szCs w:val="21"/>
                <w:highlight w:val="none"/>
              </w:rPr>
            </w:pPr>
          </w:p>
        </w:tc>
        <w:tc>
          <w:tcPr>
            <w:tcW w:w="2401" w:type="dxa"/>
            <w:vMerge w:val="continue"/>
          </w:tcPr>
          <w:p>
            <w:pPr>
              <w:rPr>
                <w:rFonts w:hint="eastAsia" w:ascii="宋体" w:hAnsi="宋体" w:eastAsia="宋体" w:cs="宋体"/>
                <w:sz w:val="21"/>
                <w:szCs w:val="21"/>
                <w:highlight w:val="none"/>
              </w:rPr>
            </w:pPr>
          </w:p>
        </w:tc>
        <w:tc>
          <w:tcPr>
            <w:tcW w:w="3402" w:type="dxa"/>
          </w:tcPr>
          <w:p>
            <w:pPr>
              <w:pStyle w:val="30"/>
              <w:numPr>
                <w:ilvl w:val="0"/>
                <w:numId w:val="31"/>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供应商认为需要特别说明的内容。</w:t>
            </w:r>
          </w:p>
        </w:tc>
        <w:tc>
          <w:tcPr>
            <w:tcW w:w="21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从有利于采购人的角度，对采购项目对采购人提出的建议和意见。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143" w:type="dxa"/>
            <w:vMerge w:val="restar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w:t>
            </w:r>
          </w:p>
        </w:tc>
        <w:tc>
          <w:tcPr>
            <w:tcW w:w="2401" w:type="dxa"/>
            <w:vMerge w:val="restar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供应商根据过往参与的同类采购项目，对评审因素的设定提出建议和意见</w:t>
            </w:r>
          </w:p>
        </w:tc>
        <w:tc>
          <w:tcPr>
            <w:tcW w:w="3402" w:type="dxa"/>
          </w:tcPr>
          <w:p>
            <w:pPr>
              <w:pStyle w:val="30"/>
              <w:numPr>
                <w:ilvl w:val="0"/>
                <w:numId w:val="32"/>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本项目在后期评审因素制定时，哪些因素应当重点考虑？</w:t>
            </w:r>
          </w:p>
        </w:tc>
        <w:tc>
          <w:tcPr>
            <w:tcW w:w="2101"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highlight w:val="none"/>
              </w:rPr>
            </w:pPr>
          </w:p>
        </w:tc>
        <w:tc>
          <w:tcPr>
            <w:tcW w:w="1143" w:type="dxa"/>
            <w:vMerge w:val="continue"/>
            <w:vAlign w:val="center"/>
          </w:tcPr>
          <w:p>
            <w:pPr>
              <w:rPr>
                <w:rFonts w:hint="eastAsia" w:ascii="宋体" w:hAnsi="宋体" w:eastAsia="宋体" w:cs="宋体"/>
                <w:sz w:val="21"/>
                <w:szCs w:val="21"/>
                <w:highlight w:val="none"/>
              </w:rPr>
            </w:pPr>
          </w:p>
        </w:tc>
        <w:tc>
          <w:tcPr>
            <w:tcW w:w="2401" w:type="dxa"/>
            <w:vMerge w:val="continue"/>
            <w:vAlign w:val="center"/>
          </w:tcPr>
          <w:p>
            <w:pPr>
              <w:rPr>
                <w:rFonts w:hint="eastAsia" w:ascii="宋体" w:hAnsi="宋体" w:eastAsia="宋体" w:cs="宋体"/>
                <w:sz w:val="21"/>
                <w:szCs w:val="21"/>
                <w:highlight w:val="none"/>
              </w:rPr>
            </w:pPr>
          </w:p>
        </w:tc>
        <w:tc>
          <w:tcPr>
            <w:tcW w:w="3402" w:type="dxa"/>
          </w:tcPr>
          <w:p>
            <w:pPr>
              <w:pStyle w:val="30"/>
              <w:numPr>
                <w:ilvl w:val="0"/>
                <w:numId w:val="32"/>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本项目在后期评审因素制定时，哪些因素不应当重点考虑？</w:t>
            </w:r>
          </w:p>
        </w:tc>
        <w:tc>
          <w:tcPr>
            <w:tcW w:w="21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供应商结合过往参与的同类采购项目存在的不合理情形，列举方式逐项列举。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143"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预算与最高限价</w:t>
            </w:r>
          </w:p>
        </w:tc>
        <w:tc>
          <w:tcPr>
            <w:tcW w:w="2401"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根据本项目的预算提供相关的建议和意见</w:t>
            </w:r>
          </w:p>
        </w:tc>
        <w:tc>
          <w:tcPr>
            <w:tcW w:w="3402" w:type="dxa"/>
          </w:tcPr>
          <w:p>
            <w:pPr>
              <w:pStyle w:val="30"/>
              <w:numPr>
                <w:ilvl w:val="0"/>
                <w:numId w:val="33"/>
              </w:numPr>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本项目提供的征集需求中，技术参数、商务参数对应的最高限价应当设定为多少较为合理？</w:t>
            </w:r>
          </w:p>
        </w:tc>
        <w:tc>
          <w:tcPr>
            <w:tcW w:w="210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供应商在说明的同时，最好提供相关依据，包括过往合同、各地的政府采购网上的中标（成交）结果公告链接，或者合同。</w:t>
            </w:r>
          </w:p>
        </w:tc>
      </w:tr>
    </w:tbl>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r>
        <w:rPr>
          <w:rFonts w:hint="eastAsia" w:ascii="宋体" w:hAnsi="宋体" w:eastAsia="宋体" w:cs="宋体"/>
          <w:sz w:val="21"/>
          <w:szCs w:val="21"/>
          <w:highlight w:val="none"/>
        </w:rPr>
        <w:t>6.“负面清单”制作参考格式（供应商可以自行调整）</w:t>
      </w:r>
    </w:p>
    <w:tbl>
      <w:tblPr>
        <w:tblStyle w:val="21"/>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所属部分</w:t>
            </w: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4826" w:type="dxa"/>
          </w:tcPr>
          <w:p>
            <w:pPr>
              <w:rPr>
                <w:rFonts w:hint="eastAsia" w:ascii="宋体" w:hAnsi="宋体" w:eastAsia="宋体" w:cs="宋体"/>
                <w:sz w:val="21"/>
                <w:szCs w:val="21"/>
                <w:highlight w:val="none"/>
              </w:rPr>
            </w:pPr>
            <w:r>
              <w:rPr>
                <w:rFonts w:hint="eastAsia" w:ascii="宋体" w:hAnsi="宋体" w:eastAsia="宋体" w:cs="宋体"/>
                <w:color w:val="FF0000"/>
                <w:sz w:val="21"/>
                <w:szCs w:val="21"/>
                <w:highlight w:val="none"/>
              </w:rPr>
              <w:t>供应商结合过往经验，认为《基本要求》存在歧视、排他等条款，或者后期招标采购时不应作为技术、商务或评审因素的内容。</w:t>
            </w:r>
          </w:p>
        </w:tc>
        <w:tc>
          <w:tcPr>
            <w:tcW w:w="236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修改建议或意见</w:t>
            </w:r>
          </w:p>
        </w:tc>
        <w:tc>
          <w:tcPr>
            <w:tcW w:w="1034"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资格条件</w:t>
            </w: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技术要求</w:t>
            </w: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restart"/>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商务要求</w:t>
            </w: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评审规则</w:t>
            </w: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restart"/>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预算或最高限价制定</w:t>
            </w: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合同条款</w:t>
            </w: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restart"/>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其他（如有）</w:t>
            </w: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highlight w:val="none"/>
              </w:rPr>
            </w:pPr>
          </w:p>
        </w:tc>
        <w:tc>
          <w:tcPr>
            <w:tcW w:w="813"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4826" w:type="dxa"/>
          </w:tcPr>
          <w:p>
            <w:pPr>
              <w:rPr>
                <w:rFonts w:hint="eastAsia" w:ascii="宋体" w:hAnsi="宋体" w:eastAsia="宋体" w:cs="宋体"/>
                <w:sz w:val="21"/>
                <w:szCs w:val="21"/>
                <w:highlight w:val="none"/>
              </w:rPr>
            </w:pPr>
          </w:p>
        </w:tc>
        <w:tc>
          <w:tcPr>
            <w:tcW w:w="2361" w:type="dxa"/>
          </w:tcPr>
          <w:p>
            <w:pPr>
              <w:rPr>
                <w:rFonts w:hint="eastAsia" w:ascii="宋体" w:hAnsi="宋体" w:eastAsia="宋体" w:cs="宋体"/>
                <w:sz w:val="21"/>
                <w:szCs w:val="21"/>
                <w:highlight w:val="none"/>
              </w:rPr>
            </w:pPr>
          </w:p>
        </w:tc>
        <w:tc>
          <w:tcPr>
            <w:tcW w:w="1034" w:type="dxa"/>
          </w:tcPr>
          <w:p>
            <w:pPr>
              <w:rPr>
                <w:rFonts w:hint="eastAsia" w:ascii="宋体" w:hAnsi="宋体" w:eastAsia="宋体" w:cs="宋体"/>
                <w:sz w:val="21"/>
                <w:szCs w:val="21"/>
                <w:highlight w:val="none"/>
              </w:rPr>
            </w:pPr>
          </w:p>
        </w:tc>
      </w:tr>
    </w:tbl>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供应商（加盖公章）：</w:t>
      </w:r>
    </w:p>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202</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w:t>
      </w:r>
    </w:p>
    <w:p>
      <w:pPr>
        <w:widowControl/>
        <w:jc w:val="left"/>
        <w:rPr>
          <w:rFonts w:hint="eastAsia" w:ascii="宋体" w:hAnsi="宋体" w:eastAsia="宋体" w:cs="宋体"/>
          <w:sz w:val="21"/>
          <w:szCs w:val="21"/>
          <w:highlight w:val="none"/>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ind w:left="425" w:hanging="425"/>
      </w:pPr>
      <w:rPr>
        <w:rFonts w:hint="default"/>
      </w:rPr>
    </w:lvl>
  </w:abstractNum>
  <w:abstractNum w:abstractNumId="1">
    <w:nsid w:val="00000004"/>
    <w:multiLevelType w:val="singleLevel"/>
    <w:tmpl w:val="00000004"/>
    <w:lvl w:ilvl="0" w:tentative="0">
      <w:start w:val="1"/>
      <w:numFmt w:val="bullet"/>
      <w:lvlText w:val=""/>
      <w:lvlJc w:val="left"/>
      <w:pPr>
        <w:ind w:left="420" w:hanging="420"/>
      </w:pPr>
      <w:rPr>
        <w:rFonts w:hint="default" w:ascii="Wingdings" w:hAnsi="Wingdings"/>
      </w:rPr>
    </w:lvl>
  </w:abstractNum>
  <w:abstractNum w:abstractNumId="2">
    <w:nsid w:val="00000005"/>
    <w:multiLevelType w:val="singleLevel"/>
    <w:tmpl w:val="00000005"/>
    <w:lvl w:ilvl="0" w:tentative="0">
      <w:start w:val="1"/>
      <w:numFmt w:val="decimal"/>
      <w:lvlText w:val="%1."/>
      <w:lvlJc w:val="left"/>
      <w:pPr>
        <w:ind w:left="425" w:hanging="425"/>
      </w:pPr>
      <w:rPr>
        <w:rFonts w:hint="default"/>
      </w:rPr>
    </w:lvl>
  </w:abstractNum>
  <w:abstractNum w:abstractNumId="3">
    <w:nsid w:val="00000009"/>
    <w:multiLevelType w:val="singleLevel"/>
    <w:tmpl w:val="00000009"/>
    <w:lvl w:ilvl="0" w:tentative="0">
      <w:start w:val="1"/>
      <w:numFmt w:val="decimal"/>
      <w:lvlText w:val="%1."/>
      <w:lvlJc w:val="left"/>
      <w:pPr>
        <w:ind w:left="425" w:hanging="425"/>
      </w:pPr>
      <w:rPr>
        <w:rFonts w:hint="default"/>
      </w:rPr>
    </w:lvl>
  </w:abstractNum>
  <w:abstractNum w:abstractNumId="4">
    <w:nsid w:val="0000000C"/>
    <w:multiLevelType w:val="singleLevel"/>
    <w:tmpl w:val="0000000C"/>
    <w:lvl w:ilvl="0" w:tentative="0">
      <w:start w:val="1"/>
      <w:numFmt w:val="chineseCounting"/>
      <w:pStyle w:val="64"/>
      <w:suff w:val="nothing"/>
      <w:lvlText w:val="（%1）"/>
      <w:lvlJc w:val="left"/>
      <w:pPr>
        <w:ind w:left="420"/>
      </w:pPr>
      <w:rPr>
        <w:rFonts w:hint="eastAsia"/>
      </w:rPr>
    </w:lvl>
  </w:abstractNum>
  <w:abstractNum w:abstractNumId="5">
    <w:nsid w:val="0000000D"/>
    <w:multiLevelType w:val="singleLevel"/>
    <w:tmpl w:val="0000000D"/>
    <w:lvl w:ilvl="0" w:tentative="0">
      <w:start w:val="1"/>
      <w:numFmt w:val="decimal"/>
      <w:lvlText w:val="(%1)"/>
      <w:lvlJc w:val="left"/>
      <w:pPr>
        <w:tabs>
          <w:tab w:val="left" w:pos="420"/>
        </w:tabs>
        <w:ind w:left="845" w:hanging="425"/>
      </w:pPr>
      <w:rPr>
        <w:rFonts w:hint="default"/>
      </w:rPr>
    </w:lvl>
  </w:abstractNum>
  <w:abstractNum w:abstractNumId="6">
    <w:nsid w:val="0000000E"/>
    <w:multiLevelType w:val="singleLevel"/>
    <w:tmpl w:val="0000000E"/>
    <w:lvl w:ilvl="0" w:tentative="0">
      <w:start w:val="1"/>
      <w:numFmt w:val="decimal"/>
      <w:lvlText w:val="%1."/>
      <w:lvlJc w:val="left"/>
      <w:pPr>
        <w:ind w:left="425" w:hanging="425"/>
      </w:pPr>
      <w:rPr>
        <w:rFonts w:hint="default"/>
      </w:rPr>
    </w:lvl>
  </w:abstractNum>
  <w:abstractNum w:abstractNumId="7">
    <w:nsid w:val="0000000F"/>
    <w:multiLevelType w:val="singleLevel"/>
    <w:tmpl w:val="0000000F"/>
    <w:lvl w:ilvl="0" w:tentative="0">
      <w:start w:val="1"/>
      <w:numFmt w:val="bullet"/>
      <w:lvlText w:val=""/>
      <w:lvlJc w:val="left"/>
      <w:pPr>
        <w:ind w:left="420" w:hanging="420"/>
      </w:pPr>
      <w:rPr>
        <w:rFonts w:hint="default" w:ascii="Wingdings" w:hAnsi="Wingdings"/>
      </w:rPr>
    </w:lvl>
  </w:abstractNum>
  <w:abstractNum w:abstractNumId="8">
    <w:nsid w:val="00000015"/>
    <w:multiLevelType w:val="singleLevel"/>
    <w:tmpl w:val="00000015"/>
    <w:lvl w:ilvl="0" w:tentative="0">
      <w:start w:val="1"/>
      <w:numFmt w:val="bullet"/>
      <w:lvlText w:val=""/>
      <w:lvlJc w:val="left"/>
      <w:pPr>
        <w:tabs>
          <w:tab w:val="left" w:pos="420"/>
        </w:tabs>
        <w:ind w:left="840" w:hanging="420"/>
      </w:pPr>
      <w:rPr>
        <w:rFonts w:hint="default" w:ascii="Wingdings" w:hAnsi="Wingdings"/>
      </w:rPr>
    </w:lvl>
  </w:abstractNum>
  <w:abstractNum w:abstractNumId="9">
    <w:nsid w:val="00000016"/>
    <w:multiLevelType w:val="singleLevel"/>
    <w:tmpl w:val="00000016"/>
    <w:lvl w:ilvl="0" w:tentative="0">
      <w:start w:val="1"/>
      <w:numFmt w:val="decimal"/>
      <w:lvlText w:val="(%1)"/>
      <w:lvlJc w:val="left"/>
      <w:pPr>
        <w:tabs>
          <w:tab w:val="left" w:pos="420"/>
        </w:tabs>
        <w:ind w:left="845" w:hanging="425"/>
      </w:pPr>
      <w:rPr>
        <w:rFonts w:hint="default"/>
      </w:rPr>
    </w:lvl>
  </w:abstractNum>
  <w:abstractNum w:abstractNumId="10">
    <w:nsid w:val="00000017"/>
    <w:multiLevelType w:val="singleLevel"/>
    <w:tmpl w:val="00000017"/>
    <w:lvl w:ilvl="0" w:tentative="0">
      <w:start w:val="1"/>
      <w:numFmt w:val="decimal"/>
      <w:lvlText w:val="%1."/>
      <w:lvlJc w:val="left"/>
      <w:pPr>
        <w:ind w:left="425" w:hanging="425"/>
      </w:pPr>
      <w:rPr>
        <w:rFonts w:hint="default"/>
      </w:rPr>
    </w:lvl>
  </w:abstractNum>
  <w:abstractNum w:abstractNumId="11">
    <w:nsid w:val="00000018"/>
    <w:multiLevelType w:val="singleLevel"/>
    <w:tmpl w:val="00000018"/>
    <w:lvl w:ilvl="0" w:tentative="0">
      <w:start w:val="1"/>
      <w:numFmt w:val="decimal"/>
      <w:lvlText w:val="%1."/>
      <w:lvlJc w:val="left"/>
      <w:pPr>
        <w:ind w:left="425" w:hanging="425"/>
      </w:pPr>
      <w:rPr>
        <w:rFonts w:hint="default"/>
      </w:rPr>
    </w:lvl>
  </w:abstractNum>
  <w:abstractNum w:abstractNumId="12">
    <w:nsid w:val="00000019"/>
    <w:multiLevelType w:val="singleLevel"/>
    <w:tmpl w:val="00000019"/>
    <w:lvl w:ilvl="0" w:tentative="0">
      <w:start w:val="1"/>
      <w:numFmt w:val="bullet"/>
      <w:lvlText w:val=""/>
      <w:lvlJc w:val="left"/>
      <w:pPr>
        <w:tabs>
          <w:tab w:val="left" w:pos="420"/>
        </w:tabs>
        <w:ind w:left="840" w:hanging="420"/>
      </w:pPr>
      <w:rPr>
        <w:rFonts w:hint="default" w:ascii="Wingdings" w:hAnsi="Wingdings"/>
      </w:rPr>
    </w:lvl>
  </w:abstractNum>
  <w:abstractNum w:abstractNumId="13">
    <w:nsid w:val="0000001B"/>
    <w:multiLevelType w:val="singleLevel"/>
    <w:tmpl w:val="0000001B"/>
    <w:lvl w:ilvl="0" w:tentative="0">
      <w:start w:val="1"/>
      <w:numFmt w:val="decimal"/>
      <w:lvlText w:val="%1."/>
      <w:lvlJc w:val="left"/>
      <w:pPr>
        <w:ind w:left="425" w:hanging="425"/>
      </w:pPr>
      <w:rPr>
        <w:rFonts w:hint="default"/>
      </w:rPr>
    </w:lvl>
  </w:abstractNum>
  <w:abstractNum w:abstractNumId="14">
    <w:nsid w:val="0000001C"/>
    <w:multiLevelType w:val="singleLevel"/>
    <w:tmpl w:val="0000001C"/>
    <w:lvl w:ilvl="0" w:tentative="0">
      <w:start w:val="1"/>
      <w:numFmt w:val="decimal"/>
      <w:lvlText w:val="%1."/>
      <w:lvlJc w:val="left"/>
      <w:pPr>
        <w:ind w:left="425" w:hanging="425"/>
      </w:pPr>
      <w:rPr>
        <w:rFonts w:hint="default"/>
      </w:rPr>
    </w:lvl>
  </w:abstractNum>
  <w:abstractNum w:abstractNumId="15">
    <w:nsid w:val="00EB6366"/>
    <w:multiLevelType w:val="multilevel"/>
    <w:tmpl w:val="00EB63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69E08EC"/>
    <w:multiLevelType w:val="multilevel"/>
    <w:tmpl w:val="069E08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F285DBA"/>
    <w:multiLevelType w:val="multilevel"/>
    <w:tmpl w:val="2F285D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288C6B2"/>
    <w:multiLevelType w:val="singleLevel"/>
    <w:tmpl w:val="3288C6B2"/>
    <w:lvl w:ilvl="0" w:tentative="0">
      <w:start w:val="1"/>
      <w:numFmt w:val="chineseCounting"/>
      <w:suff w:val="nothing"/>
      <w:lvlText w:val="%1、"/>
      <w:lvlJc w:val="left"/>
      <w:rPr>
        <w:rFonts w:hint="eastAsia"/>
      </w:rPr>
    </w:lvl>
  </w:abstractNum>
  <w:abstractNum w:abstractNumId="22">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7434685"/>
    <w:multiLevelType w:val="multilevel"/>
    <w:tmpl w:val="374346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D270448"/>
    <w:multiLevelType w:val="multilevel"/>
    <w:tmpl w:val="4D270448"/>
    <w:lvl w:ilvl="0" w:tentative="0">
      <w:start w:val="1"/>
      <w:numFmt w:val="chineseCountingThousand"/>
      <w:lvlText w:val="%1、"/>
      <w:lvlJc w:val="left"/>
      <w:pPr>
        <w:tabs>
          <w:tab w:val="left" w:pos="432"/>
        </w:tabs>
        <w:ind w:left="432" w:hanging="432"/>
      </w:pPr>
      <w:rPr>
        <w:rFonts w:hint="eastAsia" w:ascii="Arial" w:hAnsi="Arial" w:cs="Arial"/>
        <w:sz w:val="32"/>
        <w:szCs w:val="32"/>
      </w:rPr>
    </w:lvl>
    <w:lvl w:ilvl="1" w:tentative="0">
      <w:start w:val="1"/>
      <w:numFmt w:val="decimal"/>
      <w:isLgl/>
      <w:lvlText w:val="%1.%2"/>
      <w:lvlJc w:val="left"/>
      <w:pPr>
        <w:tabs>
          <w:tab w:val="left" w:pos="576"/>
        </w:tabs>
        <w:ind w:left="576" w:hanging="576"/>
      </w:pPr>
      <w:rPr>
        <w:rFonts w:hint="default" w:ascii="Arial" w:hAnsi="Arial" w:cs="Arial"/>
      </w:rPr>
    </w:lvl>
    <w:lvl w:ilvl="2" w:tentative="0">
      <w:start w:val="1"/>
      <w:numFmt w:val="decimal"/>
      <w:isLgl/>
      <w:lvlText w:val="%1.%2.%3"/>
      <w:lvlJc w:val="left"/>
      <w:pPr>
        <w:tabs>
          <w:tab w:val="left" w:pos="720"/>
        </w:tabs>
        <w:ind w:left="720" w:hanging="720"/>
      </w:pPr>
      <w:rPr>
        <w:rFonts w:hint="default" w:ascii="Arial" w:hAnsi="Arial" w:cs="Arial"/>
      </w:rPr>
    </w:lvl>
    <w:lvl w:ilvl="3" w:tentative="0">
      <w:start w:val="1"/>
      <w:numFmt w:val="decimal"/>
      <w:pStyle w:val="5"/>
      <w:isLgl/>
      <w:lvlText w:val="%1.%2.%3.%4"/>
      <w:lvlJc w:val="left"/>
      <w:pPr>
        <w:tabs>
          <w:tab w:val="left" w:pos="864"/>
        </w:tabs>
        <w:ind w:left="864" w:hanging="864"/>
      </w:pPr>
      <w:rPr>
        <w:rFonts w:hint="default" w:ascii="Arial" w:hAnsi="Arial" w:cs="Arial"/>
      </w:rPr>
    </w:lvl>
    <w:lvl w:ilvl="4" w:tentative="0">
      <w:start w:val="1"/>
      <w:numFmt w:val="decimal"/>
      <w:isLgl/>
      <w:lvlText w:val="%1.%2.%3.%4.%5"/>
      <w:lvlJc w:val="left"/>
      <w:pPr>
        <w:tabs>
          <w:tab w:val="left" w:pos="1008"/>
        </w:tabs>
        <w:ind w:left="1008" w:hanging="1008"/>
      </w:pPr>
      <w:rPr>
        <w:rFonts w:hint="default" w:ascii="Arial" w:hAnsi="Arial" w:cs="Arial"/>
      </w:rPr>
    </w:lvl>
    <w:lvl w:ilvl="5" w:tentative="0">
      <w:start w:val="1"/>
      <w:numFmt w:val="decimal"/>
      <w:isLgl/>
      <w:lvlText w:val="%1.%2.%3.%4.%5.%6"/>
      <w:lvlJc w:val="left"/>
      <w:pPr>
        <w:tabs>
          <w:tab w:val="left" w:pos="1152"/>
        </w:tabs>
        <w:ind w:left="1152" w:hanging="1152"/>
      </w:pPr>
      <w:rPr>
        <w:rFonts w:hint="default" w:ascii="Arial" w:hAnsi="Arial" w:cs="Arial"/>
      </w:rPr>
    </w:lvl>
    <w:lvl w:ilvl="6" w:tentative="0">
      <w:start w:val="1"/>
      <w:numFmt w:val="decimal"/>
      <w:isLgl/>
      <w:lvlText w:val="%1.%2.%3.%4.%5.%6.%7"/>
      <w:lvlJc w:val="left"/>
      <w:pPr>
        <w:tabs>
          <w:tab w:val="left" w:pos="1296"/>
        </w:tabs>
        <w:ind w:left="1296" w:hanging="1296"/>
      </w:pPr>
      <w:rPr>
        <w:rFonts w:hint="default" w:ascii="Arial" w:hAnsi="Arial" w:cs="Arial"/>
      </w:rPr>
    </w:lvl>
    <w:lvl w:ilvl="7" w:tentative="0">
      <w:start w:val="1"/>
      <w:numFmt w:val="decimal"/>
      <w:isLgl/>
      <w:lvlText w:val="%1.%2.%3.%4.%5.%6.%7.%8"/>
      <w:lvlJc w:val="left"/>
      <w:pPr>
        <w:tabs>
          <w:tab w:val="left" w:pos="1440"/>
        </w:tabs>
        <w:ind w:left="1440" w:hanging="1440"/>
      </w:pPr>
      <w:rPr>
        <w:rFonts w:hint="default" w:ascii="Arial" w:hAnsi="Arial" w:cs="Arial"/>
      </w:rPr>
    </w:lvl>
    <w:lvl w:ilvl="8" w:tentative="0">
      <w:start w:val="1"/>
      <w:numFmt w:val="decimal"/>
      <w:isLgl/>
      <w:lvlText w:val="%1.%2.%3.%4.%5.%6.%7.%8.%9"/>
      <w:lvlJc w:val="left"/>
      <w:pPr>
        <w:tabs>
          <w:tab w:val="left" w:pos="1584"/>
        </w:tabs>
        <w:ind w:left="1584" w:hanging="1584"/>
      </w:pPr>
      <w:rPr>
        <w:rFonts w:hint="default" w:ascii="Arial" w:hAnsi="Arial" w:cs="Arial"/>
      </w:rPr>
    </w:lvl>
  </w:abstractNum>
  <w:abstractNum w:abstractNumId="27">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55971DE"/>
    <w:multiLevelType w:val="multilevel"/>
    <w:tmpl w:val="555971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3D35B53"/>
    <w:multiLevelType w:val="multilevel"/>
    <w:tmpl w:val="63D35B53"/>
    <w:lvl w:ilvl="0" w:tentative="0">
      <w:start w:val="1"/>
      <w:numFmt w:val="decimal"/>
      <w:pStyle w:val="52"/>
      <w:lvlText w:val="%1."/>
      <w:lvlJc w:val="left"/>
      <w:pPr>
        <w:ind w:left="440" w:hanging="440"/>
      </w:pPr>
      <w:rPr>
        <w:rFonts w:hint="eastAsia"/>
      </w:rPr>
    </w:lvl>
    <w:lvl w:ilvl="1" w:tentative="0">
      <w:start w:val="1"/>
      <w:numFmt w:val="decimal"/>
      <w:pStyle w:val="53"/>
      <w:isLgl/>
      <w:suff w:val="space"/>
      <w:lvlText w:val="%1.%2"/>
      <w:lvlJc w:val="left"/>
      <w:pPr>
        <w:ind w:left="0" w:firstLine="0"/>
      </w:pPr>
      <w:rPr>
        <w:sz w:val="30"/>
        <w:szCs w:val="30"/>
      </w:rPr>
    </w:lvl>
    <w:lvl w:ilvl="2" w:tentative="0">
      <w:start w:val="1"/>
      <w:numFmt w:val="decimal"/>
      <w:pStyle w:val="54"/>
      <w:isLgl/>
      <w:suff w:val="space"/>
      <w:lvlText w:val="%1.%2.%3"/>
      <w:lvlJc w:val="left"/>
      <w:pPr>
        <w:ind w:left="0" w:firstLine="0"/>
      </w:pPr>
    </w:lvl>
    <w:lvl w:ilvl="3" w:tentative="0">
      <w:start w:val="1"/>
      <w:numFmt w:val="decimal"/>
      <w:pStyle w:val="55"/>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isLg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1.%2.%3.%4.%5.%6.%7.%8"/>
      <w:lvlJc w:val="left"/>
      <w:pPr>
        <w:ind w:left="0" w:firstLine="0"/>
      </w:pPr>
    </w:lvl>
    <w:lvl w:ilvl="8" w:tentative="0">
      <w:start w:val="1"/>
      <w:numFmt w:val="decimal"/>
      <w:suff w:val="nothing"/>
      <w:lvlText w:val="%1.%2.%3.%4.%5.%6.%7.%8.%9"/>
      <w:lvlJc w:val="left"/>
      <w:pPr>
        <w:ind w:left="0" w:firstLine="0"/>
      </w:pPr>
    </w:lvl>
  </w:abstractNum>
  <w:abstractNum w:abstractNumId="30">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6CA0DCA"/>
    <w:multiLevelType w:val="multilevel"/>
    <w:tmpl w:val="66CA0DCA"/>
    <w:lvl w:ilvl="0" w:tentative="0">
      <w:start w:val="1"/>
      <w:numFmt w:val="bullet"/>
      <w:pStyle w:val="4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32">
    <w:nsid w:val="795C1F42"/>
    <w:multiLevelType w:val="multilevel"/>
    <w:tmpl w:val="795C1F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6"/>
  </w:num>
  <w:num w:numId="2">
    <w:abstractNumId w:val="31"/>
  </w:num>
  <w:num w:numId="3">
    <w:abstractNumId w:val="29"/>
  </w:num>
  <w:num w:numId="4">
    <w:abstractNumId w:val="4"/>
  </w:num>
  <w:num w:numId="5">
    <w:abstractNumId w:val="21"/>
  </w:num>
  <w:num w:numId="6">
    <w:abstractNumId w:val="8"/>
  </w:num>
  <w:num w:numId="7">
    <w:abstractNumId w:val="3"/>
  </w:num>
  <w:num w:numId="8">
    <w:abstractNumId w:val="9"/>
  </w:num>
  <w:num w:numId="9">
    <w:abstractNumId w:val="5"/>
  </w:num>
  <w:num w:numId="10">
    <w:abstractNumId w:val="11"/>
  </w:num>
  <w:num w:numId="11">
    <w:abstractNumId w:val="7"/>
  </w:num>
  <w:num w:numId="12">
    <w:abstractNumId w:val="1"/>
  </w:num>
  <w:num w:numId="13">
    <w:abstractNumId w:val="12"/>
  </w:num>
  <w:num w:numId="14">
    <w:abstractNumId w:val="2"/>
  </w:num>
  <w:num w:numId="15">
    <w:abstractNumId w:val="14"/>
  </w:num>
  <w:num w:numId="16">
    <w:abstractNumId w:val="6"/>
  </w:num>
  <w:num w:numId="17">
    <w:abstractNumId w:val="13"/>
  </w:num>
  <w:num w:numId="18">
    <w:abstractNumId w:val="10"/>
  </w:num>
  <w:num w:numId="19">
    <w:abstractNumId w:val="0"/>
  </w:num>
  <w:num w:numId="20">
    <w:abstractNumId w:val="22"/>
  </w:num>
  <w:num w:numId="21">
    <w:abstractNumId w:val="25"/>
  </w:num>
  <w:num w:numId="22">
    <w:abstractNumId w:val="18"/>
  </w:num>
  <w:num w:numId="23">
    <w:abstractNumId w:val="16"/>
  </w:num>
  <w:num w:numId="24">
    <w:abstractNumId w:val="28"/>
  </w:num>
  <w:num w:numId="25">
    <w:abstractNumId w:val="24"/>
  </w:num>
  <w:num w:numId="26">
    <w:abstractNumId w:val="19"/>
  </w:num>
  <w:num w:numId="27">
    <w:abstractNumId w:val="32"/>
  </w:num>
  <w:num w:numId="28">
    <w:abstractNumId w:val="23"/>
  </w:num>
  <w:num w:numId="29">
    <w:abstractNumId w:val="20"/>
  </w:num>
  <w:num w:numId="30">
    <w:abstractNumId w:val="27"/>
  </w:num>
  <w:num w:numId="31">
    <w:abstractNumId w:val="15"/>
  </w:num>
  <w:num w:numId="32">
    <w:abstractNumId w:val="3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73CD8"/>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07A62D33"/>
    <w:rsid w:val="1BD96055"/>
    <w:rsid w:val="1CC93305"/>
    <w:rsid w:val="218D6CBD"/>
    <w:rsid w:val="23D87429"/>
    <w:rsid w:val="26BC664B"/>
    <w:rsid w:val="29E028A9"/>
    <w:rsid w:val="2A793775"/>
    <w:rsid w:val="3640556A"/>
    <w:rsid w:val="3ED94930"/>
    <w:rsid w:val="4266250F"/>
    <w:rsid w:val="47B46B00"/>
    <w:rsid w:val="4BD751C5"/>
    <w:rsid w:val="4C1409FD"/>
    <w:rsid w:val="4D3B71C7"/>
    <w:rsid w:val="60835224"/>
    <w:rsid w:val="6BAA3311"/>
    <w:rsid w:val="7837720C"/>
    <w:rsid w:val="7994087A"/>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9"/>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paragraph" w:styleId="5">
    <w:name w:val="heading 4"/>
    <w:basedOn w:val="1"/>
    <w:next w:val="1"/>
    <w:qFormat/>
    <w:uiPriority w:val="0"/>
    <w:pPr>
      <w:keepNext/>
      <w:keepLines/>
      <w:numPr>
        <w:ilvl w:val="3"/>
        <w:numId w:val="1"/>
      </w:numPr>
      <w:spacing w:before="156" w:beforeLines="50" w:after="156" w:afterLines="50" w:line="376" w:lineRule="auto"/>
      <w:outlineLvl w:val="3"/>
    </w:pPr>
    <w:rPr>
      <w:rFonts w:ascii="宋体" w:hAnsi="宋体" w:eastAsia="仿宋" w:cs="Times New Roman"/>
      <w:b/>
      <w:bCs/>
      <w:sz w:val="32"/>
      <w:szCs w:val="28"/>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rPr>
      <w:rFonts w:eastAsiaTheme="minorEastAsia"/>
    </w:rPr>
  </w:style>
  <w:style w:type="paragraph" w:styleId="7">
    <w:name w:val="caption"/>
    <w:basedOn w:val="1"/>
    <w:next w:val="1"/>
    <w:qFormat/>
    <w:uiPriority w:val="35"/>
    <w:rPr>
      <w:rFonts w:ascii="Cambria" w:hAnsi="Cambria" w:eastAsia="黑体"/>
      <w:sz w:val="20"/>
      <w:szCs w:val="20"/>
    </w:rPr>
  </w:style>
  <w:style w:type="paragraph" w:styleId="8">
    <w:name w:val="Body Text"/>
    <w:basedOn w:val="1"/>
    <w:next w:val="9"/>
    <w:unhideWhenUsed/>
    <w:qFormat/>
    <w:uiPriority w:val="99"/>
    <w:pPr>
      <w:spacing w:after="120"/>
    </w:pPr>
  </w:style>
  <w:style w:type="paragraph" w:styleId="9">
    <w:name w:val="toc 2"/>
    <w:basedOn w:val="1"/>
    <w:next w:val="1"/>
    <w:unhideWhenUsed/>
    <w:qFormat/>
    <w:uiPriority w:val="39"/>
    <w:pPr>
      <w:ind w:left="240"/>
      <w:jc w:val="left"/>
    </w:pPr>
    <w:rPr>
      <w:rFonts w:ascii="Calibri" w:hAnsi="Calibri" w:cs="Calibri"/>
      <w:smallCaps/>
      <w:sz w:val="20"/>
      <w:szCs w:val="20"/>
    </w:rPr>
  </w:style>
  <w:style w:type="paragraph" w:styleId="10">
    <w:name w:val="Body Text Indent"/>
    <w:basedOn w:val="1"/>
    <w:next w:val="11"/>
    <w:link w:val="31"/>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1">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12">
    <w:name w:val="Plain Text"/>
    <w:basedOn w:val="1"/>
    <w:next w:val="13"/>
    <w:link w:val="28"/>
    <w:unhideWhenUsed/>
    <w:qFormat/>
    <w:uiPriority w:val="99"/>
    <w:pPr>
      <w:spacing w:line="440" w:lineRule="exact"/>
      <w:ind w:firstLine="880" w:firstLineChars="200"/>
    </w:pPr>
    <w:rPr>
      <w:rFonts w:ascii="宋体" w:hAnsi="Courier New"/>
      <w:kern w:val="0"/>
      <w:sz w:val="24"/>
      <w:szCs w:val="21"/>
      <w:lang w:val="zh-CN" w:eastAsia="zh-CN"/>
    </w:rPr>
  </w:style>
  <w:style w:type="paragraph" w:customStyle="1" w:styleId="1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4">
    <w:name w:val="Balloon Text"/>
    <w:basedOn w:val="1"/>
    <w:link w:val="36"/>
    <w:unhideWhenUsed/>
    <w:qFormat/>
    <w:uiPriority w:val="99"/>
    <w:rPr>
      <w:kern w:val="0"/>
      <w:sz w:val="18"/>
      <w:szCs w:val="18"/>
      <w:lang w:val="zh-CN" w:eastAsia="zh-CN"/>
    </w:rPr>
  </w:style>
  <w:style w:type="paragraph" w:styleId="15">
    <w:name w:val="footer"/>
    <w:basedOn w:val="1"/>
    <w:link w:val="38"/>
    <w:unhideWhenUsed/>
    <w:qFormat/>
    <w:uiPriority w:val="99"/>
    <w:pPr>
      <w:tabs>
        <w:tab w:val="center" w:pos="4153"/>
        <w:tab w:val="right" w:pos="8306"/>
      </w:tabs>
      <w:snapToGrid w:val="0"/>
      <w:jc w:val="left"/>
    </w:pPr>
    <w:rPr>
      <w:kern w:val="0"/>
      <w:sz w:val="18"/>
      <w:szCs w:val="18"/>
      <w:lang w:val="zh-CN" w:eastAsia="zh-CN"/>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Body Text First Indent"/>
    <w:basedOn w:val="8"/>
    <w:next w:val="8"/>
    <w:unhideWhenUsed/>
    <w:qFormat/>
    <w:uiPriority w:val="99"/>
    <w:pPr>
      <w:ind w:firstLine="420" w:firstLineChars="100"/>
    </w:pPr>
    <w:rPr>
      <w:rFonts w:ascii="Calibri" w:hAnsi="Calibri" w:eastAsia="宋体" w:cs="Times New Roman"/>
      <w:szCs w:val="22"/>
    </w:rPr>
  </w:style>
  <w:style w:type="paragraph" w:styleId="19">
    <w:name w:val="Body Text First Indent 2"/>
    <w:basedOn w:val="10"/>
    <w:next w:val="18"/>
    <w:unhideWhenUsed/>
    <w:qFormat/>
    <w:uiPriority w:val="99"/>
    <w:pPr>
      <w:ind w:firstLine="420" w:firstLineChars="200"/>
      <w:jc w:val="left"/>
    </w:p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rPr>
  </w:style>
  <w:style w:type="character" w:styleId="24">
    <w:name w:val="Hyperlink"/>
    <w:unhideWhenUsed/>
    <w:qFormat/>
    <w:uiPriority w:val="99"/>
    <w:rPr>
      <w:color w:val="0563C1"/>
      <w:u w:val="single"/>
    </w:rPr>
  </w:style>
  <w:style w:type="paragraph" w:customStyle="1" w:styleId="25">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6">
    <w:name w:val="页脚 Char"/>
    <w:qFormat/>
    <w:uiPriority w:val="0"/>
    <w:rPr>
      <w:rFonts w:eastAsia="宋体"/>
      <w:kern w:val="2"/>
      <w:sz w:val="18"/>
      <w:szCs w:val="18"/>
      <w:lang w:val="en-US" w:eastAsia="zh-CN" w:bidi="ar-SA"/>
    </w:rPr>
  </w:style>
  <w:style w:type="character" w:customStyle="1" w:styleId="27">
    <w:name w:val="fontstyle01"/>
    <w:qFormat/>
    <w:uiPriority w:val="0"/>
    <w:rPr>
      <w:rFonts w:hint="eastAsia" w:ascii="宋体" w:hAnsi="宋体" w:eastAsia="宋体"/>
      <w:color w:val="000000"/>
      <w:sz w:val="28"/>
      <w:szCs w:val="28"/>
    </w:rPr>
  </w:style>
  <w:style w:type="character" w:customStyle="1" w:styleId="28">
    <w:name w:val="纯文本 字符"/>
    <w:link w:val="12"/>
    <w:qFormat/>
    <w:uiPriority w:val="99"/>
    <w:rPr>
      <w:rFonts w:ascii="宋体" w:hAnsi="Courier New" w:eastAsia="宋体" w:cs="Courier New"/>
      <w:sz w:val="24"/>
      <w:szCs w:val="21"/>
    </w:rPr>
  </w:style>
  <w:style w:type="character" w:customStyle="1" w:styleId="29">
    <w:name w:val="列表段落 字符"/>
    <w:link w:val="30"/>
    <w:qFormat/>
    <w:locked/>
    <w:uiPriority w:val="34"/>
    <w:rPr>
      <w:rFonts w:ascii="Calibri" w:hAnsi="Calibri" w:eastAsia="宋体" w:cs="Times New Roman"/>
    </w:rPr>
  </w:style>
  <w:style w:type="paragraph" w:styleId="30">
    <w:name w:val="List Paragraph"/>
    <w:basedOn w:val="1"/>
    <w:link w:val="29"/>
    <w:qFormat/>
    <w:uiPriority w:val="34"/>
    <w:pPr>
      <w:ind w:firstLine="420" w:firstLineChars="200"/>
    </w:pPr>
    <w:rPr>
      <w:kern w:val="0"/>
      <w:sz w:val="20"/>
      <w:szCs w:val="20"/>
      <w:lang w:val="zh-CN" w:eastAsia="zh-CN"/>
    </w:rPr>
  </w:style>
  <w:style w:type="character" w:customStyle="1" w:styleId="31">
    <w:name w:val="正文文本缩进 字符"/>
    <w:link w:val="10"/>
    <w:qFormat/>
    <w:uiPriority w:val="99"/>
    <w:rPr>
      <w:rFonts w:ascii="仿宋_GB2312" w:hAnsi="Times New Roman" w:eastAsia="仿宋_GB2312" w:cs="Times New Roman"/>
      <w:sz w:val="32"/>
      <w:szCs w:val="20"/>
    </w:rPr>
  </w:style>
  <w:style w:type="character" w:customStyle="1" w:styleId="32">
    <w:name w:val="页眉 字符"/>
    <w:link w:val="16"/>
    <w:qFormat/>
    <w:uiPriority w:val="99"/>
    <w:rPr>
      <w:sz w:val="18"/>
      <w:szCs w:val="18"/>
    </w:rPr>
  </w:style>
  <w:style w:type="character" w:customStyle="1" w:styleId="33">
    <w:name w:val="1J Char"/>
    <w:link w:val="34"/>
    <w:qFormat/>
    <w:uiPriority w:val="0"/>
    <w:rPr>
      <w:rFonts w:eastAsia="宋体"/>
      <w:b/>
      <w:sz w:val="24"/>
      <w:szCs w:val="24"/>
    </w:rPr>
  </w:style>
  <w:style w:type="paragraph" w:customStyle="1" w:styleId="34">
    <w:name w:val="1J"/>
    <w:basedOn w:val="1"/>
    <w:link w:val="33"/>
    <w:qFormat/>
    <w:uiPriority w:val="0"/>
    <w:pPr>
      <w:jc w:val="center"/>
    </w:pPr>
    <w:rPr>
      <w:b/>
      <w:kern w:val="0"/>
      <w:sz w:val="24"/>
      <w:szCs w:val="24"/>
      <w:lang w:val="zh-CN" w:eastAsia="zh-CN"/>
    </w:rPr>
  </w:style>
  <w:style w:type="character" w:customStyle="1" w:styleId="35">
    <w:name w:val="fontstyle31"/>
    <w:qFormat/>
    <w:uiPriority w:val="0"/>
    <w:rPr>
      <w:rFonts w:hint="default" w:ascii="Calibri" w:hAnsi="Calibri"/>
      <w:color w:val="000000"/>
      <w:sz w:val="22"/>
      <w:szCs w:val="22"/>
    </w:rPr>
  </w:style>
  <w:style w:type="character" w:customStyle="1" w:styleId="36">
    <w:name w:val="批注框文本 字符"/>
    <w:link w:val="14"/>
    <w:semiHidden/>
    <w:qFormat/>
    <w:uiPriority w:val="99"/>
    <w:rPr>
      <w:sz w:val="18"/>
      <w:szCs w:val="18"/>
    </w:rPr>
  </w:style>
  <w:style w:type="character" w:customStyle="1" w:styleId="37">
    <w:name w:val="fontstyle21"/>
    <w:qFormat/>
    <w:uiPriority w:val="0"/>
    <w:rPr>
      <w:rFonts w:hint="default" w:ascii="TimesNewRomanPSMT" w:hAnsi="TimesNewRomanPSMT"/>
      <w:color w:val="000000"/>
      <w:sz w:val="18"/>
      <w:szCs w:val="18"/>
    </w:rPr>
  </w:style>
  <w:style w:type="character" w:customStyle="1" w:styleId="38">
    <w:name w:val="页脚 字符"/>
    <w:link w:val="15"/>
    <w:qFormat/>
    <w:uiPriority w:val="99"/>
    <w:rPr>
      <w:sz w:val="18"/>
      <w:szCs w:val="18"/>
    </w:rPr>
  </w:style>
  <w:style w:type="character" w:customStyle="1" w:styleId="39">
    <w:name w:val="标题 3 字符"/>
    <w:link w:val="4"/>
    <w:qFormat/>
    <w:uiPriority w:val="9"/>
    <w:rPr>
      <w:rFonts w:ascii="Times New Roman" w:hAnsi="Times New Roman" w:eastAsia="宋体" w:cs="Times New Roman"/>
      <w:b/>
      <w:kern w:val="0"/>
      <w:sz w:val="28"/>
      <w:szCs w:val="20"/>
    </w:rPr>
  </w:style>
  <w:style w:type="paragraph" w:customStyle="1" w:styleId="40">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41">
    <w:name w:val="题注4"/>
    <w:basedOn w:val="1"/>
    <w:next w:val="7"/>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4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43">
    <w:name w:val="列表段落1"/>
    <w:basedOn w:val="1"/>
    <w:qFormat/>
    <w:uiPriority w:val="0"/>
    <w:pPr>
      <w:ind w:firstLine="420" w:firstLineChars="200"/>
    </w:pPr>
    <w:rPr>
      <w:rFonts w:ascii="Times New Roman" w:hAnsi="Times New Roman"/>
      <w:sz w:val="28"/>
      <w:szCs w:val="24"/>
    </w:rPr>
  </w:style>
  <w:style w:type="paragraph" w:customStyle="1" w:styleId="44">
    <w:name w:val="编号1"/>
    <w:basedOn w:val="1"/>
    <w:qFormat/>
    <w:uiPriority w:val="0"/>
    <w:pPr>
      <w:numPr>
        <w:ilvl w:val="0"/>
        <w:numId w:val="2"/>
      </w:numPr>
    </w:pPr>
    <w:rPr>
      <w:rFonts w:ascii="Times New Roman" w:hAnsi="Times New Roman"/>
      <w:szCs w:val="24"/>
    </w:rPr>
  </w:style>
  <w:style w:type="character" w:customStyle="1" w:styleId="45">
    <w:name w:val="标题 1 字符"/>
    <w:link w:val="2"/>
    <w:qFormat/>
    <w:uiPriority w:val="9"/>
    <w:rPr>
      <w:b/>
      <w:bCs/>
      <w:kern w:val="44"/>
      <w:sz w:val="44"/>
      <w:szCs w:val="44"/>
    </w:rPr>
  </w:style>
  <w:style w:type="character" w:customStyle="1" w:styleId="46">
    <w:name w:val="Unresolved Mention"/>
    <w:semiHidden/>
    <w:unhideWhenUsed/>
    <w:qFormat/>
    <w:uiPriority w:val="99"/>
    <w:rPr>
      <w:color w:val="605E5C"/>
      <w:shd w:val="clear" w:color="auto" w:fill="E1DFDD"/>
    </w:rPr>
  </w:style>
  <w:style w:type="paragraph" w:customStyle="1" w:styleId="47">
    <w:name w:val="列出段落1"/>
    <w:basedOn w:val="1"/>
    <w:qFormat/>
    <w:uiPriority w:val="34"/>
    <w:pPr>
      <w:ind w:firstLine="420" w:firstLineChars="200"/>
    </w:pPr>
  </w:style>
  <w:style w:type="character" w:customStyle="1" w:styleId="48">
    <w:name w:val="标题 2 字符"/>
    <w:link w:val="3"/>
    <w:semiHidden/>
    <w:qFormat/>
    <w:uiPriority w:val="9"/>
    <w:rPr>
      <w:rFonts w:ascii="等线 Light" w:hAnsi="等线 Light" w:eastAsia="等线 Light" w:cs="Times New Roman"/>
      <w:b/>
      <w:bCs/>
      <w:kern w:val="2"/>
      <w:sz w:val="32"/>
      <w:szCs w:val="32"/>
    </w:rPr>
  </w:style>
  <w:style w:type="table" w:customStyle="1" w:styleId="49">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1">
    <w:name w:val="投标正文小四"/>
    <w:basedOn w:val="1"/>
    <w:qFormat/>
    <w:uiPriority w:val="0"/>
    <w:pPr>
      <w:ind w:firstLine="200" w:firstLineChars="200"/>
    </w:pPr>
    <w:rPr>
      <w:rFonts w:ascii="Calibri" w:hAnsi="Calibri"/>
      <w:szCs w:val="22"/>
    </w:rPr>
  </w:style>
  <w:style w:type="paragraph" w:customStyle="1" w:styleId="52">
    <w:name w:val="标题1"/>
    <w:basedOn w:val="1"/>
    <w:next w:val="1"/>
    <w:qFormat/>
    <w:uiPriority w:val="0"/>
    <w:pPr>
      <w:numPr>
        <w:ilvl w:val="0"/>
        <w:numId w:val="3"/>
      </w:numPr>
      <w:snapToGrid/>
      <w:ind w:firstLine="0" w:firstLineChars="0"/>
      <w:jc w:val="left"/>
      <w:outlineLvl w:val="0"/>
    </w:pPr>
    <w:rPr>
      <w:b/>
      <w:sz w:val="32"/>
    </w:rPr>
  </w:style>
  <w:style w:type="paragraph" w:customStyle="1" w:styleId="53">
    <w:name w:val="标题2"/>
    <w:basedOn w:val="52"/>
    <w:next w:val="1"/>
    <w:qFormat/>
    <w:uiPriority w:val="0"/>
    <w:pPr>
      <w:numPr>
        <w:ilvl w:val="1"/>
      </w:numPr>
      <w:outlineLvl w:val="1"/>
    </w:pPr>
    <w:rPr>
      <w:rFonts w:ascii="宋体" w:hAnsi="宋体"/>
      <w:sz w:val="30"/>
      <w:szCs w:val="20"/>
    </w:rPr>
  </w:style>
  <w:style w:type="paragraph" w:customStyle="1" w:styleId="54">
    <w:name w:val="标题3"/>
    <w:basedOn w:val="53"/>
    <w:next w:val="1"/>
    <w:qFormat/>
    <w:uiPriority w:val="0"/>
    <w:pPr>
      <w:numPr>
        <w:ilvl w:val="2"/>
      </w:numPr>
      <w:outlineLvl w:val="2"/>
    </w:pPr>
    <w:rPr>
      <w:sz w:val="28"/>
    </w:rPr>
  </w:style>
  <w:style w:type="paragraph" w:customStyle="1" w:styleId="55">
    <w:name w:val="标题4"/>
    <w:basedOn w:val="54"/>
    <w:next w:val="1"/>
    <w:qFormat/>
    <w:uiPriority w:val="0"/>
    <w:pPr>
      <w:numPr>
        <w:ilvl w:val="3"/>
      </w:numPr>
      <w:outlineLvl w:val="3"/>
    </w:pPr>
    <w:rPr>
      <w:sz w:val="24"/>
    </w:rPr>
  </w:style>
  <w:style w:type="paragraph" w:customStyle="1" w:styleId="56">
    <w:name w:val="方案正文"/>
    <w:basedOn w:val="1"/>
    <w:qFormat/>
    <w:uiPriority w:val="0"/>
    <w:pPr>
      <w:spacing w:line="360" w:lineRule="auto"/>
      <w:ind w:firstLine="200" w:firstLineChars="200"/>
    </w:pPr>
    <w:rPr>
      <w:rFonts w:ascii="仿宋_GB2312" w:hAnsi="宋体"/>
      <w:sz w:val="24"/>
    </w:rPr>
  </w:style>
  <w:style w:type="paragraph" w:customStyle="1" w:styleId="5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首行缩进"/>
    <w:basedOn w:val="1"/>
    <w:qFormat/>
    <w:uiPriority w:val="0"/>
    <w:pPr>
      <w:spacing w:line="360" w:lineRule="auto"/>
      <w:ind w:firstLine="200" w:firstLineChars="200"/>
    </w:pPr>
    <w:rPr>
      <w:rFonts w:ascii="Times New Roman" w:hAnsi="Times New Roman" w:eastAsiaTheme="minorEastAsia"/>
    </w:rPr>
  </w:style>
  <w:style w:type="paragraph" w:customStyle="1" w:styleId="59">
    <w:name w:val="我的正文"/>
    <w:basedOn w:val="1"/>
    <w:link w:val="60"/>
    <w:qFormat/>
    <w:uiPriority w:val="0"/>
    <w:pPr>
      <w:snapToGrid w:val="0"/>
      <w:spacing w:before="163" w:beforeLines="50" w:line="312" w:lineRule="auto"/>
      <w:ind w:firstLine="480" w:firstLineChars="200"/>
    </w:pPr>
    <w:rPr>
      <w:rFonts w:ascii="Times New Roman" w:hAnsi="Times New Roman" w:cs="Times New Roman"/>
      <w:szCs w:val="24"/>
    </w:rPr>
  </w:style>
  <w:style w:type="character" w:customStyle="1" w:styleId="60">
    <w:name w:val="我的正文 字符"/>
    <w:basedOn w:val="22"/>
    <w:link w:val="59"/>
    <w:qFormat/>
    <w:uiPriority w:val="0"/>
    <w:rPr>
      <w:rFonts w:ascii="Times New Roman" w:hAnsi="Times New Roman" w:cs="Times New Roman"/>
      <w:szCs w:val="24"/>
    </w:rPr>
  </w:style>
  <w:style w:type="paragraph" w:customStyle="1" w:styleId="61">
    <w:name w:val="A.IndentStyle"/>
    <w:basedOn w:val="1"/>
    <w:qFormat/>
    <w:uiPriority w:val="0"/>
    <w:pPr>
      <w:spacing w:line="360" w:lineRule="auto"/>
      <w:ind w:firstLine="480" w:firstLineChars="200"/>
    </w:pPr>
    <w:rPr>
      <w:rFonts w:ascii="Times New Roman" w:hAnsi="Times New Roman" w:cs="Times New Roman"/>
      <w:szCs w:val="24"/>
    </w:rPr>
  </w:style>
  <w:style w:type="paragraph" w:customStyle="1" w:styleId="62">
    <w:name w:val="样式 正文缩进 + 首行缩进:  2 字符"/>
    <w:basedOn w:val="6"/>
    <w:qFormat/>
    <w:uiPriority w:val="0"/>
    <w:pPr>
      <w:spacing w:line="360" w:lineRule="auto"/>
      <w:ind w:firstLine="200"/>
    </w:pPr>
    <w:rPr>
      <w:rFonts w:ascii="Times New Roman" w:hAnsi="Times New Roman" w:eastAsia="宋体" w:cs="Times New Roman"/>
      <w:szCs w:val="20"/>
    </w:rPr>
  </w:style>
  <w:style w:type="paragraph" w:customStyle="1" w:styleId="63">
    <w:name w:val="样式2"/>
    <w:basedOn w:val="3"/>
    <w:qFormat/>
    <w:uiPriority w:val="0"/>
    <w:rPr>
      <w:rFonts w:ascii="仿宋" w:hAnsi="仿宋" w:eastAsia="仿宋" w:cs="Times New Roman"/>
      <w:sz w:val="30"/>
      <w:szCs w:val="30"/>
    </w:rPr>
  </w:style>
  <w:style w:type="paragraph" w:customStyle="1" w:styleId="64">
    <w:name w:val="样式3"/>
    <w:basedOn w:val="1"/>
    <w:qFormat/>
    <w:uiPriority w:val="0"/>
    <w:pPr>
      <w:keepNext/>
      <w:keepLines/>
      <w:numPr>
        <w:ilvl w:val="0"/>
        <w:numId w:val="4"/>
      </w:numPr>
      <w:spacing w:before="260" w:after="260" w:line="416" w:lineRule="auto"/>
      <w:ind w:left="845"/>
      <w:outlineLvl w:val="1"/>
    </w:pPr>
    <w:rPr>
      <w:rFonts w:hint="eastAsia" w:ascii="仿宋" w:hAnsi="仿宋" w:eastAsia="仿宋" w:cs="仿宋"/>
      <w:b/>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16</TotalTime>
  <ScaleCrop>false</ScaleCrop>
  <LinksUpToDate>false</LinksUpToDate>
  <CharactersWithSpaces>9911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Lenovo</cp:lastModifiedBy>
  <cp:lastPrinted>2019-05-06T07:16:00Z</cp:lastPrinted>
  <dcterms:modified xsi:type="dcterms:W3CDTF">2024-01-15T03:10:14Z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CE062A6250F34380BD24A960F6D31AAE</vt:lpwstr>
  </property>
</Properties>
</file>