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00" w:lineRule="auto"/>
        <w:ind w:right="69" w:rightChars="33"/>
        <w:jc w:val="center"/>
        <w:rPr>
          <w:rFonts w:ascii="仿宋_GB2312" w:hAnsi="宋体" w:eastAsia="仿宋_GB2312"/>
          <w:b/>
          <w:bCs/>
          <w:kern w:val="0"/>
          <w:sz w:val="72"/>
          <w:szCs w:val="72"/>
          <w:highlight w:val="none"/>
        </w:rPr>
      </w:pPr>
    </w:p>
    <w:p>
      <w:pPr>
        <w:adjustRightInd w:val="0"/>
        <w:snapToGrid w:val="0"/>
        <w:spacing w:line="360" w:lineRule="auto"/>
        <w:jc w:val="center"/>
        <w:rPr>
          <w:rFonts w:ascii="楷体" w:hAnsi="楷体" w:eastAsia="楷体" w:cs="楷体"/>
          <w:b/>
          <w:kern w:val="0"/>
          <w:sz w:val="32"/>
          <w:szCs w:val="32"/>
          <w:highlight w:val="none"/>
        </w:rPr>
      </w:pPr>
      <w:r>
        <w:rPr>
          <w:rFonts w:hint="eastAsia" w:ascii="方正小标宋简体" w:hAnsi="宋体" w:eastAsia="方正小标宋简体"/>
          <w:b/>
          <w:bCs/>
          <w:kern w:val="0"/>
          <w:sz w:val="52"/>
          <w:szCs w:val="52"/>
          <w:highlight w:val="none"/>
        </w:rPr>
        <w:t>茂名市人民医院智慧药学平台采购项目</w:t>
      </w:r>
    </w:p>
    <w:p>
      <w:pPr>
        <w:adjustRightInd w:val="0"/>
        <w:snapToGrid w:val="0"/>
        <w:spacing w:line="360" w:lineRule="auto"/>
        <w:jc w:val="center"/>
        <w:rPr>
          <w:rFonts w:ascii="仿宋_GB2312" w:hAnsi="宋体" w:eastAsia="仿宋_GB2312"/>
          <w:b/>
          <w:bCs/>
          <w:spacing w:val="20"/>
          <w:sz w:val="52"/>
          <w:szCs w:val="52"/>
          <w:highlight w:val="none"/>
        </w:rPr>
      </w:pPr>
    </w:p>
    <w:p>
      <w:pPr>
        <w:adjustRightInd w:val="0"/>
        <w:snapToGrid w:val="0"/>
        <w:spacing w:line="360" w:lineRule="auto"/>
        <w:jc w:val="center"/>
        <w:rPr>
          <w:rFonts w:hint="eastAsia" w:ascii="仿宋_GB2312" w:hAnsi="宋体" w:eastAsia="仿宋_GB2312"/>
          <w:b/>
          <w:bCs/>
          <w:spacing w:val="20"/>
          <w:sz w:val="52"/>
          <w:szCs w:val="52"/>
          <w:highlight w:val="none"/>
          <w:lang w:val="en-US" w:eastAsia="zh-CN"/>
        </w:rPr>
      </w:pPr>
      <w:r>
        <w:rPr>
          <w:rFonts w:hint="eastAsia" w:ascii="仿宋_GB2312" w:hAnsi="宋体" w:eastAsia="仿宋_GB2312"/>
          <w:b/>
          <w:bCs/>
          <w:spacing w:val="20"/>
          <w:sz w:val="52"/>
          <w:szCs w:val="52"/>
          <w:highlight w:val="none"/>
          <w:lang w:val="en-US" w:eastAsia="zh-CN"/>
        </w:rPr>
        <w:t>需</w:t>
      </w:r>
    </w:p>
    <w:p>
      <w:pPr>
        <w:adjustRightInd w:val="0"/>
        <w:snapToGrid w:val="0"/>
        <w:spacing w:line="360" w:lineRule="auto"/>
        <w:jc w:val="center"/>
        <w:rPr>
          <w:rFonts w:hint="default" w:ascii="仿宋_GB2312" w:hAnsi="宋体" w:eastAsia="仿宋_GB2312"/>
          <w:b/>
          <w:bCs/>
          <w:spacing w:val="20"/>
          <w:sz w:val="52"/>
          <w:szCs w:val="52"/>
          <w:highlight w:val="none"/>
          <w:lang w:val="en-US" w:eastAsia="zh-CN"/>
        </w:rPr>
      </w:pPr>
      <w:r>
        <w:rPr>
          <w:rFonts w:hint="eastAsia" w:ascii="仿宋_GB2312" w:hAnsi="宋体" w:eastAsia="仿宋_GB2312"/>
          <w:b/>
          <w:bCs/>
          <w:spacing w:val="20"/>
          <w:sz w:val="52"/>
          <w:szCs w:val="52"/>
          <w:highlight w:val="none"/>
          <w:lang w:val="en-US" w:eastAsia="zh-CN"/>
        </w:rPr>
        <w:t>求</w:t>
      </w:r>
    </w:p>
    <w:p>
      <w:pPr>
        <w:adjustRightInd w:val="0"/>
        <w:snapToGrid w:val="0"/>
        <w:spacing w:line="360" w:lineRule="auto"/>
        <w:jc w:val="center"/>
        <w:rPr>
          <w:rFonts w:ascii="仿宋_GB2312" w:hAnsi="宋体" w:eastAsia="仿宋_GB2312"/>
          <w:b/>
          <w:bCs/>
          <w:spacing w:val="20"/>
          <w:sz w:val="52"/>
          <w:szCs w:val="52"/>
          <w:highlight w:val="none"/>
        </w:rPr>
      </w:pPr>
      <w:r>
        <w:rPr>
          <w:rFonts w:hint="eastAsia" w:ascii="仿宋_GB2312" w:hAnsi="宋体" w:eastAsia="仿宋_GB2312"/>
          <w:b/>
          <w:bCs/>
          <w:spacing w:val="20"/>
          <w:sz w:val="52"/>
          <w:szCs w:val="52"/>
          <w:highlight w:val="none"/>
        </w:rPr>
        <w:t>征</w:t>
      </w:r>
    </w:p>
    <w:p>
      <w:pPr>
        <w:adjustRightInd w:val="0"/>
        <w:snapToGrid w:val="0"/>
        <w:spacing w:line="360" w:lineRule="auto"/>
        <w:jc w:val="center"/>
        <w:rPr>
          <w:rFonts w:ascii="仿宋_GB2312" w:hAnsi="宋体" w:eastAsia="仿宋_GB2312"/>
          <w:b/>
          <w:bCs/>
          <w:spacing w:val="20"/>
          <w:sz w:val="52"/>
          <w:szCs w:val="52"/>
          <w:highlight w:val="none"/>
        </w:rPr>
      </w:pPr>
      <w:r>
        <w:rPr>
          <w:rFonts w:hint="eastAsia" w:ascii="仿宋_GB2312" w:hAnsi="宋体" w:eastAsia="仿宋_GB2312"/>
          <w:b/>
          <w:bCs/>
          <w:spacing w:val="20"/>
          <w:sz w:val="52"/>
          <w:szCs w:val="52"/>
          <w:highlight w:val="none"/>
        </w:rPr>
        <w:t>集</w:t>
      </w:r>
    </w:p>
    <w:p>
      <w:pPr>
        <w:adjustRightInd w:val="0"/>
        <w:snapToGrid w:val="0"/>
        <w:spacing w:line="360" w:lineRule="auto"/>
        <w:jc w:val="center"/>
        <w:rPr>
          <w:rFonts w:ascii="仿宋_GB2312" w:hAnsi="宋体" w:eastAsia="仿宋_GB2312"/>
          <w:b/>
          <w:bCs/>
          <w:spacing w:val="20"/>
          <w:sz w:val="52"/>
          <w:szCs w:val="52"/>
          <w:highlight w:val="none"/>
        </w:rPr>
      </w:pPr>
      <w:r>
        <w:rPr>
          <w:rFonts w:hint="eastAsia" w:ascii="仿宋_GB2312" w:hAnsi="宋体" w:eastAsia="仿宋_GB2312"/>
          <w:b/>
          <w:bCs/>
          <w:spacing w:val="20"/>
          <w:sz w:val="52"/>
          <w:szCs w:val="52"/>
          <w:highlight w:val="none"/>
        </w:rPr>
        <w:t>文</w:t>
      </w:r>
    </w:p>
    <w:p>
      <w:pPr>
        <w:adjustRightInd w:val="0"/>
        <w:snapToGrid w:val="0"/>
        <w:spacing w:line="360" w:lineRule="auto"/>
        <w:jc w:val="center"/>
        <w:rPr>
          <w:rFonts w:ascii="仿宋_GB2312" w:hAnsi="宋体" w:eastAsia="仿宋_GB2312"/>
          <w:b/>
          <w:bCs/>
          <w:spacing w:val="20"/>
          <w:sz w:val="52"/>
          <w:szCs w:val="52"/>
          <w:highlight w:val="none"/>
        </w:rPr>
      </w:pPr>
      <w:r>
        <w:rPr>
          <w:rFonts w:hint="eastAsia" w:ascii="仿宋_GB2312" w:hAnsi="宋体" w:eastAsia="仿宋_GB2312"/>
          <w:b/>
          <w:bCs/>
          <w:spacing w:val="20"/>
          <w:sz w:val="52"/>
          <w:szCs w:val="52"/>
          <w:highlight w:val="none"/>
        </w:rPr>
        <w:t>件</w:t>
      </w:r>
    </w:p>
    <w:p>
      <w:pPr>
        <w:adjustRightInd w:val="0"/>
        <w:snapToGrid w:val="0"/>
        <w:spacing w:line="360" w:lineRule="auto"/>
        <w:jc w:val="center"/>
        <w:rPr>
          <w:rFonts w:ascii="仿宋_GB2312" w:hAnsi="宋体" w:eastAsia="仿宋_GB2312"/>
          <w:b/>
          <w:bCs/>
          <w:spacing w:val="20"/>
          <w:sz w:val="52"/>
          <w:szCs w:val="52"/>
          <w:highlight w:val="none"/>
        </w:rPr>
      </w:pPr>
    </w:p>
    <w:p>
      <w:pPr>
        <w:spacing w:line="360" w:lineRule="auto"/>
        <w:jc w:val="center"/>
        <w:rPr>
          <w:rFonts w:ascii="仿宋" w:hAnsi="仿宋" w:eastAsia="仿宋"/>
          <w:b/>
          <w:bCs/>
          <w:kern w:val="13"/>
          <w:sz w:val="36"/>
          <w:szCs w:val="36"/>
          <w:highlight w:val="none"/>
        </w:rPr>
      </w:pPr>
      <w:r>
        <w:rPr>
          <w:rFonts w:hint="eastAsia" w:ascii="仿宋" w:hAnsi="仿宋" w:eastAsia="仿宋"/>
          <w:b/>
          <w:bCs/>
          <w:kern w:val="13"/>
          <w:sz w:val="36"/>
          <w:szCs w:val="36"/>
          <w:highlight w:val="none"/>
        </w:rPr>
        <w:t>茂名市人民医院</w:t>
      </w:r>
    </w:p>
    <w:p>
      <w:pPr>
        <w:pStyle w:val="14"/>
        <w:tabs>
          <w:tab w:val="left" w:pos="1260"/>
        </w:tabs>
        <w:spacing w:line="680" w:lineRule="auto"/>
        <w:ind w:firstLine="0" w:firstLineChars="0"/>
        <w:jc w:val="center"/>
        <w:rPr>
          <w:rFonts w:ascii="仿宋" w:hAnsi="仿宋" w:eastAsia="仿宋" w:cs="仿宋"/>
          <w:b/>
          <w:w w:val="110"/>
          <w:sz w:val="36"/>
          <w:szCs w:val="36"/>
          <w:highlight w:val="none"/>
        </w:rPr>
      </w:pPr>
      <w:r>
        <w:rPr>
          <w:rFonts w:hint="eastAsia" w:ascii="仿宋" w:hAnsi="仿宋" w:eastAsia="仿宋" w:cs="仿宋"/>
          <w:b/>
          <w:w w:val="110"/>
          <w:sz w:val="36"/>
          <w:szCs w:val="36"/>
          <w:highlight w:val="none"/>
        </w:rPr>
        <w:t>202</w:t>
      </w:r>
      <w:r>
        <w:rPr>
          <w:rFonts w:hint="eastAsia" w:ascii="仿宋" w:hAnsi="仿宋" w:eastAsia="仿宋" w:cs="仿宋"/>
          <w:b/>
          <w:w w:val="110"/>
          <w:sz w:val="36"/>
          <w:szCs w:val="36"/>
          <w:highlight w:val="none"/>
          <w:lang w:val="en-US" w:eastAsia="zh-CN"/>
        </w:rPr>
        <w:t>4</w:t>
      </w:r>
      <w:r>
        <w:rPr>
          <w:rFonts w:hint="eastAsia" w:ascii="仿宋" w:hAnsi="仿宋" w:eastAsia="仿宋" w:cs="仿宋"/>
          <w:b/>
          <w:w w:val="110"/>
          <w:sz w:val="36"/>
          <w:szCs w:val="36"/>
          <w:highlight w:val="none"/>
        </w:rPr>
        <w:t>年</w:t>
      </w:r>
      <w:r>
        <w:rPr>
          <w:rFonts w:hint="eastAsia" w:ascii="仿宋" w:hAnsi="仿宋" w:eastAsia="仿宋" w:cs="仿宋"/>
          <w:b/>
          <w:w w:val="110"/>
          <w:sz w:val="36"/>
          <w:szCs w:val="36"/>
          <w:highlight w:val="none"/>
          <w:lang w:val="en-US" w:eastAsia="zh-CN"/>
        </w:rPr>
        <w:t>1</w:t>
      </w:r>
      <w:r>
        <w:rPr>
          <w:rFonts w:hint="eastAsia" w:ascii="仿宋" w:hAnsi="仿宋" w:eastAsia="仿宋" w:cs="仿宋"/>
          <w:b/>
          <w:w w:val="110"/>
          <w:sz w:val="36"/>
          <w:szCs w:val="36"/>
          <w:highlight w:val="none"/>
        </w:rPr>
        <w:t>月</w:t>
      </w:r>
    </w:p>
    <w:p>
      <w:pPr>
        <w:jc w:val="center"/>
        <w:rPr>
          <w:rFonts w:ascii="宋体" w:hAnsi="宋体" w:cs="宋体"/>
          <w:color w:val="000000"/>
          <w:kern w:val="0"/>
          <w:sz w:val="28"/>
          <w:szCs w:val="28"/>
          <w:highlight w:val="none"/>
        </w:rPr>
      </w:pPr>
      <w:r>
        <w:rPr>
          <w:rFonts w:ascii="宋体" w:hAnsi="宋体" w:cs="仿宋"/>
          <w:b/>
          <w:spacing w:val="100"/>
          <w:w w:val="110"/>
          <w:kern w:val="0"/>
          <w:sz w:val="44"/>
          <w:szCs w:val="44"/>
          <w:highlight w:val="none"/>
        </w:rPr>
        <w:br w:type="page"/>
      </w:r>
      <w:r>
        <w:rPr>
          <w:rFonts w:ascii="宋体" w:hAnsi="宋体" w:cs="宋体"/>
          <w:color w:val="000000"/>
          <w:kern w:val="0"/>
          <w:sz w:val="28"/>
          <w:highlight w:val="none"/>
        </w:rPr>
        <w:t>第一部分邀请函</w:t>
      </w:r>
    </w:p>
    <w:p>
      <w:pPr>
        <w:spacing w:line="360" w:lineRule="auto"/>
        <w:ind w:firstLine="440" w:firstLineChars="200"/>
        <w:rPr>
          <w:rFonts w:ascii="宋体" w:hAnsi="宋体" w:cs="宋体"/>
          <w:color w:val="000000"/>
          <w:kern w:val="0"/>
          <w:sz w:val="22"/>
          <w:highlight w:val="none"/>
        </w:rPr>
      </w:pPr>
      <w:r>
        <w:rPr>
          <w:rFonts w:hint="eastAsia" w:ascii="宋体" w:hAnsi="宋体" w:cs="宋体"/>
          <w:color w:val="000000"/>
          <w:kern w:val="0"/>
          <w:sz w:val="22"/>
          <w:highlight w:val="none"/>
        </w:rPr>
        <w:t>我院</w:t>
      </w:r>
      <w:r>
        <w:rPr>
          <w:rFonts w:hint="eastAsia" w:ascii="宋体" w:hAnsi="宋体" w:cs="宋体"/>
          <w:color w:val="000000"/>
          <w:kern w:val="0"/>
          <w:sz w:val="22"/>
          <w:highlight w:val="none"/>
          <w:lang w:val="en-US" w:eastAsia="zh-CN"/>
        </w:rPr>
        <w:t>现</w:t>
      </w:r>
      <w:r>
        <w:rPr>
          <w:rFonts w:hint="eastAsia" w:ascii="宋体" w:hAnsi="宋体" w:cs="宋体"/>
          <w:color w:val="000000"/>
          <w:kern w:val="0"/>
          <w:sz w:val="22"/>
          <w:highlight w:val="none"/>
        </w:rPr>
        <w:t>对</w:t>
      </w:r>
      <w:r>
        <w:rPr>
          <w:rFonts w:hint="eastAsia" w:ascii="宋体" w:hAnsi="宋体" w:cs="宋体"/>
          <w:b/>
          <w:color w:val="000000"/>
          <w:kern w:val="0"/>
          <w:sz w:val="22"/>
          <w:highlight w:val="none"/>
        </w:rPr>
        <w:t>茂名市人民医院智慧药学平台采购项目</w:t>
      </w:r>
      <w:r>
        <w:rPr>
          <w:rFonts w:ascii="宋体" w:hAnsi="宋体" w:cs="宋体"/>
          <w:color w:val="000000"/>
          <w:kern w:val="0"/>
          <w:sz w:val="22"/>
          <w:highlight w:val="none"/>
        </w:rPr>
        <w:t>进行</w:t>
      </w:r>
      <w:r>
        <w:rPr>
          <w:rFonts w:hint="eastAsia" w:ascii="宋体" w:hAnsi="宋体" w:cs="宋体"/>
          <w:color w:val="000000"/>
          <w:kern w:val="0"/>
          <w:sz w:val="22"/>
          <w:highlight w:val="none"/>
          <w:lang w:val="en-US" w:eastAsia="zh-CN"/>
        </w:rPr>
        <w:t>需求征集</w:t>
      </w:r>
      <w:r>
        <w:rPr>
          <w:rFonts w:ascii="宋体" w:hAnsi="宋体" w:cs="宋体"/>
          <w:color w:val="000000"/>
          <w:kern w:val="0"/>
          <w:sz w:val="22"/>
          <w:highlight w:val="none"/>
        </w:rPr>
        <w:t>，欢迎符合资格条件的供应商参加。</w:t>
      </w:r>
    </w:p>
    <w:p>
      <w:pPr>
        <w:numPr>
          <w:ilvl w:val="0"/>
          <w:numId w:val="5"/>
        </w:numPr>
        <w:spacing w:line="360" w:lineRule="auto"/>
        <w:rPr>
          <w:rFonts w:hint="eastAsia" w:ascii="宋体" w:hAnsi="宋体" w:cs="宋体"/>
          <w:b/>
          <w:color w:val="000000"/>
          <w:kern w:val="0"/>
          <w:sz w:val="22"/>
          <w:highlight w:val="none"/>
        </w:rPr>
      </w:pPr>
      <w:r>
        <w:rPr>
          <w:rFonts w:ascii="宋体" w:hAnsi="宋体" w:cs="宋体"/>
          <w:b/>
          <w:bCs/>
          <w:color w:val="000000"/>
          <w:kern w:val="0"/>
          <w:sz w:val="22"/>
          <w:highlight w:val="none"/>
        </w:rPr>
        <w:t>项目名称：</w:t>
      </w:r>
      <w:r>
        <w:rPr>
          <w:rFonts w:hint="eastAsia" w:ascii="宋体" w:hAnsi="宋体" w:cs="宋体"/>
          <w:b/>
          <w:color w:val="000000"/>
          <w:kern w:val="0"/>
          <w:sz w:val="22"/>
          <w:highlight w:val="none"/>
        </w:rPr>
        <w:t>茂名市人民医院智慧药学平台采购项目</w:t>
      </w:r>
    </w:p>
    <w:p>
      <w:pPr>
        <w:numPr>
          <w:ilvl w:val="0"/>
          <w:numId w:val="0"/>
        </w:numPr>
        <w:spacing w:line="360" w:lineRule="auto"/>
        <w:rPr>
          <w:rFonts w:ascii="宋体" w:hAnsi="宋体" w:cs="宋体"/>
          <w:b/>
          <w:bCs/>
          <w:color w:val="000000"/>
          <w:kern w:val="0"/>
          <w:sz w:val="22"/>
          <w:highlight w:val="none"/>
        </w:rPr>
      </w:pPr>
      <w:r>
        <w:rPr>
          <w:rFonts w:hint="eastAsia" w:ascii="宋体" w:hAnsi="宋体" w:cs="宋体"/>
          <w:b/>
          <w:bCs/>
          <w:color w:val="000000"/>
          <w:kern w:val="0"/>
          <w:sz w:val="22"/>
          <w:highlight w:val="none"/>
          <w:lang w:val="en-US" w:eastAsia="zh-CN"/>
        </w:rPr>
        <w:t>二</w:t>
      </w:r>
      <w:r>
        <w:rPr>
          <w:rFonts w:ascii="宋体" w:hAnsi="宋体" w:cs="宋体"/>
          <w:b/>
          <w:bCs/>
          <w:color w:val="000000"/>
          <w:kern w:val="0"/>
          <w:sz w:val="22"/>
          <w:highlight w:val="none"/>
        </w:rPr>
        <w:t>、项目内容及需求： (采购项目技术要求)</w:t>
      </w:r>
    </w:p>
    <w:p>
      <w:pPr>
        <w:spacing w:line="360" w:lineRule="auto"/>
        <w:rPr>
          <w:rFonts w:ascii="宋体" w:hAnsi="宋体" w:cs="宋体"/>
          <w:color w:val="000000"/>
          <w:kern w:val="0"/>
          <w:sz w:val="22"/>
          <w:highlight w:val="none"/>
        </w:rPr>
      </w:pPr>
      <w:r>
        <w:rPr>
          <w:rFonts w:ascii="宋体" w:hAnsi="宋体" w:cs="宋体"/>
          <w:color w:val="000000"/>
          <w:kern w:val="0"/>
          <w:sz w:val="22"/>
          <w:highlight w:val="none"/>
        </w:rPr>
        <w:t>1</w:t>
      </w:r>
      <w:r>
        <w:rPr>
          <w:rFonts w:hint="eastAsia" w:ascii="宋体" w:hAnsi="宋体" w:cs="宋体"/>
          <w:color w:val="000000"/>
          <w:kern w:val="0"/>
          <w:sz w:val="22"/>
          <w:highlight w:val="none"/>
        </w:rPr>
        <w:t>.</w:t>
      </w:r>
      <w:r>
        <w:rPr>
          <w:rFonts w:ascii="宋体" w:hAnsi="宋体" w:cs="宋体"/>
          <w:color w:val="000000"/>
          <w:kern w:val="0"/>
          <w:sz w:val="22"/>
          <w:highlight w:val="none"/>
        </w:rPr>
        <w:t>内容： 具体要求详见用户需求书；</w:t>
      </w:r>
    </w:p>
    <w:p>
      <w:pPr>
        <w:spacing w:line="360" w:lineRule="auto"/>
        <w:rPr>
          <w:rFonts w:ascii="宋体" w:hAnsi="宋体" w:cs="宋体"/>
          <w:color w:val="000000"/>
          <w:kern w:val="0"/>
          <w:sz w:val="22"/>
          <w:highlight w:val="none"/>
        </w:rPr>
      </w:pPr>
      <w:r>
        <w:rPr>
          <w:rFonts w:hint="eastAsia" w:ascii="宋体" w:hAnsi="宋体" w:cs="宋体"/>
          <w:color w:val="000000"/>
          <w:kern w:val="0"/>
          <w:sz w:val="22"/>
          <w:highlight w:val="none"/>
          <w:lang w:val="en-US" w:eastAsia="zh-CN"/>
        </w:rPr>
        <w:t>2</w:t>
      </w:r>
      <w:r>
        <w:rPr>
          <w:rFonts w:hint="eastAsia" w:ascii="宋体" w:hAnsi="宋体" w:cs="宋体"/>
          <w:color w:val="000000"/>
          <w:kern w:val="0"/>
          <w:sz w:val="22"/>
          <w:highlight w:val="none"/>
        </w:rPr>
        <w:t>.</w:t>
      </w:r>
      <w:r>
        <w:rPr>
          <w:rFonts w:hint="eastAsia" w:ascii="宋体" w:hAnsi="宋体" w:cs="宋体"/>
          <w:color w:val="000000"/>
          <w:kern w:val="0"/>
          <w:sz w:val="22"/>
          <w:highlight w:val="none"/>
          <w:lang w:val="en-US" w:eastAsia="zh-CN"/>
        </w:rPr>
        <w:t>项目</w:t>
      </w:r>
      <w:r>
        <w:rPr>
          <w:rFonts w:ascii="宋体" w:hAnsi="宋体" w:cs="宋体"/>
          <w:color w:val="000000"/>
          <w:kern w:val="0"/>
          <w:sz w:val="22"/>
          <w:highlight w:val="none"/>
        </w:rPr>
        <w:t>地点：</w:t>
      </w:r>
      <w:r>
        <w:rPr>
          <w:rFonts w:hint="eastAsia" w:ascii="宋体" w:hAnsi="宋体" w:cs="宋体"/>
          <w:color w:val="000000"/>
          <w:kern w:val="0"/>
          <w:sz w:val="22"/>
          <w:highlight w:val="none"/>
        </w:rPr>
        <w:t>茂名市人民</w:t>
      </w:r>
      <w:r>
        <w:rPr>
          <w:rFonts w:ascii="宋体" w:hAnsi="宋体" w:cs="宋体"/>
          <w:color w:val="000000"/>
          <w:kern w:val="0"/>
          <w:sz w:val="22"/>
          <w:highlight w:val="none"/>
        </w:rPr>
        <w:t>医院指定地点；</w:t>
      </w:r>
    </w:p>
    <w:p>
      <w:pPr>
        <w:spacing w:line="360" w:lineRule="auto"/>
        <w:rPr>
          <w:rFonts w:ascii="宋体" w:hAnsi="宋体" w:cs="宋体"/>
          <w:color w:val="000000"/>
          <w:kern w:val="0"/>
          <w:sz w:val="22"/>
          <w:highlight w:val="none"/>
        </w:rPr>
      </w:pPr>
      <w:r>
        <w:rPr>
          <w:rFonts w:hint="eastAsia" w:ascii="宋体" w:hAnsi="宋体" w:cs="宋体"/>
          <w:color w:val="000000"/>
          <w:kern w:val="0"/>
          <w:sz w:val="22"/>
          <w:highlight w:val="none"/>
          <w:lang w:val="en-US" w:eastAsia="zh-CN"/>
        </w:rPr>
        <w:t>3</w:t>
      </w:r>
      <w:r>
        <w:rPr>
          <w:rFonts w:hint="eastAsia" w:ascii="宋体" w:hAnsi="宋体" w:cs="宋体"/>
          <w:color w:val="000000"/>
          <w:kern w:val="0"/>
          <w:sz w:val="22"/>
          <w:highlight w:val="none"/>
        </w:rPr>
        <w:t>.</w:t>
      </w:r>
      <w:r>
        <w:rPr>
          <w:rFonts w:ascii="宋体" w:hAnsi="宋体" w:cs="宋体"/>
          <w:color w:val="000000"/>
          <w:kern w:val="0"/>
          <w:sz w:val="22"/>
          <w:highlight w:val="none"/>
        </w:rPr>
        <w:t>本项目不允许提交备选方案；</w:t>
      </w:r>
    </w:p>
    <w:p>
      <w:pPr>
        <w:spacing w:line="360" w:lineRule="auto"/>
        <w:rPr>
          <w:rFonts w:ascii="宋体" w:hAnsi="宋体" w:cs="宋体"/>
          <w:color w:val="000000"/>
          <w:kern w:val="0"/>
          <w:sz w:val="22"/>
          <w:highlight w:val="none"/>
        </w:rPr>
      </w:pPr>
      <w:r>
        <w:rPr>
          <w:rFonts w:hint="eastAsia" w:ascii="宋体" w:hAnsi="宋体" w:cs="宋体"/>
          <w:color w:val="000000"/>
          <w:kern w:val="0"/>
          <w:sz w:val="22"/>
          <w:highlight w:val="none"/>
          <w:lang w:val="en-US" w:eastAsia="zh-CN"/>
        </w:rPr>
        <w:t>4</w:t>
      </w:r>
      <w:r>
        <w:rPr>
          <w:rFonts w:hint="eastAsia" w:ascii="宋体" w:hAnsi="宋体" w:cs="宋体"/>
          <w:color w:val="000000"/>
          <w:kern w:val="0"/>
          <w:sz w:val="22"/>
          <w:highlight w:val="none"/>
        </w:rPr>
        <w:t>.本项目不接受联合体；</w:t>
      </w:r>
    </w:p>
    <w:p>
      <w:pPr>
        <w:spacing w:line="360" w:lineRule="auto"/>
        <w:rPr>
          <w:rFonts w:ascii="宋体" w:hAnsi="宋体" w:cs="宋体"/>
          <w:b/>
          <w:bCs/>
          <w:color w:val="000000"/>
          <w:kern w:val="0"/>
          <w:sz w:val="22"/>
          <w:highlight w:val="none"/>
        </w:rPr>
      </w:pPr>
      <w:r>
        <w:rPr>
          <w:rFonts w:hint="eastAsia" w:ascii="宋体" w:hAnsi="宋体" w:cs="宋体"/>
          <w:b/>
          <w:bCs/>
          <w:color w:val="000000"/>
          <w:kern w:val="0"/>
          <w:sz w:val="22"/>
          <w:highlight w:val="none"/>
          <w:lang w:val="en-US" w:eastAsia="zh-CN"/>
        </w:rPr>
        <w:t>三</w:t>
      </w:r>
      <w:r>
        <w:rPr>
          <w:rFonts w:ascii="宋体" w:hAnsi="宋体" w:cs="宋体"/>
          <w:b/>
          <w:bCs/>
          <w:color w:val="000000"/>
          <w:kern w:val="0"/>
          <w:sz w:val="22"/>
          <w:highlight w:val="none"/>
        </w:rPr>
        <w:t>、供应商资格</w:t>
      </w:r>
    </w:p>
    <w:p>
      <w:pPr>
        <w:spacing w:line="360" w:lineRule="auto"/>
        <w:rPr>
          <w:rFonts w:ascii="宋体" w:hAnsi="宋体" w:cs="宋体"/>
          <w:color w:val="000000"/>
          <w:kern w:val="0"/>
          <w:sz w:val="22"/>
          <w:highlight w:val="none"/>
        </w:rPr>
      </w:pPr>
      <w:r>
        <w:rPr>
          <w:rFonts w:hint="eastAsia" w:ascii="宋体" w:hAnsi="宋体" w:cs="宋体"/>
          <w:color w:val="000000"/>
          <w:kern w:val="0"/>
          <w:sz w:val="22"/>
          <w:highlight w:val="none"/>
        </w:rPr>
        <w:t>1</w:t>
      </w:r>
      <w:r>
        <w:rPr>
          <w:rFonts w:ascii="宋体" w:hAnsi="宋体" w:cs="宋体"/>
          <w:color w:val="000000"/>
          <w:kern w:val="0"/>
          <w:sz w:val="22"/>
          <w:highlight w:val="none"/>
        </w:rPr>
        <w:t>.供应商必须是具有独立承担民事责任能力的在中华人民共和国境内注册的法人或其他组织，投标时提交有效的营业执照（或事业法人登记证等相关证明）副本复印件。</w:t>
      </w:r>
    </w:p>
    <w:p>
      <w:pPr>
        <w:spacing w:line="360" w:lineRule="auto"/>
        <w:rPr>
          <w:rFonts w:ascii="宋体" w:hAnsi="宋体" w:cs="宋体"/>
          <w:color w:val="000000"/>
          <w:kern w:val="0"/>
          <w:sz w:val="22"/>
          <w:highlight w:val="none"/>
        </w:rPr>
      </w:pPr>
      <w:r>
        <w:rPr>
          <w:rFonts w:hint="eastAsia" w:ascii="宋体" w:hAnsi="宋体" w:cs="宋体"/>
          <w:color w:val="000000"/>
          <w:kern w:val="0"/>
          <w:sz w:val="22"/>
          <w:highlight w:val="none"/>
        </w:rPr>
        <w:t>2</w:t>
      </w:r>
      <w:r>
        <w:rPr>
          <w:rFonts w:ascii="宋体" w:hAnsi="宋体" w:cs="宋体"/>
          <w:color w:val="000000"/>
          <w:kern w:val="0"/>
          <w:sz w:val="22"/>
          <w:highlight w:val="none"/>
        </w:rPr>
        <w:t>.</w:t>
      </w:r>
      <w:r>
        <w:rPr>
          <w:rFonts w:hint="eastAsia" w:ascii="宋体" w:hAnsi="宋体" w:cs="宋体"/>
          <w:color w:val="000000"/>
          <w:kern w:val="0"/>
          <w:sz w:val="22"/>
          <w:highlight w:val="none"/>
        </w:rPr>
        <w:t>具有履行合同所必需的设备和专业技术能力</w:t>
      </w:r>
      <w:r>
        <w:rPr>
          <w:rFonts w:hint="eastAsia" w:ascii="宋体" w:hAnsi="宋体" w:cs="宋体"/>
          <w:b/>
          <w:color w:val="000000"/>
          <w:kern w:val="0"/>
          <w:sz w:val="22"/>
          <w:highlight w:val="none"/>
          <w:u w:val="single"/>
        </w:rPr>
        <w:t>（提供声明函，格式自拟）</w:t>
      </w:r>
      <w:r>
        <w:rPr>
          <w:rFonts w:hint="eastAsia" w:ascii="宋体" w:hAnsi="宋体" w:cs="宋体"/>
          <w:color w:val="000000"/>
          <w:kern w:val="0"/>
          <w:sz w:val="22"/>
          <w:highlight w:val="none"/>
        </w:rPr>
        <w:t>；</w:t>
      </w:r>
    </w:p>
    <w:p>
      <w:pPr>
        <w:spacing w:line="360" w:lineRule="auto"/>
        <w:rPr>
          <w:rFonts w:ascii="宋体" w:hAnsi="宋体" w:cs="宋体"/>
          <w:color w:val="000000"/>
          <w:kern w:val="0"/>
          <w:sz w:val="22"/>
          <w:highlight w:val="none"/>
        </w:rPr>
      </w:pPr>
      <w:r>
        <w:rPr>
          <w:rFonts w:ascii="宋体" w:hAnsi="宋体" w:cs="宋体"/>
          <w:color w:val="000000"/>
          <w:kern w:val="0"/>
          <w:sz w:val="22"/>
          <w:highlight w:val="none"/>
        </w:rPr>
        <w:t>3.</w:t>
      </w:r>
      <w:r>
        <w:rPr>
          <w:rFonts w:hint="eastAsia" w:ascii="宋体" w:hAnsi="宋体" w:cs="宋体"/>
          <w:color w:val="000000"/>
          <w:kern w:val="0"/>
          <w:sz w:val="22"/>
          <w:highlight w:val="none"/>
        </w:rPr>
        <w:t>参加政府采购活动前三年内，在经营活动中没有重大违法记录</w:t>
      </w:r>
      <w:r>
        <w:rPr>
          <w:rFonts w:hint="eastAsia" w:ascii="宋体" w:hAnsi="宋体" w:cs="宋体"/>
          <w:b/>
          <w:color w:val="000000"/>
          <w:kern w:val="0"/>
          <w:sz w:val="22"/>
          <w:highlight w:val="none"/>
          <w:u w:val="single"/>
        </w:rPr>
        <w:t>（提供声明函，格式自拟）</w:t>
      </w:r>
      <w:r>
        <w:rPr>
          <w:rFonts w:hint="eastAsia" w:ascii="宋体" w:hAnsi="宋体" w:cs="宋体"/>
          <w:color w:val="000000"/>
          <w:kern w:val="0"/>
          <w:sz w:val="22"/>
          <w:highlight w:val="none"/>
        </w:rPr>
        <w:t>；</w:t>
      </w:r>
    </w:p>
    <w:p>
      <w:pPr>
        <w:spacing w:line="360" w:lineRule="auto"/>
        <w:rPr>
          <w:rFonts w:ascii="宋体" w:hAnsi="宋体" w:cs="宋体"/>
          <w:color w:val="000000"/>
          <w:kern w:val="0"/>
          <w:sz w:val="22"/>
          <w:highlight w:val="none"/>
        </w:rPr>
      </w:pPr>
      <w:r>
        <w:rPr>
          <w:rFonts w:ascii="宋体" w:hAnsi="宋体" w:cs="宋体"/>
          <w:color w:val="000000"/>
          <w:kern w:val="0"/>
          <w:sz w:val="22"/>
          <w:highlight w:val="none"/>
        </w:rPr>
        <w:t>4.</w:t>
      </w:r>
      <w:r>
        <w:rPr>
          <w:rFonts w:hint="eastAsia" w:ascii="宋体" w:hAnsi="宋体" w:cs="宋体"/>
          <w:color w:val="000000"/>
          <w:kern w:val="0"/>
          <w:sz w:val="22"/>
          <w:highlight w:val="none"/>
        </w:rPr>
        <w:t>未被列入“信用中国”网站</w:t>
      </w:r>
      <w:r>
        <w:rPr>
          <w:rFonts w:ascii="宋体" w:hAnsi="宋体" w:cs="宋体"/>
          <w:color w:val="000000"/>
          <w:kern w:val="0"/>
          <w:sz w:val="22"/>
          <w:highlight w:val="none"/>
          <w:u w:val="single"/>
        </w:rPr>
        <w:t>(www.creditchina.gov.cn)</w:t>
      </w:r>
      <w:r>
        <w:rPr>
          <w:rFonts w:hint="eastAsia" w:ascii="宋体" w:hAnsi="宋体" w:cs="宋体"/>
          <w:color w:val="000000"/>
          <w:kern w:val="0"/>
          <w:sz w:val="22"/>
          <w:highlight w:val="none"/>
        </w:rPr>
        <w:t>“记录失信被执行人或重大税收违法案件当事人名单或政府采购严重违法失信行为”记录名单；</w:t>
      </w:r>
      <w:r>
        <w:rPr>
          <w:rFonts w:ascii="宋体" w:hAnsi="宋体" w:cs="宋体"/>
          <w:color w:val="000000"/>
          <w:kern w:val="0"/>
          <w:sz w:val="22"/>
          <w:highlight w:val="none"/>
        </w:rPr>
        <w:t xml:space="preserve"> </w:t>
      </w:r>
    </w:p>
    <w:p>
      <w:pPr>
        <w:spacing w:line="360" w:lineRule="auto"/>
        <w:rPr>
          <w:rFonts w:ascii="宋体" w:hAnsi="宋体" w:cs="宋体"/>
          <w:color w:val="000000"/>
          <w:kern w:val="0"/>
          <w:sz w:val="22"/>
          <w:highlight w:val="none"/>
        </w:rPr>
      </w:pPr>
      <w:r>
        <w:rPr>
          <w:rFonts w:ascii="宋体" w:hAnsi="宋体" w:cs="宋体"/>
          <w:bCs/>
          <w:color w:val="000000"/>
          <w:kern w:val="0"/>
          <w:sz w:val="22"/>
          <w:highlight w:val="none"/>
        </w:rPr>
        <w:t>5.</w:t>
      </w:r>
      <w:r>
        <w:rPr>
          <w:rFonts w:hint="eastAsia" w:ascii="宋体" w:hAnsi="宋体" w:cs="宋体"/>
          <w:bCs/>
          <w:color w:val="000000"/>
          <w:kern w:val="0"/>
          <w:sz w:val="22"/>
          <w:highlight w:val="none"/>
        </w:rPr>
        <w:t>本项目不接受联合体投标。</w:t>
      </w:r>
    </w:p>
    <w:p>
      <w:pPr>
        <w:spacing w:line="360" w:lineRule="auto"/>
        <w:rPr>
          <w:rFonts w:hint="eastAsia" w:ascii="宋体" w:hAnsi="宋体" w:cs="宋体"/>
          <w:b/>
          <w:bCs/>
          <w:color w:val="000000"/>
          <w:kern w:val="0"/>
          <w:sz w:val="22"/>
          <w:highlight w:val="none"/>
        </w:rPr>
      </w:pPr>
      <w:r>
        <w:rPr>
          <w:rFonts w:hint="eastAsia" w:ascii="宋体" w:hAnsi="宋体" w:cs="宋体"/>
          <w:b/>
          <w:bCs/>
          <w:color w:val="000000"/>
          <w:kern w:val="0"/>
          <w:sz w:val="22"/>
          <w:highlight w:val="none"/>
          <w:lang w:val="en-US" w:eastAsia="zh-CN"/>
        </w:rPr>
        <w:t>四</w:t>
      </w:r>
      <w:r>
        <w:rPr>
          <w:rFonts w:ascii="宋体" w:hAnsi="宋体" w:cs="宋体"/>
          <w:b/>
          <w:bCs/>
          <w:color w:val="000000"/>
          <w:kern w:val="0"/>
          <w:sz w:val="22"/>
          <w:highlight w:val="none"/>
        </w:rPr>
        <w:t>、</w:t>
      </w:r>
      <w:r>
        <w:rPr>
          <w:rFonts w:hint="eastAsia" w:ascii="宋体" w:hAnsi="宋体" w:cs="宋体"/>
          <w:b/>
          <w:bCs/>
          <w:color w:val="000000"/>
          <w:kern w:val="0"/>
          <w:sz w:val="22"/>
          <w:highlight w:val="none"/>
        </w:rPr>
        <w:t>纸质资料接收要求</w:t>
      </w:r>
    </w:p>
    <w:p>
      <w:pPr>
        <w:spacing w:line="360" w:lineRule="auto"/>
        <w:rPr>
          <w:rFonts w:hint="eastAsia" w:ascii="宋体" w:hAnsi="宋体" w:cs="宋体"/>
          <w:b w:val="0"/>
          <w:bCs w:val="0"/>
          <w:color w:val="000000"/>
          <w:kern w:val="0"/>
          <w:sz w:val="22"/>
          <w:highlight w:val="none"/>
        </w:rPr>
      </w:pPr>
      <w:r>
        <w:rPr>
          <w:rFonts w:hint="eastAsia" w:ascii="宋体" w:hAnsi="宋体" w:cs="宋体"/>
          <w:b w:val="0"/>
          <w:bCs w:val="0"/>
          <w:color w:val="000000"/>
          <w:kern w:val="0"/>
          <w:sz w:val="22"/>
          <w:highlight w:val="none"/>
        </w:rPr>
        <w:t>1. 响应文件（样板详见需求征集文件）</w:t>
      </w:r>
    </w:p>
    <w:p>
      <w:pPr>
        <w:spacing w:line="360" w:lineRule="auto"/>
        <w:rPr>
          <w:rFonts w:hint="eastAsia" w:ascii="宋体" w:hAnsi="宋体" w:cs="宋体"/>
          <w:b w:val="0"/>
          <w:bCs w:val="0"/>
          <w:color w:val="000000"/>
          <w:kern w:val="0"/>
          <w:sz w:val="22"/>
          <w:highlight w:val="none"/>
        </w:rPr>
      </w:pPr>
      <w:r>
        <w:rPr>
          <w:rFonts w:hint="eastAsia" w:ascii="宋体" w:hAnsi="宋体" w:cs="宋体"/>
          <w:b w:val="0"/>
          <w:bCs w:val="0"/>
          <w:color w:val="000000"/>
          <w:kern w:val="0"/>
          <w:sz w:val="22"/>
          <w:highlight w:val="none"/>
        </w:rPr>
        <w:t>2. 提交时间：2023年</w:t>
      </w:r>
      <w:r>
        <w:rPr>
          <w:rFonts w:hint="eastAsia" w:ascii="宋体" w:hAnsi="宋体" w:cs="宋体"/>
          <w:b w:val="0"/>
          <w:bCs w:val="0"/>
          <w:color w:val="000000"/>
          <w:kern w:val="0"/>
          <w:sz w:val="22"/>
          <w:highlight w:val="none"/>
          <w:lang w:val="en-US" w:eastAsia="zh-CN"/>
        </w:rPr>
        <w:t>1</w:t>
      </w:r>
      <w:r>
        <w:rPr>
          <w:rFonts w:hint="eastAsia" w:ascii="宋体" w:hAnsi="宋体" w:cs="宋体"/>
          <w:b w:val="0"/>
          <w:bCs w:val="0"/>
          <w:color w:val="000000"/>
          <w:kern w:val="0"/>
          <w:sz w:val="22"/>
          <w:highlight w:val="none"/>
        </w:rPr>
        <w:t>月</w:t>
      </w:r>
      <w:r>
        <w:rPr>
          <w:rFonts w:hint="eastAsia" w:ascii="宋体" w:hAnsi="宋体" w:cs="宋体"/>
          <w:b w:val="0"/>
          <w:bCs w:val="0"/>
          <w:color w:val="000000"/>
          <w:kern w:val="0"/>
          <w:sz w:val="22"/>
          <w:highlight w:val="none"/>
          <w:lang w:val="en-US" w:eastAsia="zh-CN"/>
        </w:rPr>
        <w:t>22</w:t>
      </w:r>
      <w:r>
        <w:rPr>
          <w:rFonts w:hint="eastAsia" w:ascii="宋体" w:hAnsi="宋体" w:cs="宋体"/>
          <w:b w:val="0"/>
          <w:bCs w:val="0"/>
          <w:color w:val="000000"/>
          <w:kern w:val="0"/>
          <w:sz w:val="22"/>
          <w:highlight w:val="none"/>
        </w:rPr>
        <w:t>日下午17:30前。</w:t>
      </w:r>
    </w:p>
    <w:p>
      <w:pPr>
        <w:spacing w:line="360" w:lineRule="auto"/>
        <w:rPr>
          <w:rFonts w:hint="eastAsia" w:ascii="宋体" w:hAnsi="宋体" w:cs="宋体"/>
          <w:b w:val="0"/>
          <w:bCs w:val="0"/>
          <w:color w:val="000000"/>
          <w:kern w:val="0"/>
          <w:sz w:val="22"/>
          <w:highlight w:val="none"/>
          <w:lang w:eastAsia="zh-CN"/>
        </w:rPr>
      </w:pPr>
      <w:r>
        <w:rPr>
          <w:rFonts w:hint="eastAsia" w:ascii="宋体" w:hAnsi="宋体" w:cs="宋体"/>
          <w:b w:val="0"/>
          <w:bCs w:val="0"/>
          <w:color w:val="000000"/>
          <w:kern w:val="0"/>
          <w:sz w:val="22"/>
          <w:highlight w:val="none"/>
        </w:rPr>
        <w:t>3. 纸质资料（盖有公章）接收地点：茂名市为民路101号茂名市人民医院5号楼2楼招标采购办公室（</w:t>
      </w:r>
      <w:r>
        <w:rPr>
          <w:rFonts w:hint="eastAsia" w:ascii="宋体" w:hAnsi="宋体" w:cs="宋体"/>
          <w:b w:val="0"/>
          <w:bCs w:val="0"/>
          <w:color w:val="000000"/>
          <w:kern w:val="0"/>
          <w:sz w:val="22"/>
          <w:highlight w:val="none"/>
          <w:lang w:val="en-US" w:eastAsia="zh-CN"/>
        </w:rPr>
        <w:t>同时需提交一份可编辑的</w:t>
      </w:r>
      <w:r>
        <w:rPr>
          <w:rFonts w:hint="eastAsia" w:ascii="宋体" w:hAnsi="宋体" w:cs="宋体"/>
          <w:b w:val="0"/>
          <w:bCs w:val="0"/>
          <w:color w:val="000000"/>
          <w:kern w:val="0"/>
          <w:sz w:val="22"/>
          <w:highlight w:val="none"/>
        </w:rPr>
        <w:t>电子版资料，按指定时间发送到指定邮箱</w:t>
      </w:r>
      <w:r>
        <w:rPr>
          <w:rFonts w:hint="eastAsia" w:ascii="宋体" w:hAnsi="宋体" w:cs="宋体"/>
          <w:b w:val="0"/>
          <w:bCs w:val="0"/>
          <w:color w:val="000000"/>
          <w:kern w:val="0"/>
          <w:sz w:val="22"/>
          <w:highlight w:val="none"/>
          <w:lang w:eastAsia="zh-CN"/>
        </w:rPr>
        <w:t>，</w:t>
      </w:r>
      <w:r>
        <w:rPr>
          <w:rFonts w:hint="eastAsia" w:ascii="宋体" w:hAnsi="宋体" w:cs="宋体"/>
          <w:b w:val="0"/>
          <w:bCs w:val="0"/>
          <w:color w:val="000000"/>
          <w:kern w:val="0"/>
          <w:sz w:val="22"/>
          <w:highlight w:val="none"/>
          <w:lang w:val="en-US" w:eastAsia="zh-CN"/>
        </w:rPr>
        <w:t>以盖章版纸质资料为准</w:t>
      </w:r>
      <w:r>
        <w:rPr>
          <w:rFonts w:hint="eastAsia" w:ascii="宋体" w:hAnsi="宋体" w:cs="宋体"/>
          <w:b w:val="0"/>
          <w:bCs w:val="0"/>
          <w:color w:val="000000"/>
          <w:kern w:val="0"/>
          <w:sz w:val="22"/>
          <w:highlight w:val="none"/>
        </w:rPr>
        <w:t>）</w:t>
      </w:r>
      <w:r>
        <w:rPr>
          <w:rFonts w:hint="eastAsia" w:ascii="宋体" w:hAnsi="宋体" w:cs="宋体"/>
          <w:b w:val="0"/>
          <w:bCs w:val="0"/>
          <w:color w:val="000000"/>
          <w:kern w:val="0"/>
          <w:sz w:val="22"/>
          <w:highlight w:val="none"/>
          <w:lang w:eastAsia="zh-CN"/>
        </w:rPr>
        <w:t>。</w:t>
      </w:r>
    </w:p>
    <w:p>
      <w:pPr>
        <w:spacing w:line="360" w:lineRule="auto"/>
        <w:rPr>
          <w:rFonts w:hint="eastAsia" w:ascii="宋体" w:hAnsi="宋体" w:cs="宋体"/>
          <w:b w:val="0"/>
          <w:bCs w:val="0"/>
          <w:color w:val="000000"/>
          <w:kern w:val="0"/>
          <w:sz w:val="22"/>
          <w:highlight w:val="none"/>
          <w:lang w:val="en-US" w:eastAsia="zh-CN"/>
        </w:rPr>
      </w:pPr>
      <w:r>
        <w:rPr>
          <w:rFonts w:hint="eastAsia" w:ascii="宋体" w:hAnsi="宋体" w:cs="宋体"/>
          <w:b w:val="0"/>
          <w:bCs w:val="0"/>
          <w:color w:val="000000"/>
          <w:kern w:val="0"/>
          <w:sz w:val="22"/>
          <w:highlight w:val="none"/>
          <w:lang w:val="en-US" w:eastAsia="zh-CN"/>
        </w:rPr>
        <w:t>注：纸质版资料接受邮寄或现场递交。</w:t>
      </w:r>
    </w:p>
    <w:p>
      <w:pPr>
        <w:spacing w:line="360" w:lineRule="auto"/>
        <w:rPr>
          <w:rFonts w:hint="eastAsia" w:ascii="宋体" w:hAnsi="宋体" w:cs="宋体"/>
          <w:b/>
          <w:bCs/>
          <w:color w:val="000000"/>
          <w:kern w:val="0"/>
          <w:sz w:val="22"/>
          <w:highlight w:val="none"/>
        </w:rPr>
      </w:pPr>
      <w:r>
        <w:rPr>
          <w:rFonts w:hint="eastAsia" w:ascii="宋体" w:hAnsi="宋体" w:cs="宋体"/>
          <w:b/>
          <w:bCs/>
          <w:color w:val="000000"/>
          <w:kern w:val="0"/>
          <w:sz w:val="22"/>
          <w:highlight w:val="none"/>
        </w:rPr>
        <w:t>五、注意事项：</w:t>
      </w:r>
    </w:p>
    <w:p>
      <w:pPr>
        <w:spacing w:line="360" w:lineRule="auto"/>
        <w:rPr>
          <w:rFonts w:hint="eastAsia" w:ascii="宋体" w:hAnsi="宋体" w:cs="宋体"/>
          <w:b w:val="0"/>
          <w:bCs w:val="0"/>
          <w:color w:val="000000"/>
          <w:kern w:val="0"/>
          <w:sz w:val="22"/>
          <w:highlight w:val="none"/>
        </w:rPr>
      </w:pPr>
      <w:r>
        <w:rPr>
          <w:rFonts w:hint="eastAsia" w:ascii="宋体" w:hAnsi="宋体" w:cs="宋体"/>
          <w:b w:val="0"/>
          <w:bCs w:val="0"/>
          <w:color w:val="000000"/>
          <w:kern w:val="0"/>
          <w:sz w:val="22"/>
          <w:highlight w:val="none"/>
        </w:rPr>
        <w:t>1.各供应商必须严格按照要求进行报价，杜绝弄虚作假，胡乱报价，各供应商报价一经确认禁止更改。</w:t>
      </w:r>
    </w:p>
    <w:p>
      <w:pPr>
        <w:spacing w:line="360" w:lineRule="auto"/>
        <w:rPr>
          <w:rFonts w:hint="eastAsia" w:ascii="宋体" w:hAnsi="宋体" w:cs="宋体"/>
          <w:b/>
          <w:bCs/>
          <w:color w:val="000000"/>
          <w:kern w:val="0"/>
          <w:sz w:val="22"/>
          <w:highlight w:val="none"/>
        </w:rPr>
      </w:pPr>
      <w:r>
        <w:rPr>
          <w:rFonts w:hint="eastAsia" w:ascii="宋体" w:hAnsi="宋体" w:cs="宋体"/>
          <w:b w:val="0"/>
          <w:bCs w:val="0"/>
          <w:color w:val="000000"/>
          <w:kern w:val="0"/>
          <w:sz w:val="22"/>
          <w:highlight w:val="none"/>
        </w:rPr>
        <w:t>2. 项目严禁各供应商进行恶意竞争或其它违规行为，一经查实，将进入供应商黑名单。</w:t>
      </w:r>
    </w:p>
    <w:p>
      <w:pPr>
        <w:spacing w:line="360" w:lineRule="auto"/>
        <w:rPr>
          <w:rFonts w:hint="eastAsia" w:ascii="宋体" w:hAnsi="宋体" w:cs="宋体"/>
          <w:b/>
          <w:bCs/>
          <w:color w:val="000000"/>
          <w:kern w:val="0"/>
          <w:sz w:val="22"/>
          <w:highlight w:val="none"/>
        </w:rPr>
      </w:pPr>
      <w:r>
        <w:rPr>
          <w:rFonts w:hint="eastAsia" w:ascii="宋体" w:hAnsi="宋体" w:cs="宋体"/>
          <w:b/>
          <w:bCs/>
          <w:color w:val="000000"/>
          <w:kern w:val="0"/>
          <w:sz w:val="22"/>
          <w:highlight w:val="none"/>
        </w:rPr>
        <w:t>六、联系方式</w:t>
      </w:r>
    </w:p>
    <w:p>
      <w:pPr>
        <w:spacing w:line="360" w:lineRule="auto"/>
        <w:rPr>
          <w:rFonts w:hint="default" w:ascii="宋体" w:hAnsi="宋体" w:eastAsia="宋体" w:cs="宋体"/>
          <w:b w:val="0"/>
          <w:bCs w:val="0"/>
          <w:color w:val="000000"/>
          <w:kern w:val="0"/>
          <w:sz w:val="22"/>
          <w:highlight w:val="none"/>
          <w:lang w:val="en-US" w:eastAsia="zh-CN"/>
        </w:rPr>
      </w:pPr>
      <w:r>
        <w:rPr>
          <w:rFonts w:hint="eastAsia" w:ascii="宋体" w:hAnsi="宋体" w:cs="宋体"/>
          <w:b w:val="0"/>
          <w:bCs w:val="0"/>
          <w:color w:val="000000"/>
          <w:kern w:val="0"/>
          <w:sz w:val="22"/>
          <w:highlight w:val="none"/>
        </w:rPr>
        <w:t>联系人：</w:t>
      </w:r>
      <w:r>
        <w:rPr>
          <w:rFonts w:hint="eastAsia" w:ascii="宋体" w:hAnsi="宋体" w:cs="宋体"/>
          <w:b w:val="0"/>
          <w:bCs w:val="0"/>
          <w:color w:val="000000"/>
          <w:kern w:val="0"/>
          <w:sz w:val="22"/>
          <w:highlight w:val="none"/>
          <w:lang w:val="en-US" w:eastAsia="zh-CN"/>
        </w:rPr>
        <w:t>邵先生</w:t>
      </w:r>
    </w:p>
    <w:p>
      <w:pPr>
        <w:spacing w:line="360" w:lineRule="auto"/>
        <w:rPr>
          <w:rFonts w:hint="eastAsia" w:ascii="宋体" w:hAnsi="宋体" w:cs="宋体"/>
          <w:b w:val="0"/>
          <w:bCs w:val="0"/>
          <w:color w:val="000000"/>
          <w:kern w:val="0"/>
          <w:sz w:val="22"/>
          <w:highlight w:val="none"/>
        </w:rPr>
      </w:pPr>
      <w:r>
        <w:rPr>
          <w:rFonts w:hint="eastAsia" w:ascii="宋体" w:hAnsi="宋体" w:cs="宋体"/>
          <w:b w:val="0"/>
          <w:bCs w:val="0"/>
          <w:color w:val="000000"/>
          <w:kern w:val="0"/>
          <w:sz w:val="22"/>
          <w:highlight w:val="none"/>
        </w:rPr>
        <w:t>联系电话：0668-2922921、0668-2922306</w:t>
      </w:r>
    </w:p>
    <w:p>
      <w:pPr>
        <w:spacing w:line="360" w:lineRule="auto"/>
        <w:rPr>
          <w:rFonts w:ascii="宋体" w:hAnsi="宋体" w:cs="宋体"/>
          <w:b w:val="0"/>
          <w:bCs w:val="0"/>
          <w:color w:val="000000"/>
          <w:kern w:val="0"/>
          <w:sz w:val="22"/>
          <w:highlight w:val="none"/>
        </w:rPr>
      </w:pPr>
      <w:r>
        <w:rPr>
          <w:rFonts w:hint="eastAsia" w:ascii="宋体" w:hAnsi="宋体" w:cs="宋体"/>
          <w:b w:val="0"/>
          <w:bCs w:val="0"/>
          <w:color w:val="000000"/>
          <w:kern w:val="0"/>
          <w:sz w:val="22"/>
          <w:highlight w:val="none"/>
        </w:rPr>
        <w:t>邮箱：</w:t>
      </w:r>
      <w:r>
        <w:rPr>
          <w:rFonts w:hint="eastAsia" w:ascii="宋体" w:hAnsi="宋体" w:cs="宋体"/>
          <w:color w:val="000000"/>
          <w:kern w:val="0"/>
          <w:sz w:val="22"/>
          <w:highlight w:val="none"/>
          <w:lang w:val="en-US" w:eastAsia="zh-CN"/>
        </w:rPr>
        <w:t>mmsrmyyzbb</w:t>
      </w:r>
      <w:r>
        <w:rPr>
          <w:rFonts w:hint="eastAsia" w:ascii="宋体" w:hAnsi="宋体" w:cs="宋体"/>
          <w:color w:val="000000"/>
          <w:kern w:val="0"/>
          <w:sz w:val="22"/>
          <w:highlight w:val="none"/>
        </w:rPr>
        <w:t>@</w:t>
      </w:r>
      <w:r>
        <w:rPr>
          <w:rFonts w:hint="eastAsia" w:ascii="宋体" w:hAnsi="宋体" w:cs="宋体"/>
          <w:color w:val="000000"/>
          <w:kern w:val="0"/>
          <w:sz w:val="22"/>
          <w:highlight w:val="none"/>
          <w:lang w:val="en-US" w:eastAsia="zh-CN"/>
        </w:rPr>
        <w:t>163</w:t>
      </w:r>
      <w:r>
        <w:rPr>
          <w:rFonts w:hint="eastAsia" w:ascii="宋体" w:hAnsi="宋体" w:cs="宋体"/>
          <w:color w:val="000000"/>
          <w:kern w:val="0"/>
          <w:sz w:val="22"/>
          <w:highlight w:val="none"/>
        </w:rPr>
        <w:t>.com</w:t>
      </w:r>
    </w:p>
    <w:p>
      <w:pPr>
        <w:pStyle w:val="14"/>
        <w:tabs>
          <w:tab w:val="left" w:pos="1260"/>
        </w:tabs>
        <w:spacing w:line="360" w:lineRule="auto"/>
        <w:ind w:firstLine="0" w:firstLineChars="0"/>
        <w:jc w:val="center"/>
        <w:rPr>
          <w:rFonts w:hint="eastAsia" w:hAnsi="宋体"/>
          <w:highlight w:val="none"/>
          <w:lang w:val="en-US" w:eastAsia="zh-CN"/>
        </w:rPr>
      </w:pPr>
      <w:r>
        <w:rPr>
          <w:rFonts w:hint="eastAsia" w:hAnsi="宋体"/>
          <w:highlight w:val="none"/>
          <w:lang w:val="en-US" w:eastAsia="zh-CN"/>
        </w:rPr>
        <w:t xml:space="preserve"> </w:t>
      </w:r>
    </w:p>
    <w:p>
      <w:pPr>
        <w:pStyle w:val="14"/>
        <w:tabs>
          <w:tab w:val="left" w:pos="1260"/>
        </w:tabs>
        <w:spacing w:line="360" w:lineRule="auto"/>
        <w:ind w:firstLine="0" w:firstLineChars="0"/>
        <w:jc w:val="center"/>
        <w:rPr>
          <w:rFonts w:hint="eastAsia" w:hAnsi="宋体"/>
          <w:highlight w:val="none"/>
          <w:lang w:val="en-US" w:eastAsia="zh-CN"/>
        </w:rPr>
      </w:pPr>
    </w:p>
    <w:p>
      <w:pPr>
        <w:pStyle w:val="14"/>
        <w:tabs>
          <w:tab w:val="left" w:pos="1260"/>
        </w:tabs>
        <w:spacing w:line="360" w:lineRule="auto"/>
        <w:ind w:firstLine="0" w:firstLineChars="0"/>
        <w:jc w:val="center"/>
        <w:rPr>
          <w:rFonts w:hAnsi="宋体"/>
          <w:highlight w:val="none"/>
          <w:lang w:val="en-US"/>
        </w:rPr>
      </w:pPr>
      <w:r>
        <w:rPr>
          <w:rFonts w:hint="eastAsia" w:hAnsi="宋体"/>
          <w:highlight w:val="none"/>
          <w:lang w:val="en-US" w:eastAsia="zh-CN"/>
        </w:rPr>
        <w:t xml:space="preserve"> </w:t>
      </w:r>
      <w:r>
        <w:rPr>
          <w:rFonts w:hAnsi="宋体"/>
          <w:highlight w:val="none"/>
          <w:lang w:val="en-US" w:eastAsia="zh-CN"/>
        </w:rPr>
        <w:t xml:space="preserve">                                    </w:t>
      </w:r>
      <w:r>
        <w:rPr>
          <w:rFonts w:hint="eastAsia" w:hAnsi="宋体"/>
          <w:highlight w:val="none"/>
          <w:lang w:val="en-US"/>
        </w:rPr>
        <w:t>茂名市人民医院</w:t>
      </w:r>
    </w:p>
    <w:p>
      <w:pPr>
        <w:pStyle w:val="14"/>
        <w:tabs>
          <w:tab w:val="left" w:pos="1260"/>
        </w:tabs>
        <w:spacing w:line="360" w:lineRule="auto"/>
        <w:ind w:firstLine="0" w:firstLineChars="0"/>
        <w:jc w:val="center"/>
        <w:rPr>
          <w:rFonts w:hAnsi="宋体"/>
          <w:highlight w:val="none"/>
          <w:lang w:val="en-US"/>
        </w:rPr>
      </w:pPr>
      <w:r>
        <w:rPr>
          <w:rFonts w:hAnsi="宋体"/>
          <w:highlight w:val="none"/>
          <w:lang w:val="en-US"/>
        </w:rPr>
        <w:t xml:space="preserve">                                      202</w:t>
      </w:r>
      <w:r>
        <w:rPr>
          <w:rFonts w:hint="eastAsia" w:hAnsi="宋体"/>
          <w:highlight w:val="none"/>
          <w:lang w:val="en-US" w:eastAsia="zh-CN"/>
        </w:rPr>
        <w:t>4</w:t>
      </w:r>
      <w:r>
        <w:rPr>
          <w:rFonts w:hint="eastAsia" w:hAnsi="宋体"/>
          <w:highlight w:val="none"/>
          <w:lang w:val="en-US"/>
        </w:rPr>
        <w:t>年</w:t>
      </w:r>
      <w:r>
        <w:rPr>
          <w:rFonts w:hint="eastAsia" w:hAnsi="宋体"/>
          <w:highlight w:val="none"/>
          <w:lang w:val="en-US" w:eastAsia="zh-CN"/>
        </w:rPr>
        <w:t>1</w:t>
      </w:r>
      <w:r>
        <w:rPr>
          <w:rFonts w:hint="eastAsia" w:hAnsi="宋体"/>
          <w:highlight w:val="none"/>
          <w:lang w:val="en-US"/>
        </w:rPr>
        <w:t>月</w:t>
      </w:r>
      <w:r>
        <w:rPr>
          <w:rFonts w:hint="eastAsia" w:hAnsi="宋体"/>
          <w:highlight w:val="none"/>
          <w:lang w:val="en-US" w:eastAsia="zh-CN"/>
        </w:rPr>
        <w:t>15</w:t>
      </w:r>
      <w:bookmarkStart w:id="181" w:name="_GoBack"/>
      <w:bookmarkEnd w:id="181"/>
      <w:r>
        <w:rPr>
          <w:rFonts w:hint="eastAsia" w:hAnsi="宋体"/>
          <w:highlight w:val="none"/>
          <w:lang w:val="en-US"/>
        </w:rPr>
        <w:t>日</w:t>
      </w:r>
    </w:p>
    <w:p>
      <w:pPr>
        <w:pStyle w:val="14"/>
        <w:tabs>
          <w:tab w:val="left" w:pos="1260"/>
        </w:tabs>
        <w:spacing w:line="360" w:lineRule="auto"/>
        <w:ind w:firstLine="0" w:firstLineChars="0"/>
        <w:jc w:val="center"/>
        <w:rPr>
          <w:rFonts w:hAnsi="宋体" w:cs="仿宋"/>
          <w:b/>
          <w:spacing w:val="100"/>
          <w:w w:val="110"/>
          <w:sz w:val="44"/>
          <w:szCs w:val="44"/>
          <w:highlight w:val="none"/>
        </w:rPr>
        <w:sectPr>
          <w:pgSz w:w="11906" w:h="16838"/>
          <w:pgMar w:top="1440" w:right="1800" w:bottom="1440" w:left="1800" w:header="851" w:footer="992" w:gutter="0"/>
          <w:cols w:space="720" w:num="1"/>
          <w:docGrid w:type="lines" w:linePitch="312" w:charSpace="0"/>
        </w:sectPr>
      </w:pPr>
    </w:p>
    <w:p>
      <w:pPr>
        <w:spacing w:line="360" w:lineRule="auto"/>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用户需求书</w:t>
      </w:r>
    </w:p>
    <w:p>
      <w:pPr>
        <w:spacing w:line="360" w:lineRule="auto"/>
        <w:ind w:firstLine="420" w:firstLineChars="2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《用户需求书》中标注有“★”号的条款必须实质性响应，需要逐条响应，负偏离（不满足要求）将导致投标无效。</w:t>
      </w:r>
    </w:p>
    <w:p>
      <w:pPr>
        <w:pStyle w:val="11"/>
        <w:numPr>
          <w:ilvl w:val="0"/>
          <w:numId w:val="6"/>
        </w:numPr>
        <w:ind w:left="630" w:leftChars="0"/>
        <w:outlineLvl w:val="0"/>
        <w:rPr>
          <w:rFonts w:hint="default" w:ascii="宋体" w:hAnsi="宋体"/>
          <w:sz w:val="24"/>
          <w:szCs w:val="24"/>
          <w:highlight w:val="none"/>
          <w:lang w:val="en-US"/>
        </w:rPr>
      </w:pPr>
      <w:r>
        <w:rPr>
          <w:rFonts w:hint="eastAsia" w:ascii="宋体" w:hAnsi="宋体" w:eastAsia="宋体" w:cs="宋体"/>
          <w:b/>
          <w:bCs/>
          <w:snapToGrid w:val="0"/>
          <w:color w:val="000000"/>
          <w:spacing w:val="-7"/>
          <w:kern w:val="0"/>
          <w:sz w:val="21"/>
          <w:szCs w:val="21"/>
          <w:highlight w:val="none"/>
        </w:rPr>
        <w:t>项目</w:t>
      </w:r>
      <w:r>
        <w:rPr>
          <w:rFonts w:hint="eastAsia" w:ascii="宋体" w:hAnsi="宋体" w:cs="宋体"/>
          <w:b/>
          <w:bCs/>
          <w:snapToGrid w:val="0"/>
          <w:color w:val="000000"/>
          <w:spacing w:val="-7"/>
          <w:kern w:val="0"/>
          <w:sz w:val="21"/>
          <w:szCs w:val="21"/>
          <w:highlight w:val="none"/>
          <w:lang w:val="en-US" w:eastAsia="zh-CN"/>
        </w:rPr>
        <w:t>概括</w:t>
      </w:r>
    </w:p>
    <w:p>
      <w:pPr>
        <w:pStyle w:val="18"/>
        <w:ind w:firstLine="480" w:firstLineChars="200"/>
        <w:rPr>
          <w:rFonts w:ascii="宋体" w:hAnsi="宋体" w:cs="宋体"/>
          <w:szCs w:val="24"/>
          <w:highlight w:val="none"/>
        </w:rPr>
      </w:pPr>
      <w:r>
        <w:rPr>
          <w:rFonts w:hint="eastAsia" w:ascii="宋体" w:hAnsi="宋体" w:cs="宋体"/>
          <w:szCs w:val="24"/>
          <w:highlight w:val="none"/>
        </w:rPr>
        <w:t>医院药学平台的一期功能已经建成上线，包括合理用药系统、药学知识库、审方系统、处方点评系统。</w:t>
      </w:r>
    </w:p>
    <w:p>
      <w:pPr>
        <w:pStyle w:val="18"/>
        <w:ind w:firstLine="480" w:firstLineChars="200"/>
        <w:rPr>
          <w:highlight w:val="none"/>
        </w:rPr>
      </w:pPr>
      <w:r>
        <w:rPr>
          <w:rFonts w:hint="eastAsia" w:ascii="宋体" w:hAnsi="宋体" w:cs="宋体"/>
          <w:szCs w:val="24"/>
          <w:highlight w:val="none"/>
        </w:rPr>
        <w:t>在二期建设的过程中，需要在满足一期功能的基础上，对一期功能进行升级。二期功能的设计必须在一期功能的基础上，保持延续性，实现系统一体化设计、开发和交付。二期功能所涉及到的药品知识库、药品规则库必须沿用一期相关内容模块，保持系统建设的延续性，实现一体化管理。</w:t>
      </w:r>
    </w:p>
    <w:p>
      <w:pPr>
        <w:pStyle w:val="18"/>
        <w:ind w:firstLine="480" w:firstLineChars="200"/>
        <w:rPr>
          <w:rFonts w:ascii="宋体" w:hAnsi="宋体" w:cs="宋体"/>
          <w:szCs w:val="24"/>
          <w:highlight w:val="none"/>
        </w:rPr>
      </w:pPr>
      <w:r>
        <w:rPr>
          <w:rFonts w:hint="eastAsia" w:ascii="宋体" w:hAnsi="宋体" w:cs="宋体"/>
          <w:szCs w:val="24"/>
          <w:highlight w:val="none"/>
          <w:lang w:val="en-US" w:eastAsia="zh-CN"/>
        </w:rPr>
        <w:t>主要</w:t>
      </w:r>
      <w:r>
        <w:rPr>
          <w:rFonts w:hint="eastAsia" w:ascii="宋体" w:hAnsi="宋体" w:cs="宋体"/>
          <w:szCs w:val="24"/>
          <w:highlight w:val="none"/>
        </w:rPr>
        <w:t>包括以下内容：</w:t>
      </w:r>
    </w:p>
    <w:p>
      <w:pPr>
        <w:pStyle w:val="18"/>
        <w:numPr>
          <w:ilvl w:val="0"/>
          <w:numId w:val="7"/>
        </w:numPr>
        <w:ind w:firstLineChars="0"/>
        <w:rPr>
          <w:rFonts w:ascii="宋体" w:hAnsi="宋体" w:cs="宋体"/>
          <w:szCs w:val="24"/>
          <w:highlight w:val="none"/>
        </w:rPr>
      </w:pPr>
      <w:r>
        <w:rPr>
          <w:rFonts w:hint="eastAsia" w:ascii="宋体" w:hAnsi="宋体" w:cs="宋体"/>
          <w:szCs w:val="24"/>
          <w:highlight w:val="none"/>
        </w:rPr>
        <w:t>对现有一期四个模块进行升级改造，主要增加合理用药系统的分析维度。</w:t>
      </w:r>
    </w:p>
    <w:p>
      <w:pPr>
        <w:pStyle w:val="18"/>
        <w:numPr>
          <w:ilvl w:val="0"/>
          <w:numId w:val="7"/>
        </w:numPr>
        <w:ind w:firstLineChars="0"/>
        <w:rPr>
          <w:rFonts w:ascii="宋体" w:hAnsi="宋体" w:cs="宋体"/>
          <w:szCs w:val="24"/>
          <w:highlight w:val="none"/>
        </w:rPr>
      </w:pPr>
      <w:r>
        <w:rPr>
          <w:rFonts w:hint="eastAsia" w:ascii="宋体" w:hAnsi="宋体" w:cs="宋体"/>
          <w:szCs w:val="24"/>
          <w:highlight w:val="none"/>
        </w:rPr>
        <w:t>新增建设药学监护管理系统、慢病管理系统、药物警戒管理系统、数据分析系统、处方集系统、医生端（与药学监护管理系统配套使用）、统计指标自定义功能。</w:t>
      </w:r>
    </w:p>
    <w:p>
      <w:pPr>
        <w:pStyle w:val="18"/>
        <w:numPr>
          <w:ilvl w:val="0"/>
          <w:numId w:val="7"/>
        </w:numPr>
        <w:ind w:firstLineChars="0"/>
        <w:rPr>
          <w:rFonts w:ascii="宋体" w:hAnsi="宋体" w:cs="宋体"/>
          <w:szCs w:val="24"/>
          <w:highlight w:val="none"/>
        </w:rPr>
      </w:pPr>
      <w:r>
        <w:rPr>
          <w:rFonts w:hint="eastAsia" w:ascii="宋体" w:hAnsi="宋体" w:cs="宋体"/>
          <w:szCs w:val="24"/>
          <w:highlight w:val="none"/>
        </w:rPr>
        <w:t>满足电子病历五级评审，配合改造。</w:t>
      </w:r>
    </w:p>
    <w:p>
      <w:pPr>
        <w:pStyle w:val="18"/>
        <w:numPr>
          <w:ilvl w:val="0"/>
          <w:numId w:val="7"/>
        </w:numPr>
        <w:ind w:firstLineChars="0"/>
        <w:rPr>
          <w:rFonts w:ascii="宋体" w:hAnsi="宋体" w:cs="宋体"/>
          <w:szCs w:val="24"/>
          <w:highlight w:val="none"/>
        </w:rPr>
      </w:pPr>
      <w:r>
        <w:rPr>
          <w:rFonts w:hint="eastAsia" w:ascii="宋体" w:hAnsi="宋体" w:cs="宋体"/>
          <w:szCs w:val="24"/>
          <w:highlight w:val="none"/>
        </w:rPr>
        <w:t>满足互联互通四甲评审，配合改造。</w:t>
      </w:r>
    </w:p>
    <w:p>
      <w:pPr>
        <w:pStyle w:val="18"/>
        <w:ind w:firstLine="480" w:firstLineChars="200"/>
        <w:rPr>
          <w:rFonts w:ascii="宋体" w:hAnsi="宋体" w:cs="宋体"/>
          <w:szCs w:val="24"/>
          <w:highlight w:val="none"/>
        </w:rPr>
      </w:pPr>
      <w:r>
        <w:rPr>
          <w:rFonts w:hint="eastAsia" w:ascii="宋体" w:hAnsi="宋体" w:cs="宋体"/>
          <w:szCs w:val="24"/>
          <w:highlight w:val="none"/>
        </w:rPr>
        <w:t>5）需充分考虑系统与医院原有系统数据的继承、利用，软件的扩展及平滑升级能力，能支持多种类型的数据库并实现既有系统数据的无缝迁移。充分考虑数据安全，建立完备的数据安全保障体系。系统所涉及的单据以及报告需符合国家相关部门的书写要求与规范。系统应符合数据标准化的要求，使数据信息或数据接口标准符合 HL7、IHE、SNOMED、DICOM3.0 标准，并支持在后续项目实现全面共享。整个系统需要参照国家卫生部发布的《医院信息系统规范》，HL7 数据交换标准、ICD-9、ICD-10 协议等国际信息交换标准，以及与信息相关的国家标准和规范，特别是软件工程方面的标准和规范，必须确保数据齐全准确，若存在数据丢失问题需给予系统开发公司处罚。</w:t>
      </w:r>
    </w:p>
    <w:p>
      <w:pPr>
        <w:numPr>
          <w:ilvl w:val="0"/>
          <w:numId w:val="0"/>
        </w:numPr>
        <w:rPr>
          <w:rFonts w:hint="eastAsia"/>
          <w:highlight w:val="none"/>
          <w:lang w:eastAsia="zh-CN"/>
        </w:rPr>
      </w:pPr>
    </w:p>
    <w:p>
      <w:pPr>
        <w:pStyle w:val="10"/>
        <w:ind w:firstLine="416" w:firstLineChars="200"/>
        <w:rPr>
          <w:rFonts w:hint="eastAsia" w:ascii="宋体" w:hAnsi="宋体" w:eastAsia="宋体" w:cs="宋体"/>
          <w:spacing w:val="-1"/>
          <w:sz w:val="21"/>
          <w:szCs w:val="21"/>
          <w:highlight w:val="none"/>
        </w:rPr>
      </w:pPr>
    </w:p>
    <w:p>
      <w:pPr>
        <w:pStyle w:val="11"/>
        <w:numPr>
          <w:ilvl w:val="0"/>
          <w:numId w:val="0"/>
        </w:numPr>
        <w:ind w:firstLine="394" w:firstLineChars="200"/>
        <w:outlineLvl w:val="0"/>
        <w:rPr>
          <w:rFonts w:hint="eastAsia" w:ascii="宋体" w:hAnsi="宋体" w:eastAsia="宋体" w:cs="宋体"/>
          <w:b/>
          <w:bCs/>
          <w:snapToGrid w:val="0"/>
          <w:color w:val="000000"/>
          <w:spacing w:val="-7"/>
          <w:kern w:val="0"/>
          <w:sz w:val="21"/>
          <w:szCs w:val="21"/>
          <w:highlight w:val="none"/>
        </w:rPr>
      </w:pPr>
      <w:r>
        <w:rPr>
          <w:rFonts w:hint="eastAsia" w:ascii="宋体" w:hAnsi="宋体" w:eastAsia="宋体" w:cs="宋体"/>
          <w:b/>
          <w:bCs/>
          <w:snapToGrid w:val="0"/>
          <w:color w:val="000000"/>
          <w:spacing w:val="-7"/>
          <w:kern w:val="0"/>
          <w:sz w:val="21"/>
          <w:szCs w:val="21"/>
          <w:highlight w:val="none"/>
          <w:lang w:val="en-US" w:eastAsia="zh-CN"/>
        </w:rPr>
        <w:t>二、</w:t>
      </w:r>
      <w:r>
        <w:rPr>
          <w:rFonts w:hint="eastAsia" w:ascii="宋体" w:hAnsi="宋体" w:eastAsia="宋体" w:cs="宋体"/>
          <w:b/>
          <w:bCs/>
          <w:snapToGrid w:val="0"/>
          <w:color w:val="000000"/>
          <w:spacing w:val="-7"/>
          <w:kern w:val="0"/>
          <w:sz w:val="21"/>
          <w:szCs w:val="21"/>
          <w:highlight w:val="none"/>
        </w:rPr>
        <w:t>项目建设的内容</w:t>
      </w:r>
    </w:p>
    <w:p>
      <w:pPr>
        <w:pStyle w:val="2"/>
        <w:numPr>
          <w:ilvl w:val="0"/>
          <w:numId w:val="8"/>
        </w:numPr>
        <w:spacing w:line="360" w:lineRule="auto"/>
        <w:rPr>
          <w:rFonts w:ascii="宋体" w:hAnsi="宋体"/>
          <w:sz w:val="24"/>
          <w:szCs w:val="24"/>
          <w:highlight w:val="none"/>
        </w:rPr>
      </w:pPr>
      <w:bookmarkStart w:id="0" w:name="_Toc154688532"/>
      <w:r>
        <w:rPr>
          <w:rFonts w:hint="eastAsia" w:ascii="宋体" w:hAnsi="宋体"/>
          <w:sz w:val="24"/>
          <w:szCs w:val="24"/>
          <w:highlight w:val="none"/>
        </w:rPr>
        <w:t>智慧药学平台（一期）功能</w:t>
      </w:r>
      <w:bookmarkStart w:id="1" w:name="_Toc105120214"/>
      <w:bookmarkEnd w:id="1"/>
      <w:bookmarkStart w:id="2" w:name="_Toc111065130"/>
      <w:bookmarkEnd w:id="2"/>
      <w:bookmarkStart w:id="3" w:name="_Toc149235810"/>
      <w:bookmarkEnd w:id="3"/>
      <w:bookmarkStart w:id="4" w:name="_Toc146482502"/>
      <w:bookmarkEnd w:id="4"/>
      <w:bookmarkStart w:id="5" w:name="_Toc111065011"/>
      <w:bookmarkEnd w:id="5"/>
      <w:bookmarkStart w:id="6" w:name="_Toc105120283"/>
      <w:bookmarkEnd w:id="6"/>
      <w:bookmarkStart w:id="7" w:name="_Toc107584524"/>
      <w:bookmarkEnd w:id="7"/>
      <w:bookmarkStart w:id="8" w:name="_Toc149236187"/>
      <w:bookmarkEnd w:id="8"/>
      <w:bookmarkStart w:id="9" w:name="_Toc107584613"/>
      <w:bookmarkEnd w:id="9"/>
      <w:bookmarkStart w:id="10" w:name="_Toc129018467"/>
      <w:bookmarkEnd w:id="10"/>
      <w:bookmarkStart w:id="11" w:name="_Toc111069671"/>
      <w:bookmarkEnd w:id="11"/>
      <w:bookmarkStart w:id="12" w:name="_Toc129018033"/>
      <w:bookmarkEnd w:id="12"/>
      <w:bookmarkStart w:id="13" w:name="_Toc129017920"/>
      <w:bookmarkEnd w:id="13"/>
      <w:bookmarkStart w:id="14" w:name="_Toc146482385"/>
      <w:bookmarkEnd w:id="14"/>
      <w:bookmarkStart w:id="15" w:name="_Toc6452"/>
      <w:r>
        <w:rPr>
          <w:rFonts w:hint="eastAsia" w:ascii="宋体" w:hAnsi="宋体"/>
          <w:sz w:val="24"/>
          <w:szCs w:val="24"/>
          <w:highlight w:val="none"/>
        </w:rPr>
        <w:t>升级</w:t>
      </w:r>
      <w:bookmarkEnd w:id="0"/>
    </w:p>
    <w:p>
      <w:pPr>
        <w:pStyle w:val="3"/>
        <w:numPr>
          <w:ilvl w:val="1"/>
          <w:numId w:val="8"/>
        </w:numPr>
        <w:spacing w:line="360" w:lineRule="auto"/>
        <w:ind w:left="567"/>
        <w:rPr>
          <w:szCs w:val="24"/>
          <w:highlight w:val="none"/>
        </w:rPr>
      </w:pPr>
      <w:bookmarkStart w:id="16" w:name="_Toc154688533"/>
      <w:r>
        <w:rPr>
          <w:rFonts w:hint="eastAsia"/>
          <w:szCs w:val="24"/>
          <w:highlight w:val="none"/>
        </w:rPr>
        <w:t>一期的功能清单</w:t>
      </w:r>
      <w:bookmarkEnd w:id="16"/>
    </w:p>
    <w:p>
      <w:pPr>
        <w:pStyle w:val="18"/>
        <w:rPr>
          <w:highlight w:val="none"/>
        </w:rPr>
      </w:pPr>
      <w:r>
        <w:rPr>
          <w:rFonts w:hint="eastAsia"/>
          <w:highlight w:val="none"/>
        </w:rPr>
        <w:t>以下为医院药学平台一期</w:t>
      </w:r>
      <w:r>
        <w:rPr>
          <w:rFonts w:hint="eastAsia" w:ascii="宋体" w:hAnsi="宋体" w:cs="宋体"/>
          <w:szCs w:val="24"/>
          <w:highlight w:val="none"/>
        </w:rPr>
        <w:t>建设</w:t>
      </w:r>
      <w:r>
        <w:rPr>
          <w:rFonts w:hint="eastAsia"/>
          <w:highlight w:val="none"/>
        </w:rPr>
        <w:t>功能清单：</w:t>
      </w:r>
    </w:p>
    <w:p>
      <w:pPr>
        <w:pStyle w:val="4"/>
        <w:numPr>
          <w:ilvl w:val="2"/>
          <w:numId w:val="8"/>
        </w:numPr>
        <w:spacing w:line="360" w:lineRule="auto"/>
        <w:ind w:left="567"/>
        <w:rPr>
          <w:szCs w:val="24"/>
          <w:highlight w:val="none"/>
        </w:rPr>
      </w:pPr>
      <w:bookmarkStart w:id="17" w:name="_Toc154688534"/>
      <w:r>
        <w:rPr>
          <w:rFonts w:hint="eastAsia"/>
          <w:szCs w:val="24"/>
          <w:highlight w:val="none"/>
        </w:rPr>
        <w:t>合理用药系统功能清单</w:t>
      </w:r>
      <w:bookmarkEnd w:id="17"/>
    </w:p>
    <w:tbl>
      <w:tblPr>
        <w:tblStyle w:val="21"/>
        <w:tblW w:w="0" w:type="auto"/>
        <w:tblInd w:w="0" w:type="dxa"/>
        <w:tblLayout w:type="autofit"/>
        <w:tblCellMar>
          <w:top w:w="0" w:type="dxa"/>
          <w:left w:w="108" w:type="dxa"/>
          <w:bottom w:w="0" w:type="dxa"/>
          <w:right w:w="108" w:type="dxa"/>
        </w:tblCellMar>
      </w:tblPr>
      <w:tblGrid>
        <w:gridCol w:w="462"/>
        <w:gridCol w:w="914"/>
        <w:gridCol w:w="1019"/>
        <w:gridCol w:w="6133"/>
      </w:tblGrid>
      <w:tr>
        <w:tblPrEx>
          <w:tblCellMar>
            <w:top w:w="0" w:type="dxa"/>
            <w:left w:w="108" w:type="dxa"/>
            <w:bottom w:w="0" w:type="dxa"/>
            <w:right w:w="108" w:type="dxa"/>
          </w:tblCellMar>
        </w:tblPrEx>
        <w:trPr>
          <w:trHeight w:val="348" w:hRule="atLeast"/>
          <w:tblHead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序号</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一级模块</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二级模块</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功能说明</w:t>
            </w:r>
          </w:p>
        </w:tc>
      </w:tr>
      <w:tr>
        <w:tblPrEx>
          <w:tblCellMar>
            <w:top w:w="0" w:type="dxa"/>
            <w:left w:w="108" w:type="dxa"/>
            <w:bottom w:w="0" w:type="dxa"/>
            <w:right w:w="108" w:type="dxa"/>
          </w:tblCellMar>
        </w:tblPrEx>
        <w:trPr>
          <w:trHeight w:val="63"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用药分析引擎</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药物相互作用审查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对患者同时使用的处方/医嘱中的药品两两之间或是药品所含成份之间存在的相互作用进行提示，包括详细信息及参考文献。</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注射药物配伍审查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对将会在同一容器中混合的注射药品进行配伍审查，对混合后会导致药液浑浊、变色、稳定性出现问题等配伍问题进行提示，提示内容包括详细信息及参考文献。</w:t>
            </w:r>
          </w:p>
        </w:tc>
      </w:tr>
      <w:tr>
        <w:tblPrEx>
          <w:tblCellMar>
            <w:top w:w="0" w:type="dxa"/>
            <w:left w:w="108" w:type="dxa"/>
            <w:bottom w:w="0" w:type="dxa"/>
            <w:right w:w="108" w:type="dxa"/>
          </w:tblCellMar>
        </w:tblPrEx>
        <w:trPr>
          <w:trHeight w:val="864"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年龄与性别用药审查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根据药品说明书内容，结合患者的“年龄”、“性别”及“年龄+性别”信息进分析，对于存在的问题进行提示。</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给药途径审查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根据药品说明书内容，对处方/医嘱中的药品选择的给药途径进行分析，对于存在给药途径选择问题进行提示。</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同种、同类、同成份药品审查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对患者同时使用的处方/医嘱中的药品进行两两之间进行重复用药分析，包括是分析是否存在同种药、同类药和所含的成份是否相同的分析。审查顺序依次为“同种→同类→同成份”，并对最先分析到的内容进行提示。</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适应症审查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根据患者的疾病诊断信息，审查处方（医嘱）中药物的适应症是否与患者的疾病情况相符；（根据我院超说明书目录更新相应药品超说明书适应症，在引擎分析中增加“超说明书用药”）</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越权用药审查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审查医生开出的处方药品是否在其可以使用的权限范围内，如监控医生越级使用抗菌药物、越级使用特殊管制药品等；</w:t>
            </w:r>
          </w:p>
        </w:tc>
      </w:tr>
      <w:tr>
        <w:tblPrEx>
          <w:tblCellMar>
            <w:top w:w="0" w:type="dxa"/>
            <w:left w:w="108" w:type="dxa"/>
            <w:bottom w:w="0" w:type="dxa"/>
            <w:right w:w="108" w:type="dxa"/>
          </w:tblCellMar>
        </w:tblPrEx>
        <w:trPr>
          <w:trHeight w:val="864"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药物禁忌症审查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本审查功能将病人的疾病情况与药物禁忌症关联起来，如果处方药物的禁忌症与病人疾病情况相关时，说明病人存在使用某个药物的禁忌症，系统即发出警告提醒医生可能需要调整病人的药物治疗方案。</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剂量审查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结合年龄、给药途径等信息审查处方（医嘱）中药品剂量、给药频率是否在药品厂家说明书推荐范围内。审查每次剂量和每日剂量的最大最小推荐量；审查处方（医嘱）中药品的每次和每日给药剂量是否超出规定极量；可以对处方（医嘱）中超过2倍最大推荐量等明显异常用量进行审查； 审查处方（医嘱）中药品的给药频率是否超出规定频率；审查肝肾功能不全患者的给药剂量是否符合规定。</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超多日用量审查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根据国家有关处方管理规定对门、急诊处方药品超多日用量进行审查提示。根据国家有关处方管理规定对处方中麻醉药品和精神类药品超多日用量进行审查提示，支持当前处方和历史处方多处方审查。可以对住院患者药品累积使用量进行审查提示。</w:t>
            </w:r>
          </w:p>
        </w:tc>
      </w:tr>
      <w:tr>
        <w:tblPrEx>
          <w:tblCellMar>
            <w:top w:w="0" w:type="dxa"/>
            <w:left w:w="108" w:type="dxa"/>
            <w:bottom w:w="0" w:type="dxa"/>
            <w:right w:w="108" w:type="dxa"/>
          </w:tblCellMar>
        </w:tblPrEx>
        <w:trPr>
          <w:trHeight w:val="864"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配伍浓度审查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审查同组注射药品配伍后的药品浓度是否在规定浓度范围内，同时提供相关详细信息，包括配置浓度、配制方法、参考文献。</w:t>
            </w:r>
          </w:p>
        </w:tc>
      </w:tr>
      <w:tr>
        <w:tblPrEx>
          <w:tblCellMar>
            <w:top w:w="0" w:type="dxa"/>
            <w:left w:w="108" w:type="dxa"/>
            <w:bottom w:w="0" w:type="dxa"/>
            <w:right w:w="108" w:type="dxa"/>
          </w:tblCellMar>
        </w:tblPrEx>
        <w:trPr>
          <w:trHeight w:val="63"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妊娠期妇女用药审查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根据药品说明书内容，结合患者生理状态进行分析，当患者处于妊娠期时，对处方中的药品进行妊娠期用药审查，对于存在的问题进行提示。</w:t>
            </w:r>
          </w:p>
        </w:tc>
      </w:tr>
      <w:tr>
        <w:tblPrEx>
          <w:tblCellMar>
            <w:top w:w="0" w:type="dxa"/>
            <w:left w:w="108" w:type="dxa"/>
            <w:bottom w:w="0" w:type="dxa"/>
            <w:right w:w="108" w:type="dxa"/>
          </w:tblCellMar>
        </w:tblPrEx>
        <w:trPr>
          <w:trHeight w:val="1152"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哺乳期妇女用药审查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根据药品说明书内容，结合患者生理状态进行分析，当患者处于哺乳期时，对处方中的药品进行哺乳期用药审查，对于存在的问题进行提示。</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儿童用药审查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根据药品说明书内容，对处方中存在儿童禁忌或慎用的药品进行用药审查，对于存在的问题进行提示。</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老人用药审查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根据药品说明书内容，对处方中存在老人禁忌或慎用的药品进行用药审查，对于存在的问题进行提示。</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中草药审查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严格按照《中国药典》安全范围应用有毒药物,必须严格控制其用量，对超出限量的药物进行提示。中药配伍禁忌有“十八反”“十九畏”,相反、相畏的药物一起使用会增加药物的毒性及不良反应的发生,甚至危害患者的健康，出现配伍禁忌时给予提示。</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17</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bookmarkStart w:id="18" w:name="RANGE!C21"/>
            <w:r>
              <w:rPr>
                <w:rFonts w:hint="eastAsia" w:ascii="宋体" w:hAnsi="宋体" w:cs="宋体"/>
                <w:color w:val="000000"/>
                <w:kern w:val="0"/>
                <w:szCs w:val="21"/>
                <w:highlight w:val="none"/>
              </w:rPr>
              <w:t>临床药学配置管理与处方质量分析</w:t>
            </w:r>
            <w:bookmarkEnd w:id="18"/>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用户管理权限设置</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管理员可以对用户进行添加和删除，可对不同的人员设置不同的访问权限，包括审方权限、处方点评权限、报表的统计权限、打印/导出权限等。</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问题处方查询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支持以下类型的查询：按科室名称查询、按医生名称查询、按时间段查询、按问题类型查询、按病人姓名或病历卡号查询；</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问题处方统计</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支持按数量或百分比，统计各种问题类型所占比例。明细报表统计并可导出统计结果。</w:t>
            </w:r>
          </w:p>
        </w:tc>
      </w:tr>
      <w:tr>
        <w:tblPrEx>
          <w:tblCellMar>
            <w:top w:w="0" w:type="dxa"/>
            <w:left w:w="108" w:type="dxa"/>
            <w:bottom w:w="0" w:type="dxa"/>
            <w:right w:w="108" w:type="dxa"/>
          </w:tblCellMar>
        </w:tblPrEx>
        <w:trPr>
          <w:trHeight w:val="864"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分析规则自定义设置</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通过该设置功能，允许用户对两两药品之间的配伍禁忌（禁用、慎用）和相互作用（禁用、慎用、提示）等判断规则进行扩充，形成本院私有规则集，并能自定义提醒的文本内容；审查规则对药师可见，可修改、增加、删除。</w:t>
            </w:r>
          </w:p>
        </w:tc>
      </w:tr>
      <w:tr>
        <w:tblPrEx>
          <w:tblCellMar>
            <w:top w:w="0" w:type="dxa"/>
            <w:left w:w="108" w:type="dxa"/>
            <w:bottom w:w="0" w:type="dxa"/>
            <w:right w:w="108" w:type="dxa"/>
          </w:tblCellMar>
        </w:tblPrEx>
        <w:trPr>
          <w:trHeight w:val="1152"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问题级别设置</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对于不同类型的提醒信息系统会提供默认级别（如：配伍禁忌禁用为重要提醒级别，肝功能不全慎用为一般提醒级别）；通过该工具，用户能够将所选类型的问题提醒级别在“重要提醒”，“一般提醒”和“其它信息”三个不同级别间进行调整，来满足医院对于问题关注程度的自定义要求。</w:t>
            </w:r>
          </w:p>
        </w:tc>
      </w:tr>
      <w:tr>
        <w:tblPrEx>
          <w:tblCellMar>
            <w:top w:w="0" w:type="dxa"/>
            <w:left w:w="108" w:type="dxa"/>
            <w:bottom w:w="0" w:type="dxa"/>
            <w:right w:w="108" w:type="dxa"/>
          </w:tblCellMar>
        </w:tblPrEx>
        <w:trPr>
          <w:trHeight w:val="1728"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药品超常规量审核规则自定义</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在 “药品超常规量审核”描述的功能中，药品的常规量范围值使用的是药品知识库中维护的默认值。此外，用户通过系统提供的设置工具，自定义药品的常规用量和判断规则。</w:t>
            </w:r>
            <w:r>
              <w:rPr>
                <w:rFonts w:hint="eastAsia" w:ascii="宋体" w:hAnsi="宋体" w:cs="宋体"/>
                <w:color w:val="000000"/>
                <w:kern w:val="0"/>
                <w:szCs w:val="21"/>
                <w:highlight w:val="none"/>
              </w:rPr>
              <w:br w:type="textWrapping"/>
            </w:r>
            <w:r>
              <w:rPr>
                <w:rFonts w:hint="eastAsia" w:ascii="宋体" w:hAnsi="宋体" w:cs="宋体"/>
                <w:color w:val="000000"/>
                <w:kern w:val="0"/>
                <w:szCs w:val="21"/>
                <w:highlight w:val="none"/>
              </w:rPr>
              <w:t>可设置内容包括：在指定患者年龄段、给药途径、用药量的计算方式的条件下，可设置药品单次用量、单日用量和使用频次的范围；以及发生问题时提示的内容。</w:t>
            </w:r>
          </w:p>
        </w:tc>
      </w:tr>
      <w:tr>
        <w:tblPrEx>
          <w:tblCellMar>
            <w:top w:w="0" w:type="dxa"/>
            <w:left w:w="108" w:type="dxa"/>
            <w:bottom w:w="0" w:type="dxa"/>
            <w:right w:w="108" w:type="dxa"/>
          </w:tblCellMar>
        </w:tblPrEx>
        <w:trPr>
          <w:trHeight w:val="63"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规则屏蔽</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支持对系统中现有的审查规则进行屏蔽，包括剂量、超多日用量、给药途径、药物相互作用、注射药物配伍、配伍浓度、禁忌症、不良反应、儿童用药、老人用药、年龄与性别用药、妊娠期用药、哺乳期用药、适应症等审查维度的规则，被屏蔽的规则将不会生效。</w:t>
            </w:r>
          </w:p>
        </w:tc>
      </w:tr>
      <w:tr>
        <w:tblPrEx>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同类药提示屏蔽</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通过该设置功能，允许用户对于“会分析同类药重复用药问题的药品分类”进行自定义屏蔽。</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药品属性标识设置</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支持对药品的属性进行设置，可对药品类型、药品通用名、是否抗菌药物、抗菌药物级别、是否属于注射剂、DDD值、高价药、精神药品、麻醉药品、毒性药品、放射性药品、高危药品、社保药品、是否溶媒等数据进行管理，并能提供药品自定义属性维护，实现相关药品的管控。</w:t>
            </w:r>
          </w:p>
        </w:tc>
      </w:tr>
      <w:tr>
        <w:tblPrEx>
          <w:tblCellMar>
            <w:top w:w="0" w:type="dxa"/>
            <w:left w:w="108" w:type="dxa"/>
            <w:bottom w:w="0" w:type="dxa"/>
            <w:right w:w="108" w:type="dxa"/>
          </w:tblCellMar>
        </w:tblPrEx>
        <w:trPr>
          <w:trHeight w:val="1152"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年龄段设置</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支持对不同人群的年龄值进行设置。</w:t>
            </w:r>
          </w:p>
        </w:tc>
      </w:tr>
      <w:tr>
        <w:tblPrEx>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科室审查设置</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根据实际情况，可将科室设置为“审查科室”和“不审查科室”。</w:t>
            </w:r>
          </w:p>
        </w:tc>
      </w:tr>
    </w:tbl>
    <w:p>
      <w:pPr>
        <w:pStyle w:val="4"/>
        <w:numPr>
          <w:ilvl w:val="2"/>
          <w:numId w:val="8"/>
        </w:numPr>
        <w:spacing w:line="360" w:lineRule="auto"/>
        <w:ind w:left="567"/>
        <w:rPr>
          <w:szCs w:val="24"/>
          <w:highlight w:val="none"/>
        </w:rPr>
      </w:pPr>
      <w:bookmarkStart w:id="19" w:name="_Toc154688535"/>
      <w:r>
        <w:rPr>
          <w:rFonts w:hint="eastAsia"/>
          <w:szCs w:val="24"/>
          <w:highlight w:val="none"/>
        </w:rPr>
        <w:t>药学知识库功能清单</w:t>
      </w:r>
      <w:bookmarkEnd w:id="19"/>
    </w:p>
    <w:tbl>
      <w:tblPr>
        <w:tblStyle w:val="21"/>
        <w:tblW w:w="0" w:type="auto"/>
        <w:tblInd w:w="0" w:type="dxa"/>
        <w:tblLayout w:type="autofit"/>
        <w:tblCellMar>
          <w:top w:w="0" w:type="dxa"/>
          <w:left w:w="108" w:type="dxa"/>
          <w:bottom w:w="0" w:type="dxa"/>
          <w:right w:w="108" w:type="dxa"/>
        </w:tblCellMar>
      </w:tblPr>
      <w:tblGrid>
        <w:gridCol w:w="448"/>
        <w:gridCol w:w="1634"/>
        <w:gridCol w:w="2594"/>
        <w:gridCol w:w="3852"/>
      </w:tblGrid>
      <w:tr>
        <w:tblPrEx>
          <w:tblCellMar>
            <w:top w:w="0" w:type="dxa"/>
            <w:left w:w="108" w:type="dxa"/>
            <w:bottom w:w="0" w:type="dxa"/>
            <w:right w:w="108" w:type="dxa"/>
          </w:tblCellMar>
        </w:tblPrEx>
        <w:trPr>
          <w:trHeight w:val="348" w:hRule="atLeast"/>
          <w:tblHead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序号</w:t>
            </w:r>
          </w:p>
        </w:tc>
        <w:tc>
          <w:tcPr>
            <w:tcW w:w="16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一级模块</w:t>
            </w:r>
          </w:p>
        </w:tc>
        <w:tc>
          <w:tcPr>
            <w:tcW w:w="259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二级模块</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功能说明</w:t>
            </w:r>
          </w:p>
        </w:tc>
      </w:tr>
      <w:tr>
        <w:tblPrEx>
          <w:tblCellMar>
            <w:top w:w="0" w:type="dxa"/>
            <w:left w:w="108" w:type="dxa"/>
            <w:bottom w:w="0" w:type="dxa"/>
            <w:right w:w="108" w:type="dxa"/>
          </w:tblCellMar>
        </w:tblPrEx>
        <w:trPr>
          <w:trHeight w:val="1728"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w:t>
            </w:r>
          </w:p>
        </w:tc>
        <w:tc>
          <w:tcPr>
            <w:tcW w:w="163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药学知识库</w:t>
            </w: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药品基本信息查询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系统支持查看国家药品编码本位码信息（国产药品）的目录及详情，对于已匹配的药品，点击可查看到该药品的说明书。</w:t>
            </w:r>
          </w:p>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系统支持查看国家药品编码本位码信息（进口药品）的目录及详情，对于已匹配的药品，点击可查看到该药品的说明书。</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药品说明书查询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系统支持根据关键词查询药品说明书，展示药品说明书详情及</w:t>
            </w:r>
            <w:r>
              <w:rPr>
                <w:rFonts w:ascii="宋体" w:hAnsi="宋体" w:cs="宋体"/>
                <w:color w:val="000000"/>
                <w:kern w:val="0"/>
                <w:szCs w:val="21"/>
                <w:highlight w:val="none"/>
              </w:rPr>
              <w:t>PDF版本。</w:t>
            </w:r>
          </w:p>
        </w:tc>
      </w:tr>
      <w:tr>
        <w:tblPrEx>
          <w:tblCellMar>
            <w:top w:w="0" w:type="dxa"/>
            <w:left w:w="108" w:type="dxa"/>
            <w:bottom w:w="0" w:type="dxa"/>
            <w:right w:w="108" w:type="dxa"/>
          </w:tblCellMar>
        </w:tblPrEx>
        <w:trPr>
          <w:trHeight w:val="864"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3</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I</w:t>
            </w:r>
            <w:r>
              <w:rPr>
                <w:rFonts w:ascii="宋体" w:hAnsi="宋体" w:cs="宋体"/>
                <w:color w:val="000000"/>
                <w:kern w:val="0"/>
                <w:szCs w:val="21"/>
                <w:highlight w:val="none"/>
              </w:rPr>
              <w:t>CD</w:t>
            </w:r>
            <w:r>
              <w:rPr>
                <w:rFonts w:hint="eastAsia" w:ascii="宋体" w:hAnsi="宋体" w:cs="宋体"/>
                <w:color w:val="000000"/>
                <w:kern w:val="0"/>
                <w:szCs w:val="21"/>
                <w:highlight w:val="none"/>
              </w:rPr>
              <w:t>编码查询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系统提供国家卫健委发布的疾病分类与代码和手术操作分类代码，支持通过疾病和手术关键字、编码进行检索</w:t>
            </w:r>
            <w:r>
              <w:rPr>
                <w:rFonts w:ascii="宋体" w:hAnsi="宋体" w:cs="宋体"/>
                <w:color w:val="000000"/>
                <w:kern w:val="0"/>
                <w:szCs w:val="21"/>
                <w:highlight w:val="none"/>
              </w:rPr>
              <w:t>。</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4</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药物相互作用查询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系统支持通过关键字来搜索药品</w:t>
            </w:r>
            <w:r>
              <w:rPr>
                <w:rFonts w:ascii="宋体" w:hAnsi="宋体" w:cs="宋体"/>
                <w:color w:val="000000"/>
                <w:kern w:val="0"/>
                <w:szCs w:val="21"/>
                <w:highlight w:val="none"/>
              </w:rPr>
              <w:t>，</w:t>
            </w:r>
            <w:r>
              <w:rPr>
                <w:rFonts w:hint="eastAsia" w:ascii="宋体" w:hAnsi="宋体" w:cs="宋体"/>
                <w:color w:val="000000"/>
                <w:kern w:val="0"/>
                <w:szCs w:val="21"/>
                <w:highlight w:val="none"/>
              </w:rPr>
              <w:t>选择药品后</w:t>
            </w:r>
            <w:r>
              <w:rPr>
                <w:rFonts w:ascii="宋体" w:hAnsi="宋体" w:cs="宋体"/>
                <w:color w:val="000000"/>
                <w:kern w:val="0"/>
                <w:szCs w:val="21"/>
                <w:highlight w:val="none"/>
              </w:rPr>
              <w:t>，</w:t>
            </w:r>
            <w:r>
              <w:rPr>
                <w:rFonts w:hint="eastAsia" w:ascii="宋体" w:hAnsi="宋体" w:cs="宋体"/>
                <w:color w:val="000000"/>
                <w:kern w:val="0"/>
                <w:szCs w:val="21"/>
                <w:highlight w:val="none"/>
              </w:rPr>
              <w:t>可以针对所选择的药品之间进行相互作用分析</w:t>
            </w:r>
            <w:r>
              <w:rPr>
                <w:rFonts w:ascii="宋体" w:hAnsi="宋体" w:cs="宋体"/>
                <w:color w:val="000000"/>
                <w:kern w:val="0"/>
                <w:szCs w:val="21"/>
                <w:highlight w:val="none"/>
              </w:rPr>
              <w:t>，</w:t>
            </w:r>
            <w:r>
              <w:rPr>
                <w:rFonts w:hint="eastAsia" w:ascii="宋体" w:hAnsi="宋体" w:cs="宋体"/>
                <w:color w:val="000000"/>
                <w:kern w:val="0"/>
                <w:szCs w:val="21"/>
                <w:highlight w:val="none"/>
              </w:rPr>
              <w:t>对于分析的结果进行展示</w:t>
            </w:r>
            <w:r>
              <w:rPr>
                <w:rFonts w:ascii="宋体" w:hAnsi="宋体" w:cs="宋体"/>
                <w:color w:val="000000"/>
                <w:kern w:val="0"/>
                <w:szCs w:val="21"/>
                <w:highlight w:val="none"/>
              </w:rPr>
              <w:t>。</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5</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临床指南查询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系统提供国家卫健委发布或委托中国医学科学院编写的临床指南，可按照学科进行快速查询</w:t>
            </w:r>
            <w:r>
              <w:rPr>
                <w:rFonts w:ascii="宋体" w:hAnsi="宋体" w:cs="宋体"/>
                <w:color w:val="000000"/>
                <w:kern w:val="0"/>
                <w:szCs w:val="21"/>
                <w:highlight w:val="none"/>
              </w:rPr>
              <w:t>，</w:t>
            </w:r>
            <w:r>
              <w:rPr>
                <w:rFonts w:hint="eastAsia" w:ascii="宋体" w:hAnsi="宋体" w:cs="宋体"/>
                <w:color w:val="000000"/>
                <w:kern w:val="0"/>
                <w:szCs w:val="21"/>
                <w:highlight w:val="none"/>
              </w:rPr>
              <w:t>可查看具体的指南详情</w:t>
            </w:r>
            <w:r>
              <w:rPr>
                <w:rFonts w:ascii="宋体" w:hAnsi="宋体" w:cs="宋体"/>
                <w:color w:val="000000"/>
                <w:kern w:val="0"/>
                <w:szCs w:val="21"/>
                <w:highlight w:val="none"/>
              </w:rPr>
              <w:t>。</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6</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临床路径查询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系统提供国家卫健委发布或委托中国医学科学院编写的临床路径，可按照学科进行快速查询</w:t>
            </w:r>
            <w:r>
              <w:rPr>
                <w:rFonts w:ascii="宋体" w:hAnsi="宋体" w:cs="宋体"/>
                <w:color w:val="000000"/>
                <w:kern w:val="0"/>
                <w:szCs w:val="21"/>
                <w:highlight w:val="none"/>
              </w:rPr>
              <w:t>，</w:t>
            </w:r>
            <w:r>
              <w:rPr>
                <w:rFonts w:hint="eastAsia" w:ascii="宋体" w:hAnsi="宋体" w:cs="宋体"/>
                <w:color w:val="000000"/>
                <w:kern w:val="0"/>
                <w:szCs w:val="21"/>
                <w:highlight w:val="none"/>
              </w:rPr>
              <w:t>可查看具体的路径详情</w:t>
            </w:r>
            <w:r>
              <w:rPr>
                <w:rFonts w:ascii="宋体" w:hAnsi="宋体" w:cs="宋体"/>
                <w:color w:val="000000"/>
                <w:kern w:val="0"/>
                <w:szCs w:val="21"/>
                <w:highlight w:val="none"/>
              </w:rPr>
              <w:t>。</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7</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国家处方集查询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系统支持查看国家处方集</w:t>
            </w:r>
            <w:r>
              <w:rPr>
                <w:rFonts w:ascii="宋体" w:hAnsi="宋体" w:cs="宋体"/>
                <w:color w:val="000000"/>
                <w:kern w:val="0"/>
                <w:szCs w:val="21"/>
                <w:highlight w:val="none"/>
              </w:rPr>
              <w:t>，</w:t>
            </w:r>
            <w:r>
              <w:rPr>
                <w:rFonts w:hint="eastAsia" w:ascii="宋体" w:hAnsi="宋体" w:cs="宋体"/>
                <w:color w:val="000000"/>
                <w:kern w:val="0"/>
                <w:szCs w:val="21"/>
                <w:highlight w:val="none"/>
              </w:rPr>
              <w:t>可以通过章节进行快速查询内容</w:t>
            </w:r>
            <w:r>
              <w:rPr>
                <w:rFonts w:ascii="宋体" w:hAnsi="宋体" w:cs="宋体"/>
                <w:color w:val="000000"/>
                <w:kern w:val="0"/>
                <w:szCs w:val="21"/>
                <w:highlight w:val="none"/>
              </w:rPr>
              <w:t>。</w:t>
            </w:r>
            <w:r>
              <w:rPr>
                <w:rFonts w:hint="eastAsia" w:ascii="宋体" w:hAnsi="宋体" w:cs="宋体"/>
                <w:color w:val="000000"/>
                <w:kern w:val="0"/>
                <w:szCs w:val="21"/>
                <w:highlight w:val="none"/>
              </w:rPr>
              <w:t>支持处方集导出。</w:t>
            </w:r>
          </w:p>
        </w:tc>
      </w:tr>
      <w:tr>
        <w:tblPrEx>
          <w:tblCellMar>
            <w:top w:w="0" w:type="dxa"/>
            <w:left w:w="108" w:type="dxa"/>
            <w:bottom w:w="0" w:type="dxa"/>
            <w:right w:w="108" w:type="dxa"/>
          </w:tblCellMar>
        </w:tblPrEx>
        <w:trPr>
          <w:trHeight w:val="864"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8</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ascii="宋体" w:hAnsi="宋体" w:cs="宋体"/>
                <w:color w:val="000000"/>
                <w:kern w:val="0"/>
                <w:szCs w:val="21"/>
                <w:highlight w:val="none"/>
              </w:rPr>
              <w:t>FDA</w:t>
            </w:r>
            <w:r>
              <w:rPr>
                <w:rFonts w:hint="eastAsia" w:ascii="宋体" w:hAnsi="宋体" w:cs="宋体"/>
                <w:color w:val="000000"/>
                <w:kern w:val="0"/>
                <w:szCs w:val="21"/>
                <w:highlight w:val="none"/>
              </w:rPr>
              <w:t>妊娠期药物安全级别查询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系统支持导航展示FDA妊娠期用药安全级别</w:t>
            </w:r>
            <w:r>
              <w:rPr>
                <w:rFonts w:ascii="宋体" w:hAnsi="宋体" w:cs="宋体"/>
                <w:color w:val="000000"/>
                <w:kern w:val="0"/>
                <w:szCs w:val="21"/>
                <w:highlight w:val="none"/>
              </w:rPr>
              <w:t>，</w:t>
            </w:r>
            <w:r>
              <w:rPr>
                <w:rFonts w:hint="eastAsia" w:ascii="宋体" w:hAnsi="宋体" w:cs="宋体"/>
                <w:color w:val="000000"/>
                <w:kern w:val="0"/>
                <w:szCs w:val="21"/>
                <w:highlight w:val="none"/>
              </w:rPr>
              <w:t>可按关键字查询单个药品的妊娠期用药危害等级，也可查询某个危害等级的所有药品详情。</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9</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老年人合理用药审查量表查询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系统国内外权威机构发布的老年人用药审查量表，包括S</w:t>
            </w:r>
            <w:r>
              <w:rPr>
                <w:rFonts w:ascii="宋体" w:hAnsi="宋体" w:cs="宋体"/>
                <w:color w:val="000000"/>
                <w:kern w:val="0"/>
                <w:szCs w:val="21"/>
                <w:highlight w:val="none"/>
              </w:rPr>
              <w:t>TOPP</w:t>
            </w:r>
            <w:r>
              <w:rPr>
                <w:rFonts w:hint="eastAsia" w:ascii="宋体" w:hAnsi="宋体" w:cs="宋体"/>
                <w:color w:val="000000"/>
                <w:kern w:val="0"/>
                <w:szCs w:val="21"/>
                <w:highlight w:val="none"/>
              </w:rPr>
              <w:t>、S</w:t>
            </w:r>
            <w:r>
              <w:rPr>
                <w:rFonts w:ascii="宋体" w:hAnsi="宋体" w:cs="宋体"/>
                <w:color w:val="000000"/>
                <w:kern w:val="0"/>
                <w:szCs w:val="21"/>
                <w:highlight w:val="none"/>
              </w:rPr>
              <w:t>TART</w:t>
            </w:r>
            <w:r>
              <w:rPr>
                <w:rFonts w:hint="eastAsia" w:ascii="宋体" w:hAnsi="宋体" w:cs="宋体"/>
                <w:color w:val="000000"/>
                <w:kern w:val="0"/>
                <w:szCs w:val="21"/>
                <w:highlight w:val="none"/>
              </w:rPr>
              <w:t>、Bee</w:t>
            </w:r>
            <w:r>
              <w:rPr>
                <w:rFonts w:ascii="宋体" w:hAnsi="宋体" w:cs="宋体"/>
                <w:color w:val="000000"/>
                <w:kern w:val="0"/>
                <w:szCs w:val="21"/>
                <w:highlight w:val="none"/>
              </w:rPr>
              <w:t>rs</w:t>
            </w:r>
            <w:r>
              <w:rPr>
                <w:rFonts w:hint="eastAsia" w:ascii="宋体" w:hAnsi="宋体" w:cs="宋体"/>
                <w:color w:val="000000"/>
                <w:kern w:val="0"/>
                <w:szCs w:val="21"/>
                <w:highlight w:val="none"/>
              </w:rPr>
              <w:t>、中国老年人潜在不适当用药判断标准、中国老年人疾病状态下潜在不适合用药判断标准</w:t>
            </w:r>
            <w:r>
              <w:rPr>
                <w:rFonts w:ascii="宋体" w:hAnsi="宋体" w:cs="宋体"/>
                <w:color w:val="000000"/>
                <w:kern w:val="0"/>
                <w:szCs w:val="21"/>
                <w:highlight w:val="none"/>
              </w:rPr>
              <w:t>。</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10</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适应症药物查询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系统支持通过关键字来搜索适应症</w:t>
            </w:r>
            <w:r>
              <w:rPr>
                <w:rFonts w:ascii="宋体" w:hAnsi="宋体" w:cs="宋体"/>
                <w:color w:val="000000"/>
                <w:kern w:val="0"/>
                <w:szCs w:val="21"/>
                <w:highlight w:val="none"/>
              </w:rPr>
              <w:t>，</w:t>
            </w:r>
            <w:r>
              <w:rPr>
                <w:rFonts w:hint="eastAsia" w:ascii="宋体" w:hAnsi="宋体" w:cs="宋体"/>
                <w:color w:val="000000"/>
                <w:kern w:val="0"/>
                <w:szCs w:val="21"/>
                <w:highlight w:val="none"/>
              </w:rPr>
              <w:t>通过疾病展示相关联的药品信息</w:t>
            </w:r>
            <w:r>
              <w:rPr>
                <w:rFonts w:ascii="宋体" w:hAnsi="宋体" w:cs="宋体"/>
                <w:color w:val="000000"/>
                <w:kern w:val="0"/>
                <w:szCs w:val="21"/>
                <w:highlight w:val="none"/>
              </w:rPr>
              <w:t>，</w:t>
            </w:r>
            <w:r>
              <w:rPr>
                <w:rFonts w:hint="eastAsia" w:ascii="宋体" w:hAnsi="宋体" w:cs="宋体"/>
                <w:color w:val="000000"/>
                <w:kern w:val="0"/>
                <w:szCs w:val="21"/>
                <w:highlight w:val="none"/>
              </w:rPr>
              <w:t>并能查看相关药品的说明书以及药品基本信息</w:t>
            </w:r>
            <w:r>
              <w:rPr>
                <w:rFonts w:ascii="宋体" w:hAnsi="宋体" w:cs="宋体"/>
                <w:color w:val="000000"/>
                <w:kern w:val="0"/>
                <w:szCs w:val="21"/>
                <w:highlight w:val="none"/>
              </w:rPr>
              <w:t>。</w:t>
            </w:r>
          </w:p>
        </w:tc>
      </w:tr>
      <w:tr>
        <w:tblPrEx>
          <w:tblCellMar>
            <w:top w:w="0" w:type="dxa"/>
            <w:left w:w="108" w:type="dxa"/>
            <w:bottom w:w="0" w:type="dxa"/>
            <w:right w:w="108" w:type="dxa"/>
          </w:tblCellMar>
        </w:tblPrEx>
        <w:trPr>
          <w:trHeight w:val="864"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11</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禁慎用药查询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系统支持查询抗菌药物对特殊病理人群的禁用、慎用方法，支持按照抗菌药物类型查询，支持只查本院药品</w:t>
            </w:r>
            <w:r>
              <w:rPr>
                <w:rFonts w:ascii="宋体" w:hAnsi="宋体" w:cs="宋体"/>
                <w:color w:val="000000"/>
                <w:kern w:val="0"/>
                <w:szCs w:val="21"/>
                <w:highlight w:val="none"/>
              </w:rPr>
              <w:t>。</w:t>
            </w:r>
          </w:p>
        </w:tc>
      </w:tr>
      <w:tr>
        <w:tblPrEx>
          <w:tblCellMar>
            <w:top w:w="0" w:type="dxa"/>
            <w:left w:w="108" w:type="dxa"/>
            <w:bottom w:w="0" w:type="dxa"/>
            <w:right w:w="108" w:type="dxa"/>
          </w:tblCellMar>
        </w:tblPrEx>
        <w:trPr>
          <w:trHeight w:val="35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12</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临床检验查询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系统支持通过导航快速查询</w:t>
            </w:r>
            <w:r>
              <w:rPr>
                <w:rFonts w:ascii="宋体" w:hAnsi="宋体" w:cs="宋体"/>
                <w:color w:val="000000"/>
                <w:kern w:val="0"/>
                <w:szCs w:val="21"/>
                <w:highlight w:val="none"/>
              </w:rPr>
              <w:t>，</w:t>
            </w:r>
            <w:r>
              <w:rPr>
                <w:rFonts w:hint="eastAsia" w:ascii="宋体" w:hAnsi="宋体" w:cs="宋体"/>
                <w:color w:val="000000"/>
                <w:kern w:val="0"/>
                <w:szCs w:val="21"/>
                <w:highlight w:val="none"/>
              </w:rPr>
              <w:t>或可通过关键词进行搜索临床检验项目</w:t>
            </w:r>
            <w:r>
              <w:rPr>
                <w:rFonts w:ascii="宋体" w:hAnsi="宋体" w:cs="宋体"/>
                <w:color w:val="000000"/>
                <w:kern w:val="0"/>
                <w:szCs w:val="21"/>
                <w:highlight w:val="none"/>
              </w:rPr>
              <w:t>，</w:t>
            </w:r>
            <w:r>
              <w:rPr>
                <w:rFonts w:hint="eastAsia" w:ascii="宋体" w:hAnsi="宋体" w:cs="宋体"/>
                <w:color w:val="000000"/>
                <w:kern w:val="0"/>
                <w:szCs w:val="21"/>
                <w:highlight w:val="none"/>
              </w:rPr>
              <w:t>可查看每个检验项目不同情况下的参考范围以及临床意义</w:t>
            </w:r>
            <w:r>
              <w:rPr>
                <w:rFonts w:ascii="宋体" w:hAnsi="宋体" w:cs="宋体"/>
                <w:color w:val="000000"/>
                <w:kern w:val="0"/>
                <w:szCs w:val="21"/>
                <w:highlight w:val="none"/>
              </w:rPr>
              <w:t>。</w:t>
            </w:r>
          </w:p>
        </w:tc>
      </w:tr>
      <w:tr>
        <w:tblPrEx>
          <w:tblCellMar>
            <w:top w:w="0" w:type="dxa"/>
            <w:left w:w="108" w:type="dxa"/>
            <w:bottom w:w="0" w:type="dxa"/>
            <w:right w:w="108" w:type="dxa"/>
          </w:tblCellMar>
        </w:tblPrEx>
        <w:trPr>
          <w:trHeight w:val="1152"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13</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常用医学公式查询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提供多种常用医学公式模版供药师进行查看和使用，包括：配药量公式、循环系统、儿科学、实验室检验、神经系统、呼吸系统、泌尿系统、营养、体液及电解质、临床常用单位换算、妇产科学、营养性疾病、实验标准化与质量控制、药理学。用户可在公式中输入数值，系统将会自动计算，并输出结果及参考说明。</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14</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药物警戒快讯查询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系统提供国家药品监督管理局发布的药品安全警示内容</w:t>
            </w:r>
            <w:r>
              <w:rPr>
                <w:rFonts w:ascii="宋体" w:hAnsi="宋体" w:cs="宋体"/>
                <w:color w:val="000000"/>
                <w:kern w:val="0"/>
                <w:szCs w:val="21"/>
                <w:highlight w:val="none"/>
              </w:rPr>
              <w:t>，</w:t>
            </w:r>
            <w:r>
              <w:rPr>
                <w:rFonts w:hint="eastAsia" w:ascii="宋体" w:hAnsi="宋体" w:cs="宋体"/>
                <w:color w:val="000000"/>
                <w:kern w:val="0"/>
                <w:szCs w:val="21"/>
                <w:highlight w:val="none"/>
              </w:rPr>
              <w:t>可按照年份进行快速查询</w:t>
            </w:r>
            <w:r>
              <w:rPr>
                <w:rFonts w:ascii="宋体" w:hAnsi="宋体" w:cs="宋体"/>
                <w:color w:val="000000"/>
                <w:kern w:val="0"/>
                <w:szCs w:val="21"/>
                <w:highlight w:val="none"/>
              </w:rPr>
              <w:t>，</w:t>
            </w:r>
            <w:r>
              <w:rPr>
                <w:rFonts w:hint="eastAsia" w:ascii="宋体" w:hAnsi="宋体" w:cs="宋体"/>
                <w:color w:val="000000"/>
                <w:kern w:val="0"/>
                <w:szCs w:val="21"/>
                <w:highlight w:val="none"/>
              </w:rPr>
              <w:t>查看到每期药物警戒快讯详情</w:t>
            </w:r>
            <w:r>
              <w:rPr>
                <w:rFonts w:ascii="宋体" w:hAnsi="宋体" w:cs="宋体"/>
                <w:color w:val="000000"/>
                <w:kern w:val="0"/>
                <w:szCs w:val="21"/>
                <w:highlight w:val="none"/>
              </w:rPr>
              <w:t>。</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15</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不良反应信息通报查询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系统提供国家药品监督管理局发布的不良反应信息通报内容</w:t>
            </w:r>
            <w:r>
              <w:rPr>
                <w:rFonts w:ascii="宋体" w:hAnsi="宋体" w:cs="宋体"/>
                <w:color w:val="000000"/>
                <w:kern w:val="0"/>
                <w:szCs w:val="21"/>
                <w:highlight w:val="none"/>
              </w:rPr>
              <w:t>，</w:t>
            </w:r>
            <w:r>
              <w:rPr>
                <w:rFonts w:hint="eastAsia" w:ascii="宋体" w:hAnsi="宋体" w:cs="宋体"/>
                <w:color w:val="000000"/>
                <w:kern w:val="0"/>
                <w:szCs w:val="21"/>
                <w:highlight w:val="none"/>
              </w:rPr>
              <w:t>可按照年份进行快速查询</w:t>
            </w:r>
            <w:r>
              <w:rPr>
                <w:rFonts w:ascii="宋体" w:hAnsi="宋体" w:cs="宋体"/>
                <w:color w:val="000000"/>
                <w:kern w:val="0"/>
                <w:szCs w:val="21"/>
                <w:highlight w:val="none"/>
              </w:rPr>
              <w:t>，</w:t>
            </w:r>
            <w:r>
              <w:rPr>
                <w:rFonts w:hint="eastAsia" w:ascii="宋体" w:hAnsi="宋体" w:cs="宋体"/>
                <w:color w:val="000000"/>
                <w:kern w:val="0"/>
                <w:szCs w:val="21"/>
                <w:highlight w:val="none"/>
              </w:rPr>
              <w:t>并查看每期不良反应信息通报的详情</w:t>
            </w:r>
            <w:r>
              <w:rPr>
                <w:rFonts w:ascii="宋体" w:hAnsi="宋体" w:cs="宋体"/>
                <w:color w:val="000000"/>
                <w:kern w:val="0"/>
                <w:szCs w:val="21"/>
                <w:highlight w:val="none"/>
              </w:rPr>
              <w:t>。</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16</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中药方剂查询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系统提供中药方剂查询，支持根据关键词查询各种中药方剂，通过内容导航展示方剂详情</w:t>
            </w:r>
            <w:r>
              <w:rPr>
                <w:rFonts w:ascii="宋体" w:hAnsi="宋体" w:cs="宋体"/>
                <w:color w:val="000000"/>
                <w:kern w:val="0"/>
                <w:szCs w:val="21"/>
                <w:highlight w:val="none"/>
              </w:rPr>
              <w:t>。</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17</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中医诊疗方案查询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系统提供国家卫健委发布或委托中国医学科学院编写的中医诊疗方案。支持按学科查询，可查看诊疗方案的P</w:t>
            </w:r>
            <w:r>
              <w:rPr>
                <w:rFonts w:ascii="宋体" w:hAnsi="宋体" w:cs="宋体"/>
                <w:color w:val="000000"/>
                <w:kern w:val="0"/>
                <w:szCs w:val="21"/>
                <w:highlight w:val="none"/>
              </w:rPr>
              <w:t>DF</w:t>
            </w:r>
            <w:r>
              <w:rPr>
                <w:rFonts w:hint="eastAsia" w:ascii="宋体" w:hAnsi="宋体" w:cs="宋体"/>
                <w:color w:val="000000"/>
                <w:kern w:val="0"/>
                <w:szCs w:val="21"/>
                <w:highlight w:val="none"/>
              </w:rPr>
              <w:t>版本。</w:t>
            </w:r>
          </w:p>
        </w:tc>
      </w:tr>
      <w:tr>
        <w:tblPrEx>
          <w:tblCellMar>
            <w:top w:w="0" w:type="dxa"/>
            <w:left w:w="108" w:type="dxa"/>
            <w:bottom w:w="0" w:type="dxa"/>
            <w:right w:w="108" w:type="dxa"/>
          </w:tblCellMar>
        </w:tblPrEx>
        <w:trPr>
          <w:trHeight w:val="576"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18</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中药临床诊疗术语查询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系统支持通过导航快速查询中药临床诊疗术语，并查看术语详情</w:t>
            </w:r>
            <w:r>
              <w:rPr>
                <w:rFonts w:ascii="宋体" w:hAnsi="宋体" w:cs="宋体"/>
                <w:color w:val="000000"/>
                <w:kern w:val="0"/>
                <w:szCs w:val="21"/>
                <w:highlight w:val="none"/>
              </w:rPr>
              <w:t>。</w:t>
            </w:r>
          </w:p>
        </w:tc>
      </w:tr>
      <w:tr>
        <w:tblPrEx>
          <w:tblCellMar>
            <w:top w:w="0" w:type="dxa"/>
            <w:left w:w="108" w:type="dxa"/>
            <w:bottom w:w="0" w:type="dxa"/>
            <w:right w:w="108" w:type="dxa"/>
          </w:tblCellMar>
        </w:tblPrEx>
        <w:trPr>
          <w:trHeight w:val="1152"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19</w:t>
            </w:r>
          </w:p>
        </w:tc>
        <w:tc>
          <w:tcPr>
            <w:tcW w:w="16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中医病症分类与代码查询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系统提供国家卫健委发布的中医病症分类代码，支持通过疾病名等关键词进行检索。</w:t>
            </w:r>
          </w:p>
        </w:tc>
      </w:tr>
    </w:tbl>
    <w:p>
      <w:pPr>
        <w:pStyle w:val="4"/>
        <w:numPr>
          <w:ilvl w:val="2"/>
          <w:numId w:val="8"/>
        </w:numPr>
        <w:spacing w:line="360" w:lineRule="auto"/>
        <w:ind w:left="567"/>
        <w:rPr>
          <w:szCs w:val="24"/>
          <w:highlight w:val="none"/>
        </w:rPr>
      </w:pPr>
      <w:bookmarkStart w:id="20" w:name="_Toc154688536"/>
      <w:r>
        <w:rPr>
          <w:rFonts w:hint="eastAsia"/>
          <w:szCs w:val="24"/>
          <w:highlight w:val="none"/>
        </w:rPr>
        <w:t>审方系统功能清单</w:t>
      </w:r>
      <w:bookmarkEnd w:id="20"/>
    </w:p>
    <w:tbl>
      <w:tblPr>
        <w:tblStyle w:val="21"/>
        <w:tblW w:w="0" w:type="auto"/>
        <w:tblInd w:w="0" w:type="dxa"/>
        <w:tblLayout w:type="autofit"/>
        <w:tblCellMar>
          <w:top w:w="0" w:type="dxa"/>
          <w:left w:w="108" w:type="dxa"/>
          <w:bottom w:w="0" w:type="dxa"/>
          <w:right w:w="108" w:type="dxa"/>
        </w:tblCellMar>
      </w:tblPr>
      <w:tblGrid>
        <w:gridCol w:w="453"/>
        <w:gridCol w:w="427"/>
        <w:gridCol w:w="2028"/>
        <w:gridCol w:w="5620"/>
      </w:tblGrid>
      <w:tr>
        <w:tblPrEx>
          <w:tblCellMar>
            <w:top w:w="0" w:type="dxa"/>
            <w:left w:w="108" w:type="dxa"/>
            <w:bottom w:w="0" w:type="dxa"/>
            <w:right w:w="108" w:type="dxa"/>
          </w:tblCellMar>
        </w:tblPrEx>
        <w:trPr>
          <w:trHeight w:val="348" w:hRule="atLeast"/>
          <w:tblHeader/>
        </w:trPr>
        <w:tc>
          <w:tcPr>
            <w:tcW w:w="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序号</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一级模块</w:t>
            </w:r>
          </w:p>
        </w:tc>
        <w:tc>
          <w:tcPr>
            <w:tcW w:w="223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二级模块</w:t>
            </w:r>
          </w:p>
        </w:tc>
        <w:tc>
          <w:tcPr>
            <w:tcW w:w="633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功能说明</w:t>
            </w:r>
          </w:p>
        </w:tc>
      </w:tr>
      <w:tr>
        <w:tblPrEx>
          <w:tblCellMar>
            <w:top w:w="0" w:type="dxa"/>
            <w:left w:w="108" w:type="dxa"/>
            <w:bottom w:w="0" w:type="dxa"/>
            <w:right w:w="108" w:type="dxa"/>
          </w:tblCellMar>
        </w:tblPrEx>
        <w:trPr>
          <w:trHeight w:val="288"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门诊前置审方</w:t>
            </w: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系统登录</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用于前置审方药师的身份验证。</w:t>
            </w:r>
          </w:p>
        </w:tc>
      </w:tr>
      <w:tr>
        <w:tblPrEx>
          <w:tblCellMar>
            <w:top w:w="0" w:type="dxa"/>
            <w:left w:w="108" w:type="dxa"/>
            <w:bottom w:w="0" w:type="dxa"/>
            <w:right w:w="108" w:type="dxa"/>
          </w:tblCellMar>
        </w:tblPrEx>
        <w:trPr>
          <w:trHeight w:val="576"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门诊审方全局配置（管理员权限）</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包括前置药学平台功能开关、前置审方超时时间设定、前置审方科室设定、药师的前置审方科室分配。</w:t>
            </w:r>
          </w:p>
        </w:tc>
      </w:tr>
      <w:tr>
        <w:tblPrEx>
          <w:tblCellMar>
            <w:top w:w="0" w:type="dxa"/>
            <w:left w:w="108" w:type="dxa"/>
            <w:bottom w:w="0" w:type="dxa"/>
            <w:right w:w="108" w:type="dxa"/>
          </w:tblCellMar>
        </w:tblPrEx>
        <w:trPr>
          <w:trHeight w:val="576"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门诊-待审核处方自动提醒</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当系统检测到有新的待审核处方时，系统会以气泡提示、声音提示的方式提醒药师有新的待审核处方。</w:t>
            </w:r>
          </w:p>
        </w:tc>
      </w:tr>
      <w:tr>
        <w:tblPrEx>
          <w:tblCellMar>
            <w:top w:w="0" w:type="dxa"/>
            <w:left w:w="108" w:type="dxa"/>
            <w:bottom w:w="0" w:type="dxa"/>
            <w:right w:w="108" w:type="dxa"/>
          </w:tblCellMar>
        </w:tblPrEx>
        <w:trPr>
          <w:trHeight w:val="288"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门诊-待审核处方查询</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查询目前待审核的门诊处方信息。</w:t>
            </w:r>
          </w:p>
        </w:tc>
      </w:tr>
      <w:tr>
        <w:tblPrEx>
          <w:tblCellMar>
            <w:top w:w="0" w:type="dxa"/>
            <w:left w:w="108" w:type="dxa"/>
            <w:bottom w:w="0" w:type="dxa"/>
            <w:right w:w="108" w:type="dxa"/>
          </w:tblCellMar>
        </w:tblPrEx>
        <w:trPr>
          <w:trHeight w:val="1152"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门诊-待审核处方患者查询</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查询目前待审核门诊处方的患者信息。</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显示待审核处方患者列表。</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显示患者姓名、科室、医生、问题处方总数。</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通过患者姓名、就诊号模糊搜索。</w:t>
            </w:r>
          </w:p>
        </w:tc>
      </w:tr>
      <w:tr>
        <w:tblPrEx>
          <w:tblCellMar>
            <w:top w:w="0" w:type="dxa"/>
            <w:left w:w="108" w:type="dxa"/>
            <w:bottom w:w="0" w:type="dxa"/>
            <w:right w:w="108" w:type="dxa"/>
          </w:tblCellMar>
        </w:tblPrEx>
        <w:trPr>
          <w:trHeight w:val="864"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门诊-查询患者待审核处方</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查询指定患者的待审核处方信息。</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显示所选择患者的待审核处方。</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同&lt;门诊-待审核处方查询&gt;。</w:t>
            </w:r>
          </w:p>
        </w:tc>
      </w:tr>
      <w:tr>
        <w:tblPrEx>
          <w:tblCellMar>
            <w:top w:w="0" w:type="dxa"/>
            <w:left w:w="108" w:type="dxa"/>
            <w:bottom w:w="0" w:type="dxa"/>
            <w:right w:w="108" w:type="dxa"/>
          </w:tblCellMar>
        </w:tblPrEx>
        <w:trPr>
          <w:trHeight w:val="864"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门诊-前置审方倒计时</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对每条待审核处方进行倒计时，超时的处方将自动审核通过。</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门诊-前置审方通过。</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门诊-打回处方。</w:t>
            </w:r>
          </w:p>
        </w:tc>
      </w:tr>
      <w:tr>
        <w:tblPrEx>
          <w:tblCellMar>
            <w:top w:w="0" w:type="dxa"/>
            <w:left w:w="108" w:type="dxa"/>
            <w:bottom w:w="0" w:type="dxa"/>
            <w:right w:w="108" w:type="dxa"/>
          </w:tblCellMar>
        </w:tblPrEx>
        <w:trPr>
          <w:trHeight w:val="864"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门诊-处方优先审核</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对于急诊的处方、打回重新提交的处方将排序靠前，优先审核。</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输入常用的前置审方意见保存。</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删除不需要的前置审方意见。</w:t>
            </w:r>
          </w:p>
        </w:tc>
      </w:tr>
      <w:tr>
        <w:tblPrEx>
          <w:tblCellMar>
            <w:top w:w="0" w:type="dxa"/>
            <w:left w:w="108" w:type="dxa"/>
            <w:bottom w:w="0" w:type="dxa"/>
            <w:right w:w="108" w:type="dxa"/>
          </w:tblCellMar>
        </w:tblPrEx>
        <w:trPr>
          <w:trHeight w:val="2592"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门诊-查询历史审核处方</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查询已经完成审核的处方信息。</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显示处方的概要信息：处理状态、就诊号、处方号、提交时间、患者姓名、问题代码、问题标题、处方内容、科室、用药备注。</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通过就诊号、处方号模糊查询。</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通过开始时间、结束时间限定查询</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通过前置审方状态筛选查询：审核通过、审核未通过、超时自动通过、自动审核通过</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分页显示处方列表</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不同审核状态的处方显示不同颜色</w:t>
            </w:r>
          </w:p>
        </w:tc>
      </w:tr>
      <w:tr>
        <w:tblPrEx>
          <w:tblCellMar>
            <w:top w:w="0" w:type="dxa"/>
            <w:left w:w="108" w:type="dxa"/>
            <w:bottom w:w="0" w:type="dxa"/>
            <w:right w:w="108" w:type="dxa"/>
          </w:tblCellMar>
        </w:tblPrEx>
        <w:trPr>
          <w:trHeight w:val="288"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门诊-审核意见预设置</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用于设置打回处方、医嘱时所填写的审核意见。</w:t>
            </w:r>
          </w:p>
        </w:tc>
      </w:tr>
      <w:tr>
        <w:tblPrEx>
          <w:tblCellMar>
            <w:top w:w="0" w:type="dxa"/>
            <w:left w:w="108" w:type="dxa"/>
            <w:bottom w:w="0" w:type="dxa"/>
            <w:right w:w="108" w:type="dxa"/>
          </w:tblCellMar>
        </w:tblPrEx>
        <w:trPr>
          <w:trHeight w:val="983"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门诊-查看处方详情</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查看处方的详细信息，包括患者基本信息、处方详情、处方问题详情、前置审方历史。</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自动锁定处方，其他药师打开该处方将显示“处方已被XXX锁定”，将已只读方式阅览处方，不能进行前置审方操作。</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显示患者基本信息：门诊号、患者姓名、性别、年龄、出生日期、科室、医生、体重、身高、诊断信息、用药备注。</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显示处方详情：处方号、药品名称、规格、给药途径、单次用量、用药方法、服药天数、开处方医生工号、开处方医生、患者当前科室、用药组号、药品编码</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双击药品名称查看药品说明书</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显示处方问题详情：以树形结构显示处方中药品名称、药品分析问题</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显示审核历史：列表显示处方的审核记录，包括审核时间、审核意见、审核状态、审核人</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查看电子病历：可跳转至医院全景电子病历，查看患者更多信息。</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查看患者PACS影像信息。</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查看患者LIS检验信息。</w:t>
            </w:r>
          </w:p>
        </w:tc>
      </w:tr>
      <w:tr>
        <w:tblPrEx>
          <w:tblCellMar>
            <w:top w:w="0" w:type="dxa"/>
            <w:left w:w="108" w:type="dxa"/>
            <w:bottom w:w="0" w:type="dxa"/>
            <w:right w:w="108" w:type="dxa"/>
          </w:tblCellMar>
        </w:tblPrEx>
        <w:trPr>
          <w:trHeight w:val="288"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门诊-查看药品说明书</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在处方详情中可以点击药品名，在弹出的窗口中查看药品的详细说明书。（提示该药品是否属于我院超说明书目录药品，支持查看超说明书情况）</w:t>
            </w:r>
          </w:p>
        </w:tc>
      </w:tr>
      <w:tr>
        <w:tblPrEx>
          <w:tblCellMar>
            <w:top w:w="0" w:type="dxa"/>
            <w:left w:w="108" w:type="dxa"/>
            <w:bottom w:w="0" w:type="dxa"/>
            <w:right w:w="108" w:type="dxa"/>
          </w:tblCellMar>
        </w:tblPrEx>
        <w:trPr>
          <w:trHeight w:val="576"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门诊-锁定处方</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查看处方详情时将自动锁定处方，其他人只能查看该处方，不能进行前置审方操作。</w:t>
            </w:r>
          </w:p>
        </w:tc>
      </w:tr>
      <w:tr>
        <w:tblPrEx>
          <w:tblCellMar>
            <w:top w:w="0" w:type="dxa"/>
            <w:left w:w="108" w:type="dxa"/>
            <w:bottom w:w="0" w:type="dxa"/>
            <w:right w:w="108" w:type="dxa"/>
          </w:tblCellMar>
        </w:tblPrEx>
        <w:trPr>
          <w:trHeight w:val="576"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门诊-前置审方结果反馈</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通知医师前置审方结果，包括前置审方通过、前置审方打回；医师可在通知界面填写用药理由并且重新提交审核。</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通知进入前置药学平台。</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通知前置审方被打回。</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通知前置审方通过。</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前置审方互动。</w:t>
            </w:r>
          </w:p>
        </w:tc>
      </w:tr>
      <w:tr>
        <w:tblPrEx>
          <w:tblCellMar>
            <w:top w:w="0" w:type="dxa"/>
            <w:left w:w="108" w:type="dxa"/>
            <w:bottom w:w="0" w:type="dxa"/>
            <w:right w:w="108" w:type="dxa"/>
          </w:tblCellMar>
        </w:tblPrEx>
        <w:trPr>
          <w:trHeight w:val="167"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门诊-前置审方双签通过</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提供医生双签功能，药师打回处方之后，药师可以选择双签通过，无需再次审核。</w:t>
            </w:r>
          </w:p>
        </w:tc>
      </w:tr>
      <w:tr>
        <w:tblPrEx>
          <w:tblCellMar>
            <w:top w:w="0" w:type="dxa"/>
            <w:left w:w="108" w:type="dxa"/>
            <w:bottom w:w="0" w:type="dxa"/>
            <w:right w:w="108" w:type="dxa"/>
          </w:tblCellMar>
        </w:tblPrEx>
        <w:trPr>
          <w:trHeight w:val="576"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门诊-审方统计</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提供门诊审方统计报表，包括医嘱审核通过率、干预率、医生对于医嘱审核的认同率等；根据若干条件查询医嘱审核记录，并且支持Excel导出功能。支持以图表形式展示药师审方情况。</w:t>
            </w:r>
          </w:p>
        </w:tc>
      </w:tr>
      <w:tr>
        <w:tblPrEx>
          <w:tblCellMar>
            <w:top w:w="0" w:type="dxa"/>
            <w:left w:w="108" w:type="dxa"/>
            <w:bottom w:w="0" w:type="dxa"/>
            <w:right w:w="108" w:type="dxa"/>
          </w:tblCellMar>
        </w:tblPrEx>
        <w:trPr>
          <w:trHeight w:val="864"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门诊-前置审方上下班</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若当前药师下班或者暂时没有时间前置审方，可暂时关闭被分配科室的前置审方功能，处方将自动审核通过。也可以恢复这些科室的前置审方功能。对其他科室不会产生影响。</w:t>
            </w:r>
          </w:p>
        </w:tc>
      </w:tr>
      <w:tr>
        <w:tblPrEx>
          <w:tblCellMar>
            <w:top w:w="0" w:type="dxa"/>
            <w:left w:w="108" w:type="dxa"/>
            <w:bottom w:w="0" w:type="dxa"/>
            <w:right w:w="108" w:type="dxa"/>
          </w:tblCellMar>
        </w:tblPrEx>
        <w:trPr>
          <w:trHeight w:val="78"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18</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住院前置审方</w:t>
            </w: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系统登录</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用于前置审方药师的身份验证。</w:t>
            </w:r>
          </w:p>
        </w:tc>
      </w:tr>
      <w:tr>
        <w:tblPrEx>
          <w:tblCellMar>
            <w:top w:w="0" w:type="dxa"/>
            <w:left w:w="108" w:type="dxa"/>
            <w:bottom w:w="0" w:type="dxa"/>
            <w:right w:w="108" w:type="dxa"/>
          </w:tblCellMar>
        </w:tblPrEx>
        <w:trPr>
          <w:trHeight w:val="288"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住院审方全局设置（管理员权限）</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前置药学平台系统的全局设定，包括前置药学平台功能开关、前置审方超时时间设定、前置审方科室设定、药师的前置审方科室分配。</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设置是否开启前置审方：关闭前置审方后，前置审方功能将暂停，处方将自动审核通过。</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设置前置审方的超时时间：从处方提交开始计时，超过了超时间，处方将自动通过。</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设置前置审方的问题级别：（重要警示、一般提示、其他），设置的问题级别的处方将进入前置药学平台人工审核，其他的将自动审核通过。</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设置前置审方科室：只有设置的前置审方科室创建的处方才会进入前置药学平台。</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药师分配前置审方科室开关：打开开关，则药师将只看到自己被分配的科室创建的处方；关闭开关，则药师可以看到所有设置前置审方的科室创建的处方。</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药师分配前置审方科室：设置药师审核处方的科室。</w:t>
            </w:r>
          </w:p>
        </w:tc>
      </w:tr>
      <w:tr>
        <w:tblPrEx>
          <w:tblCellMar>
            <w:top w:w="0" w:type="dxa"/>
            <w:left w:w="108" w:type="dxa"/>
            <w:bottom w:w="0" w:type="dxa"/>
            <w:right w:w="108" w:type="dxa"/>
          </w:tblCellMar>
        </w:tblPrEx>
        <w:trPr>
          <w:trHeight w:val="63"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住院-待审核医嘱自动提醒</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当系统检测到有新的待审核医嘱时，系统会以气泡提示、声音提示的方式提醒药师有新的待审核医嘱。</w:t>
            </w:r>
          </w:p>
        </w:tc>
      </w:tr>
      <w:tr>
        <w:tblPrEx>
          <w:tblCellMar>
            <w:top w:w="0" w:type="dxa"/>
            <w:left w:w="108" w:type="dxa"/>
            <w:bottom w:w="0" w:type="dxa"/>
            <w:right w:w="108" w:type="dxa"/>
          </w:tblCellMar>
        </w:tblPrEx>
        <w:trPr>
          <w:trHeight w:val="576"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住院-待审核医嘱查询</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查询目前待审核的住院医嘱信息。</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显示待审核医嘱列表</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显示医嘱的概要信息：住院号、医嘱号、处理状态、上次审核人、剩余超时时间、提交时间、患者姓名、问题代码、问题标题、医嘱内容、科室、床位、用药备注</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每个医嘱自动倒计时功能</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显示医嘱是否重审</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通过住院号、医嘱号模糊搜索</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医嘱按是否重审、医嘱时间排序</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医嘱超时则自动冻结该医嘱的审核操作</w:t>
            </w:r>
          </w:p>
        </w:tc>
      </w:tr>
      <w:tr>
        <w:tblPrEx>
          <w:tblCellMar>
            <w:top w:w="0" w:type="dxa"/>
            <w:left w:w="108" w:type="dxa"/>
            <w:bottom w:w="0" w:type="dxa"/>
            <w:right w:w="108" w:type="dxa"/>
          </w:tblCellMar>
        </w:tblPrEx>
        <w:trPr>
          <w:trHeight w:val="489"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住院-待审核医嘱患者查询</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查询目前待审核住院医嘱的患者信息。</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显示待审核医嘱的患者列表</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显示患者姓名、住院号、问题医嘱总数、科室、医生、诊断</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通过患者姓名、住院号模糊搜索</w:t>
            </w:r>
          </w:p>
        </w:tc>
      </w:tr>
      <w:tr>
        <w:tblPrEx>
          <w:tblCellMar>
            <w:top w:w="0" w:type="dxa"/>
            <w:left w:w="108" w:type="dxa"/>
            <w:bottom w:w="0" w:type="dxa"/>
            <w:right w:w="108" w:type="dxa"/>
          </w:tblCellMar>
        </w:tblPrEx>
        <w:trPr>
          <w:trHeight w:val="1152"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住院-查询患者待审核医嘱</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查询指定患者的待审核医嘱信息。</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显示所选择患者的待审核医嘱</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同&lt;住院-待审核医嘱查询&gt;</w:t>
            </w:r>
          </w:p>
        </w:tc>
      </w:tr>
      <w:tr>
        <w:tblPrEx>
          <w:tblCellMar>
            <w:top w:w="0" w:type="dxa"/>
            <w:left w:w="108" w:type="dxa"/>
            <w:bottom w:w="0" w:type="dxa"/>
            <w:right w:w="108" w:type="dxa"/>
          </w:tblCellMar>
        </w:tblPrEx>
        <w:trPr>
          <w:trHeight w:val="864"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住院-医嘱审核倒计时</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对每条待审核医嘱进行倒计时，超时的医嘱将自动审核通过。</w:t>
            </w:r>
          </w:p>
        </w:tc>
      </w:tr>
      <w:tr>
        <w:tblPrEx>
          <w:tblCellMar>
            <w:top w:w="0" w:type="dxa"/>
            <w:left w:w="108" w:type="dxa"/>
            <w:bottom w:w="0" w:type="dxa"/>
            <w:right w:w="108" w:type="dxa"/>
          </w:tblCellMar>
        </w:tblPrEx>
        <w:trPr>
          <w:trHeight w:val="288"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住院-医嘱优先审核</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对于打回重新提交的医嘱将排序靠前，优先审核。</w:t>
            </w:r>
          </w:p>
        </w:tc>
      </w:tr>
      <w:tr>
        <w:tblPrEx>
          <w:tblCellMar>
            <w:top w:w="0" w:type="dxa"/>
            <w:left w:w="108" w:type="dxa"/>
            <w:bottom w:w="0" w:type="dxa"/>
            <w:right w:w="108" w:type="dxa"/>
          </w:tblCellMar>
        </w:tblPrEx>
        <w:trPr>
          <w:trHeight w:val="288"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住院-查询历史审核医嘱</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查询已经完成审核的医嘱信息。</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显示医嘱的概要信息：处理状态、住院号、医嘱号、提交时间、患者姓名、问题代码、问题标题、医嘱内容、科室、床位、用药备注</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通过住院号、医嘱号模糊查询</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通过开始时间、结束时间限定查询</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通过前置审方状态筛选查询：审核通过、审核未通过、超时自动通过、自动审核通过</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分页显示医嘱列表</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不同审核状态的医嘱显示不同颜色</w:t>
            </w:r>
          </w:p>
        </w:tc>
      </w:tr>
      <w:tr>
        <w:tblPrEx>
          <w:tblCellMar>
            <w:top w:w="0" w:type="dxa"/>
            <w:left w:w="108" w:type="dxa"/>
            <w:bottom w:w="0" w:type="dxa"/>
            <w:right w:w="108" w:type="dxa"/>
          </w:tblCellMar>
        </w:tblPrEx>
        <w:trPr>
          <w:trHeight w:val="339"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住院-审核意见预设置</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用于设置打回处方、医嘱时所填写的审核意见。</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输入常用的前置审方意见保存</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删除不需要的前置审方意见</w:t>
            </w:r>
          </w:p>
        </w:tc>
      </w:tr>
      <w:tr>
        <w:tblPrEx>
          <w:tblCellMar>
            <w:top w:w="0" w:type="dxa"/>
            <w:left w:w="108" w:type="dxa"/>
            <w:bottom w:w="0" w:type="dxa"/>
            <w:right w:w="108" w:type="dxa"/>
          </w:tblCellMar>
        </w:tblPrEx>
        <w:trPr>
          <w:trHeight w:val="864"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住院-查看医嘱详情</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查看医嘱的详细信息，包括患者基本信息、医嘱详情、医嘱问题详情、医嘱审核历史。</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自动锁定医嘱，其他药师打开该医嘱将显示“医嘱已被XXX锁定”，将已只读方式阅览医嘱，不能进行前置审方操作。</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显示患者基本信息：住院号、患者姓名、性别、年龄、出生日期、科室、主治医生、体重、身高、床位号、诊断信息、用药备注</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显示医嘱详情：医嘱号、药品名称、规格、给药途径、单次用量、用药方法、服药天数、开医嘱医生工号、开医嘱医生、患者当前科室、开嘱时间、停嘱时间、用药组号、药品编码</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双击药品名称查看药品说明书</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弹出窗口显示药品的详细说明书</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显示医嘱问题详情：以树形结构显示医嘱中药品名称、药品分析问题</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显示审核历史：列表显示医嘱的审核记录，包括审核时间、审核意见、审核状态、审核人</w:t>
            </w:r>
          </w:p>
        </w:tc>
      </w:tr>
      <w:tr>
        <w:tblPrEx>
          <w:tblCellMar>
            <w:top w:w="0" w:type="dxa"/>
            <w:left w:w="108" w:type="dxa"/>
            <w:bottom w:w="0" w:type="dxa"/>
            <w:right w:w="108" w:type="dxa"/>
          </w:tblCellMar>
        </w:tblPrEx>
        <w:trPr>
          <w:trHeight w:val="306"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住院-查看药品说明书</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在医嘱详情中可以点击药品名，在弹出的窗口中查看药品的详细说明书。（提示该药品是否属于我院超说明书目录药品，支持查看超说明书情况）</w:t>
            </w:r>
          </w:p>
        </w:tc>
      </w:tr>
      <w:tr>
        <w:tblPrEx>
          <w:tblCellMar>
            <w:top w:w="0" w:type="dxa"/>
            <w:left w:w="108" w:type="dxa"/>
            <w:bottom w:w="0" w:type="dxa"/>
            <w:right w:w="108" w:type="dxa"/>
          </w:tblCellMar>
        </w:tblPrEx>
        <w:trPr>
          <w:trHeight w:val="288"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30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住院-锁定医嘱</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查看医嘱详情时将自动锁定医嘱，其他人只能查看该医嘱，不能进行前置审方操作。</w:t>
            </w:r>
          </w:p>
        </w:tc>
      </w:tr>
      <w:tr>
        <w:tblPrEx>
          <w:tblCellMar>
            <w:top w:w="0" w:type="dxa"/>
            <w:left w:w="108" w:type="dxa"/>
            <w:bottom w:w="0" w:type="dxa"/>
            <w:right w:w="108" w:type="dxa"/>
          </w:tblCellMar>
        </w:tblPrEx>
        <w:trPr>
          <w:trHeight w:val="576"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31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住院-前置审方通知</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通知医师前置审方结果，包括前置审方通过、前置审方打回；医师可在通知界面填写用药理由并且重新提交审核。</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通知进入前置药学平台</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通知前置审方被打回</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通知前置审方通过</w:t>
            </w:r>
            <w:r>
              <w:rPr>
                <w:rFonts w:hint="eastAsia" w:ascii="宋体" w:hAnsi="宋体" w:cs="宋体"/>
                <w:color w:val="000000"/>
                <w:kern w:val="0"/>
                <w:szCs w:val="21"/>
                <w:highlight w:val="none"/>
              </w:rPr>
              <w:br w:type="textWrapping"/>
            </w:r>
            <w:r>
              <w:rPr>
                <w:rFonts w:ascii="Wingdings" w:hAnsi="Wingdings" w:cs="宋体"/>
                <w:color w:val="000000"/>
                <w:kern w:val="0"/>
                <w:szCs w:val="21"/>
                <w:highlight w:val="none"/>
              </w:rPr>
              <w:t></w:t>
            </w:r>
            <w:r>
              <w:rPr>
                <w:rFonts w:hint="eastAsia" w:ascii="宋体" w:hAnsi="宋体" w:cs="宋体"/>
                <w:color w:val="000000"/>
                <w:kern w:val="0"/>
                <w:szCs w:val="21"/>
                <w:highlight w:val="none"/>
              </w:rPr>
              <w:t xml:space="preserve"> 前置审方互动</w:t>
            </w:r>
          </w:p>
        </w:tc>
      </w:tr>
      <w:tr>
        <w:tblPrEx>
          <w:tblCellMar>
            <w:top w:w="0" w:type="dxa"/>
            <w:left w:w="108" w:type="dxa"/>
            <w:bottom w:w="0" w:type="dxa"/>
            <w:right w:w="108" w:type="dxa"/>
          </w:tblCellMar>
        </w:tblPrEx>
        <w:trPr>
          <w:trHeight w:val="576"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32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住院-审方统计</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提供住院审方统计报表，包括医嘱审核通过率、干预率、医生对于医嘱审核的认同率等；根据若干条件查询医嘱审核记录，并且支持Excel导出功能。支持以图表形式展示药师审方情况。</w:t>
            </w:r>
          </w:p>
        </w:tc>
      </w:tr>
      <w:tr>
        <w:tblPrEx>
          <w:tblCellMar>
            <w:top w:w="0" w:type="dxa"/>
            <w:left w:w="108" w:type="dxa"/>
            <w:bottom w:w="0" w:type="dxa"/>
            <w:right w:w="108" w:type="dxa"/>
          </w:tblCellMar>
        </w:tblPrEx>
        <w:trPr>
          <w:trHeight w:val="623"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33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住院-前置审方上下班</w:t>
            </w:r>
          </w:p>
        </w:tc>
        <w:tc>
          <w:tcPr>
            <w:tcW w:w="63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若当前药师下班或者暂时没有时间前置审方，可暂时关闭被分配科室的前置审方功能，医嘱将自动审核通过。也可以恢复这些科室的前置审方功能。对其他科室不会产生影响。</w:t>
            </w:r>
          </w:p>
        </w:tc>
      </w:tr>
    </w:tbl>
    <w:p>
      <w:pPr>
        <w:pStyle w:val="4"/>
        <w:numPr>
          <w:ilvl w:val="2"/>
          <w:numId w:val="8"/>
        </w:numPr>
        <w:spacing w:line="360" w:lineRule="auto"/>
        <w:ind w:left="567"/>
        <w:rPr>
          <w:szCs w:val="24"/>
          <w:highlight w:val="none"/>
        </w:rPr>
      </w:pPr>
      <w:bookmarkStart w:id="21" w:name="_Toc154688537"/>
      <w:r>
        <w:rPr>
          <w:rFonts w:hint="eastAsia"/>
          <w:szCs w:val="24"/>
          <w:highlight w:val="none"/>
        </w:rPr>
        <w:t>处方点评系统功能清单</w:t>
      </w:r>
      <w:bookmarkEnd w:id="21"/>
    </w:p>
    <w:tbl>
      <w:tblPr>
        <w:tblStyle w:val="21"/>
        <w:tblW w:w="0" w:type="auto"/>
        <w:tblInd w:w="0" w:type="dxa"/>
        <w:tblLayout w:type="autofit"/>
        <w:tblCellMar>
          <w:top w:w="0" w:type="dxa"/>
          <w:left w:w="108" w:type="dxa"/>
          <w:bottom w:w="0" w:type="dxa"/>
          <w:right w:w="108" w:type="dxa"/>
        </w:tblCellMar>
      </w:tblPr>
      <w:tblGrid>
        <w:gridCol w:w="452"/>
        <w:gridCol w:w="1615"/>
        <w:gridCol w:w="782"/>
        <w:gridCol w:w="5679"/>
      </w:tblGrid>
      <w:tr>
        <w:tblPrEx>
          <w:tblCellMar>
            <w:top w:w="0" w:type="dxa"/>
            <w:left w:w="108" w:type="dxa"/>
            <w:bottom w:w="0" w:type="dxa"/>
            <w:right w:w="108" w:type="dxa"/>
          </w:tblCellMar>
        </w:tblPrEx>
        <w:trPr>
          <w:trHeight w:val="348" w:hRule="atLeast"/>
          <w:tblHeader/>
        </w:trPr>
        <w:tc>
          <w:tcPr>
            <w:tcW w:w="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序号</w:t>
            </w:r>
          </w:p>
        </w:tc>
        <w:tc>
          <w:tcPr>
            <w:tcW w:w="180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一级模块</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二级模块</w:t>
            </w:r>
          </w:p>
        </w:tc>
        <w:tc>
          <w:tcPr>
            <w:tcW w:w="66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highlight w:val="none"/>
              </w:rPr>
            </w:pPr>
            <w:r>
              <w:rPr>
                <w:rFonts w:hint="eastAsia" w:ascii="宋体" w:hAnsi="宋体" w:cs="宋体"/>
                <w:b/>
                <w:bCs/>
                <w:color w:val="000000"/>
                <w:kern w:val="0"/>
                <w:szCs w:val="21"/>
                <w:highlight w:val="none"/>
              </w:rPr>
              <w:t>功能说明</w:t>
            </w:r>
          </w:p>
        </w:tc>
      </w:tr>
      <w:tr>
        <w:tblPrEx>
          <w:tblCellMar>
            <w:top w:w="0" w:type="dxa"/>
            <w:left w:w="108" w:type="dxa"/>
            <w:bottom w:w="0" w:type="dxa"/>
            <w:right w:w="108" w:type="dxa"/>
          </w:tblCellMar>
        </w:tblPrEx>
        <w:trPr>
          <w:trHeight w:val="864"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w:t>
            </w:r>
          </w:p>
        </w:tc>
        <w:tc>
          <w:tcPr>
            <w:tcW w:w="18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点评组人员配置</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　</w:t>
            </w:r>
          </w:p>
        </w:tc>
        <w:tc>
          <w:tcPr>
            <w:tcW w:w="662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系统可设置点评组人员，并支持点评任务平均分配、选择分配、按管辖科室分配，点评人只能查看自己相关任务的病人信息，无权查看其他人处方信息。</w:t>
            </w:r>
          </w:p>
        </w:tc>
      </w:tr>
      <w:tr>
        <w:tblPrEx>
          <w:tblCellMar>
            <w:top w:w="0" w:type="dxa"/>
            <w:left w:w="108" w:type="dxa"/>
            <w:bottom w:w="0" w:type="dxa"/>
            <w:right w:w="108" w:type="dxa"/>
          </w:tblCellMar>
        </w:tblPrEx>
        <w:trPr>
          <w:trHeight w:val="1152"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2</w:t>
            </w:r>
          </w:p>
        </w:tc>
        <w:tc>
          <w:tcPr>
            <w:tcW w:w="18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处方/医嘱抽取与预处理</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　</w:t>
            </w:r>
          </w:p>
        </w:tc>
        <w:tc>
          <w:tcPr>
            <w:tcW w:w="662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根据用户设定的条件，并根据卫生部印发《处方管理办法》及《医院处方点评管理规范（试行）》要求，对处方进行预处理，将处方的问题归入“三大类28小项”，并生成《医院处方点评管理规范（试行）》要求的“处方点评工作表”。</w:t>
            </w:r>
          </w:p>
        </w:tc>
      </w:tr>
      <w:tr>
        <w:tblPrEx>
          <w:tblCellMar>
            <w:top w:w="0" w:type="dxa"/>
            <w:left w:w="108" w:type="dxa"/>
            <w:bottom w:w="0" w:type="dxa"/>
            <w:right w:w="108" w:type="dxa"/>
          </w:tblCellMar>
        </w:tblPrEx>
        <w:trPr>
          <w:trHeight w:val="576"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3</w:t>
            </w:r>
          </w:p>
        </w:tc>
        <w:tc>
          <w:tcPr>
            <w:tcW w:w="18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对抽取的处方/医嘱进行审核、点评</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　</w:t>
            </w:r>
          </w:p>
        </w:tc>
        <w:tc>
          <w:tcPr>
            <w:tcW w:w="662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点评组成员根据系统预处理结果，可全部或是有选择性的进行点评，并对系统处理的结果进行人工确认，同时可输入点评意见，形成最终结果。</w:t>
            </w:r>
          </w:p>
        </w:tc>
      </w:tr>
      <w:tr>
        <w:tblPrEx>
          <w:tblCellMar>
            <w:top w:w="0" w:type="dxa"/>
            <w:left w:w="108" w:type="dxa"/>
            <w:bottom w:w="0" w:type="dxa"/>
            <w:right w:w="108" w:type="dxa"/>
          </w:tblCellMar>
        </w:tblPrEx>
        <w:trPr>
          <w:trHeight w:val="864"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4</w:t>
            </w:r>
          </w:p>
        </w:tc>
        <w:tc>
          <w:tcPr>
            <w:tcW w:w="180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专项处方点评</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门急诊处方专项点评</w:t>
            </w:r>
          </w:p>
        </w:tc>
        <w:tc>
          <w:tcPr>
            <w:tcW w:w="662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支持对门急诊处方进行专项点评，医院处方点评小组选择一种处方抽样方法（简单随机抽样、等距抽样、分层抽样、分群抽样、配额抽样和自定义抽样）抽取足够数量的专项处方作为点评样本，然后进行点评。</w:t>
            </w:r>
          </w:p>
        </w:tc>
      </w:tr>
      <w:tr>
        <w:tblPrEx>
          <w:tblCellMar>
            <w:top w:w="0" w:type="dxa"/>
            <w:left w:w="108" w:type="dxa"/>
            <w:bottom w:w="0" w:type="dxa"/>
            <w:right w:w="108" w:type="dxa"/>
          </w:tblCellMar>
        </w:tblPrEx>
        <w:trPr>
          <w:trHeight w:val="864"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5</w:t>
            </w:r>
          </w:p>
        </w:tc>
        <w:tc>
          <w:tcPr>
            <w:tcW w:w="180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住院病人医嘱点评</w:t>
            </w:r>
          </w:p>
        </w:tc>
        <w:tc>
          <w:tcPr>
            <w:tcW w:w="662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支持对住院病人医嘱进行专项点评，医院处方点评小组选择一种处方抽样方法（简单随机抽样、等距抽样、分层抽样、分群抽样、配额抽样和自定义抽样）抽取足够数量的专项处方作为点评样本，然后进行点评。</w:t>
            </w:r>
          </w:p>
        </w:tc>
      </w:tr>
      <w:tr>
        <w:tblPrEx>
          <w:tblCellMar>
            <w:top w:w="0" w:type="dxa"/>
            <w:left w:w="108" w:type="dxa"/>
            <w:bottom w:w="0" w:type="dxa"/>
            <w:right w:w="108" w:type="dxa"/>
          </w:tblCellMar>
        </w:tblPrEx>
        <w:trPr>
          <w:trHeight w:val="1440"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6</w:t>
            </w:r>
          </w:p>
        </w:tc>
        <w:tc>
          <w:tcPr>
            <w:tcW w:w="180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抗菌药物专项点评</w:t>
            </w:r>
          </w:p>
        </w:tc>
        <w:tc>
          <w:tcPr>
            <w:tcW w:w="662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根据《全国抗菌药物临床应用专项整治活动方案》中要求落实抗菌药物处方点评制度。医疗机构组织感染、药学等相关专业技术人员对门急诊抗菌药物处方、住院病人医嘱实施专项点评。充分运用信息化手段，每个月组织对25%的具有抗菌药物处方权医师所开具的处方、医嘱进行点评，每名医师不少于50份处方、医嘱。</w:t>
            </w:r>
          </w:p>
        </w:tc>
      </w:tr>
      <w:tr>
        <w:tblPrEx>
          <w:tblCellMar>
            <w:top w:w="0" w:type="dxa"/>
            <w:left w:w="108" w:type="dxa"/>
            <w:bottom w:w="0" w:type="dxa"/>
            <w:right w:w="108" w:type="dxa"/>
          </w:tblCellMar>
        </w:tblPrEx>
        <w:trPr>
          <w:trHeight w:val="1440"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7</w:t>
            </w:r>
          </w:p>
        </w:tc>
        <w:tc>
          <w:tcPr>
            <w:tcW w:w="180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highlight w:val="none"/>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围手术期抗菌药物专项点评</w:t>
            </w:r>
          </w:p>
        </w:tc>
        <w:tc>
          <w:tcPr>
            <w:tcW w:w="662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医院可对围手术期抗菌预防使用抗菌药物的处方/医嘱进行抽查与点评。医院可组织药学等相关专业技术人员对医嘱进行专项点评。医院医嘱点评小组选择一种抽样方法抽取足够数量的出院病例作为点评样本，结合电子病历和病人的实际情况对本次诊疗过程中药物治疗情况进行综合点评，并记录用药不合理的问题，可发送消息给相应医生。点评工作可生成工作表。</w:t>
            </w:r>
          </w:p>
        </w:tc>
      </w:tr>
      <w:tr>
        <w:tblPrEx>
          <w:tblCellMar>
            <w:top w:w="0" w:type="dxa"/>
            <w:left w:w="108" w:type="dxa"/>
            <w:bottom w:w="0" w:type="dxa"/>
            <w:right w:w="108" w:type="dxa"/>
          </w:tblCellMar>
        </w:tblPrEx>
        <w:trPr>
          <w:trHeight w:val="1440" w:hRule="atLeast"/>
        </w:trPr>
        <w:tc>
          <w:tcPr>
            <w:tcW w:w="4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ascii="宋体" w:hAnsi="宋体" w:cs="宋体"/>
                <w:color w:val="000000"/>
                <w:kern w:val="0"/>
                <w:szCs w:val="21"/>
                <w:highlight w:val="none"/>
              </w:rPr>
              <w:t>8</w:t>
            </w:r>
          </w:p>
        </w:tc>
        <w:tc>
          <w:tcPr>
            <w:tcW w:w="18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处方点评统计报表</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　</w:t>
            </w:r>
          </w:p>
        </w:tc>
        <w:tc>
          <w:tcPr>
            <w:tcW w:w="662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医院可对处方抽查点评情况进行数据统计，可了解处方/医嘱的抽查情况，包括“系统分析的疑似问题处方数”、“占样本的比例”及“人工确认的问题处方数”及“占样比的比例”、“系统预处理结果”的统计及占样本的百分比及“人工点评结果”的统计及占样本的百分比等。点击每项统计指标可进一步了解问题处方的具体问题分布情况，并可查看处方点评结果。</w:t>
            </w:r>
          </w:p>
        </w:tc>
      </w:tr>
    </w:tbl>
    <w:p>
      <w:pPr>
        <w:pStyle w:val="3"/>
        <w:numPr>
          <w:ilvl w:val="1"/>
          <w:numId w:val="8"/>
        </w:numPr>
        <w:spacing w:line="360" w:lineRule="auto"/>
        <w:ind w:left="567"/>
        <w:rPr>
          <w:szCs w:val="24"/>
          <w:highlight w:val="none"/>
        </w:rPr>
      </w:pPr>
      <w:bookmarkStart w:id="22" w:name="_Toc154688538"/>
      <w:r>
        <w:rPr>
          <w:rFonts w:hint="eastAsia"/>
          <w:szCs w:val="24"/>
          <w:highlight w:val="none"/>
        </w:rPr>
        <w:t>合理用药系统升级功能</w:t>
      </w:r>
      <w:bookmarkEnd w:id="22"/>
    </w:p>
    <w:bookmarkEnd w:id="15"/>
    <w:p>
      <w:pPr>
        <w:pStyle w:val="4"/>
        <w:numPr>
          <w:ilvl w:val="2"/>
          <w:numId w:val="8"/>
        </w:numPr>
        <w:spacing w:line="360" w:lineRule="auto"/>
        <w:ind w:left="567"/>
        <w:rPr>
          <w:szCs w:val="24"/>
          <w:highlight w:val="none"/>
        </w:rPr>
      </w:pPr>
      <w:bookmarkStart w:id="23" w:name="_Toc154688539"/>
      <w:r>
        <w:rPr>
          <w:rFonts w:hint="eastAsia"/>
          <w:szCs w:val="24"/>
          <w:highlight w:val="none"/>
        </w:rPr>
        <w:t>新增分析维度</w:t>
      </w:r>
      <w:bookmarkEnd w:id="23"/>
    </w:p>
    <w:p>
      <w:pPr>
        <w:pStyle w:val="18"/>
        <w:rPr>
          <w:rFonts w:ascii="宋体" w:hAnsi="宋体" w:cs="宋体"/>
          <w:szCs w:val="24"/>
          <w:highlight w:val="none"/>
        </w:rPr>
      </w:pPr>
      <w:r>
        <w:rPr>
          <w:rFonts w:hint="eastAsia" w:ascii="宋体" w:hAnsi="宋体" w:cs="宋体"/>
          <w:szCs w:val="24"/>
          <w:highlight w:val="none"/>
        </w:rPr>
        <w:t>在一期合理用药系统的基础上，新增以下分析维度：</w:t>
      </w:r>
    </w:p>
    <w:p>
      <w:pPr>
        <w:pStyle w:val="5"/>
        <w:numPr>
          <w:ilvl w:val="3"/>
          <w:numId w:val="8"/>
        </w:numPr>
        <w:spacing w:line="360" w:lineRule="auto"/>
        <w:ind w:left="708"/>
        <w:rPr>
          <w:szCs w:val="24"/>
          <w:highlight w:val="none"/>
        </w:rPr>
      </w:pPr>
      <w:r>
        <w:rPr>
          <w:rFonts w:hint="eastAsia"/>
          <w:szCs w:val="24"/>
          <w:highlight w:val="none"/>
        </w:rPr>
        <w:t>要点提示功能</w:t>
      </w:r>
    </w:p>
    <w:p>
      <w:pPr>
        <w:pStyle w:val="65"/>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用户开立处方/医嘱时，系统针对用户所选择的药品进行“要点提示”。此功能可以帮助用户节省通篇阅读药品说明书的时间，用户仅需要几秒的时间即能迅速了解药品说明书中包括禁用、慎用和注意事项等在内的重点内容，以及部分有特殊使用要求的药品提示信息；方便用户准确、规范的使用药品。</w:t>
      </w:r>
    </w:p>
    <w:p>
      <w:pPr>
        <w:pStyle w:val="65"/>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 “要点提示”将药品说明书的全文内容进行提炼，对用药过程中需要注意的事项进行摘要提示。</w:t>
      </w:r>
    </w:p>
    <w:p>
      <w:pPr>
        <w:pStyle w:val="5"/>
        <w:numPr>
          <w:ilvl w:val="3"/>
          <w:numId w:val="8"/>
        </w:numPr>
        <w:spacing w:line="360" w:lineRule="auto"/>
        <w:ind w:left="708"/>
        <w:rPr>
          <w:szCs w:val="24"/>
          <w:highlight w:val="none"/>
        </w:rPr>
      </w:pPr>
      <w:r>
        <w:rPr>
          <w:rFonts w:hint="eastAsia"/>
          <w:szCs w:val="24"/>
          <w:highlight w:val="none"/>
        </w:rPr>
        <w:t>肝功能不全患者用药审查</w:t>
      </w:r>
    </w:p>
    <w:p>
      <w:pPr>
        <w:pStyle w:val="65"/>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根据药品说明书内容，结合患者肝功能状态进行分析，当患者肝功能不全时，对处方中的药品进行肝功能不全用药审查，对于存在的问题进行提示。提示信息有严重程度之分，至少需要3个或以上的警示级别。禁用作为“重要警示”进行提示，慎用作为“一般提示”。</w:t>
      </w:r>
    </w:p>
    <w:p>
      <w:pPr>
        <w:pStyle w:val="5"/>
        <w:numPr>
          <w:ilvl w:val="3"/>
          <w:numId w:val="8"/>
        </w:numPr>
        <w:spacing w:line="360" w:lineRule="auto"/>
        <w:ind w:left="708"/>
        <w:rPr>
          <w:szCs w:val="24"/>
          <w:highlight w:val="none"/>
        </w:rPr>
      </w:pPr>
      <w:r>
        <w:rPr>
          <w:rFonts w:hint="eastAsia"/>
          <w:szCs w:val="24"/>
          <w:highlight w:val="none"/>
        </w:rPr>
        <w:t>肾功能不全患者用药审查</w:t>
      </w:r>
    </w:p>
    <w:p>
      <w:pPr>
        <w:pStyle w:val="65"/>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根据药品说明书内容，结合患者肾功能状态进行分析，当患者肾功能不全时，对处方中的药品进行肾功能不全用药审查，对于存在的问题进行提示。提示信息有严重程度之分，至少需要3个或以上的警示级别。禁用作为“重要警示”进行提示，慎用作为“一般提示”。</w:t>
      </w:r>
    </w:p>
    <w:p>
      <w:pPr>
        <w:pStyle w:val="5"/>
        <w:numPr>
          <w:ilvl w:val="3"/>
          <w:numId w:val="8"/>
        </w:numPr>
        <w:spacing w:line="360" w:lineRule="auto"/>
        <w:ind w:left="708"/>
        <w:rPr>
          <w:szCs w:val="24"/>
          <w:highlight w:val="none"/>
        </w:rPr>
      </w:pPr>
      <w:r>
        <w:rPr>
          <w:rFonts w:hint="eastAsia"/>
          <w:szCs w:val="24"/>
          <w:highlight w:val="none"/>
        </w:rPr>
        <w:t>细菌耐药率提示</w:t>
      </w:r>
    </w:p>
    <w:p>
      <w:pPr>
        <w:pStyle w:val="65"/>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系统支持根据药品说明书内容，结合患者检验数据，对医生处方（医嘱）中药品的耐药情况进行提示，包括哪些细菌对处方药品耐药和耐药率。</w:t>
      </w:r>
    </w:p>
    <w:p>
      <w:pPr>
        <w:pStyle w:val="5"/>
        <w:numPr>
          <w:ilvl w:val="3"/>
          <w:numId w:val="8"/>
        </w:numPr>
        <w:spacing w:line="360" w:lineRule="auto"/>
        <w:ind w:left="708"/>
        <w:rPr>
          <w:szCs w:val="24"/>
          <w:highlight w:val="none"/>
        </w:rPr>
      </w:pPr>
      <w:r>
        <w:rPr>
          <w:rFonts w:hint="eastAsia"/>
          <w:szCs w:val="24"/>
          <w:highlight w:val="none"/>
        </w:rPr>
        <w:t>对抗菌谱相同的抗菌药品进行审查</w:t>
      </w:r>
    </w:p>
    <w:p>
      <w:pPr>
        <w:spacing w:line="360" w:lineRule="auto"/>
        <w:ind w:firstLine="510"/>
        <w:rPr>
          <w:rFonts w:ascii="宋体" w:hAnsi="宋体"/>
          <w:kern w:val="20"/>
          <w:highlight w:val="none"/>
          <w:lang w:val="zh-CN"/>
        </w:rPr>
      </w:pPr>
      <w:r>
        <w:rPr>
          <w:rFonts w:hint="eastAsia" w:ascii="宋体" w:hAnsi="宋体" w:cs="宋体"/>
          <w:highlight w:val="none"/>
        </w:rPr>
        <w:t>系统支持根据药品说明书内容，结合患者检验数据，</w:t>
      </w:r>
      <w:r>
        <w:rPr>
          <w:rFonts w:ascii="宋体" w:hAnsi="宋体"/>
          <w:kern w:val="20"/>
          <w:highlight w:val="none"/>
          <w:lang w:val="zh-CN"/>
        </w:rPr>
        <w:t>对患者同时使用的处方/医嘱中抗菌药品抗菌谱进行分析，对药品两两之间抗菌谱相同进行提示。</w:t>
      </w:r>
    </w:p>
    <w:p>
      <w:pPr>
        <w:pStyle w:val="5"/>
        <w:numPr>
          <w:ilvl w:val="3"/>
          <w:numId w:val="8"/>
        </w:numPr>
        <w:spacing w:line="360" w:lineRule="auto"/>
        <w:ind w:left="708"/>
        <w:rPr>
          <w:szCs w:val="24"/>
          <w:highlight w:val="none"/>
        </w:rPr>
      </w:pPr>
      <w:r>
        <w:rPr>
          <w:rFonts w:hint="eastAsia"/>
          <w:szCs w:val="24"/>
          <w:highlight w:val="none"/>
        </w:rPr>
        <w:t>辅助用药组最大品种数审查</w:t>
      </w:r>
    </w:p>
    <w:p>
      <w:pPr>
        <w:pStyle w:val="65"/>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系统支持设定辅助用药药品组，以及药品组里同时最大的用药品种数，在医生开具处方（医嘱）时对最大品种数进行审查，超过设定值时系统进行提示。</w:t>
      </w:r>
    </w:p>
    <w:p>
      <w:pPr>
        <w:pStyle w:val="5"/>
        <w:numPr>
          <w:ilvl w:val="3"/>
          <w:numId w:val="8"/>
        </w:numPr>
        <w:spacing w:line="360" w:lineRule="auto"/>
        <w:ind w:left="708"/>
        <w:rPr>
          <w:szCs w:val="24"/>
          <w:highlight w:val="none"/>
        </w:rPr>
      </w:pPr>
      <w:r>
        <w:rPr>
          <w:rFonts w:hint="eastAsia"/>
          <w:szCs w:val="24"/>
          <w:highlight w:val="none"/>
        </w:rPr>
        <w:t>药物检验值审查</w:t>
      </w:r>
    </w:p>
    <w:p>
      <w:pPr>
        <w:pStyle w:val="65"/>
        <w:widowControl/>
        <w:spacing w:line="360" w:lineRule="auto"/>
        <w:ind w:firstLine="480" w:firstLineChars="200"/>
        <w:jc w:val="left"/>
        <w:rPr>
          <w:rFonts w:ascii="宋体" w:hAnsi="宋体" w:cs="宋体"/>
          <w:color w:val="000000"/>
          <w:sz w:val="24"/>
          <w:szCs w:val="24"/>
          <w:highlight w:val="none"/>
          <w:shd w:val="clear" w:color="auto" w:fill="FFFFFF"/>
        </w:rPr>
      </w:pPr>
      <w:bookmarkStart w:id="24" w:name="_Hlk94017388"/>
      <w:r>
        <w:rPr>
          <w:rFonts w:hint="eastAsia" w:ascii="宋体" w:hAnsi="宋体" w:cs="宋体"/>
          <w:color w:val="000000"/>
          <w:sz w:val="24"/>
          <w:szCs w:val="24"/>
          <w:highlight w:val="none"/>
          <w:shd w:val="clear" w:color="auto" w:fill="FFFFFF"/>
        </w:rPr>
        <w:t>系统支持根据患者检验指标和患者诊断，对处方中相关药品进行用药审查，对于存在的问题进行提示。</w:t>
      </w:r>
      <w:bookmarkEnd w:id="24"/>
    </w:p>
    <w:p>
      <w:pPr>
        <w:pStyle w:val="5"/>
        <w:numPr>
          <w:ilvl w:val="3"/>
          <w:numId w:val="8"/>
        </w:numPr>
        <w:spacing w:line="360" w:lineRule="auto"/>
        <w:ind w:left="708"/>
        <w:rPr>
          <w:szCs w:val="24"/>
          <w:highlight w:val="none"/>
        </w:rPr>
      </w:pPr>
      <w:r>
        <w:rPr>
          <w:rFonts w:hint="eastAsia"/>
          <w:szCs w:val="24"/>
          <w:highlight w:val="none"/>
        </w:rPr>
        <w:t>中药煎煮方法审查</w:t>
      </w:r>
    </w:p>
    <w:p>
      <w:pPr>
        <w:pStyle w:val="65"/>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系统根据药品说明书内容，对处方/医嘱中的中药选择的煎煮方法进行审查，对于存在煎煮问题的做出提示，提示内容包括审核结果及参考文献。</w:t>
      </w:r>
    </w:p>
    <w:p>
      <w:pPr>
        <w:pStyle w:val="65"/>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shd w:val="clear" w:color="auto" w:fill="FFFF00"/>
        </w:rPr>
        <w:t>2.1.1.9  超医保管理规定提示</w:t>
      </w:r>
      <w:r>
        <w:rPr>
          <w:rFonts w:ascii="宋体" w:hAnsi="宋体" w:cs="宋体"/>
          <w:color w:val="auto"/>
          <w:sz w:val="24"/>
          <w:szCs w:val="24"/>
          <w:highlight w:val="none"/>
        </w:rPr>
        <w:t xml:space="preserve">    </w:t>
      </w:r>
    </w:p>
    <w:p>
      <w:pPr>
        <w:pStyle w:val="65"/>
        <w:spacing w:line="360" w:lineRule="auto"/>
        <w:ind w:firstLine="480" w:firstLineChars="200"/>
        <w:rPr>
          <w:rFonts w:ascii="宋体" w:hAnsi="宋体" w:cs="宋体"/>
          <w:color w:val="auto"/>
          <w:sz w:val="24"/>
          <w:szCs w:val="24"/>
          <w:highlight w:val="none"/>
          <w:shd w:val="clear" w:color="auto" w:fill="FFFF00"/>
        </w:rPr>
      </w:pPr>
      <w:r>
        <w:rPr>
          <w:rFonts w:ascii="宋体" w:hAnsi="宋体" w:cs="宋体"/>
          <w:color w:val="auto"/>
          <w:sz w:val="24"/>
          <w:szCs w:val="24"/>
          <w:highlight w:val="none"/>
          <w:shd w:val="clear" w:color="auto" w:fill="FFFF00"/>
        </w:rPr>
        <w:t>系统支持设定医保用药药品组，根据医保支付限制条件（如：限制支付天数）对处方（医嘱）中医保用药进行审查，对超出某药物医保基金支付范围的处方（医嘱）进行弹框提醒或强制性停止该处方（医嘱），提醒医生另外处方（医嘱），并弹框提示停止原因。</w:t>
      </w:r>
    </w:p>
    <w:p>
      <w:pPr>
        <w:pStyle w:val="65"/>
        <w:spacing w:line="360" w:lineRule="auto"/>
        <w:rPr>
          <w:rFonts w:ascii="宋体" w:hAnsi="宋体" w:cs="宋体"/>
          <w:b/>
          <w:color w:val="auto"/>
          <w:sz w:val="24"/>
          <w:szCs w:val="24"/>
          <w:highlight w:val="none"/>
          <w:shd w:val="clear" w:color="auto" w:fill="FFFF00"/>
        </w:rPr>
      </w:pPr>
      <w:r>
        <w:rPr>
          <w:rFonts w:hint="eastAsia" w:ascii="宋体" w:hAnsi="宋体" w:cs="宋体"/>
          <w:b/>
          <w:color w:val="auto"/>
          <w:sz w:val="24"/>
          <w:szCs w:val="24"/>
          <w:highlight w:val="none"/>
          <w:shd w:val="clear" w:color="auto" w:fill="FFFF00"/>
        </w:rPr>
        <w:t>2.1.1.10  中药处方权管理</w:t>
      </w:r>
    </w:p>
    <w:p>
      <w:pPr>
        <w:pStyle w:val="65"/>
        <w:spacing w:line="360" w:lineRule="auto"/>
        <w:rPr>
          <w:rFonts w:ascii="宋体" w:hAnsi="宋体" w:cs="宋体"/>
          <w:sz w:val="24"/>
          <w:szCs w:val="24"/>
          <w:highlight w:val="none"/>
          <w:shd w:val="clear" w:color="auto" w:fill="FFFF00"/>
        </w:rPr>
      </w:pPr>
      <w:r>
        <w:rPr>
          <w:rFonts w:ascii="宋体" w:hAnsi="宋体" w:cs="宋体"/>
          <w:color w:val="auto"/>
          <w:sz w:val="24"/>
          <w:szCs w:val="24"/>
          <w:highlight w:val="none"/>
        </w:rPr>
        <w:t xml:space="preserve">    </w:t>
      </w:r>
      <w:r>
        <w:rPr>
          <w:rFonts w:ascii="宋体" w:hAnsi="宋体" w:cs="宋体"/>
          <w:color w:val="auto"/>
          <w:sz w:val="24"/>
          <w:szCs w:val="24"/>
          <w:highlight w:val="none"/>
          <w:shd w:val="clear" w:color="auto" w:fill="FFFF00"/>
        </w:rPr>
        <w:t>系统支持设定指定的医生可开处中药处方，支持以批量形式导入医生姓名和工号，系统支持识别中药代码。</w:t>
      </w:r>
    </w:p>
    <w:p>
      <w:pPr>
        <w:pStyle w:val="2"/>
        <w:numPr>
          <w:ilvl w:val="0"/>
          <w:numId w:val="8"/>
        </w:numPr>
        <w:spacing w:line="360" w:lineRule="auto"/>
        <w:rPr>
          <w:rFonts w:ascii="宋体" w:hAnsi="宋体"/>
          <w:sz w:val="24"/>
          <w:szCs w:val="24"/>
          <w:highlight w:val="none"/>
        </w:rPr>
      </w:pPr>
      <w:bookmarkStart w:id="25" w:name="_Toc154688540"/>
      <w:r>
        <w:rPr>
          <w:rFonts w:hint="eastAsia" w:ascii="宋体" w:hAnsi="宋体"/>
          <w:sz w:val="24"/>
          <w:szCs w:val="24"/>
          <w:highlight w:val="none"/>
        </w:rPr>
        <w:t>智慧药学平台（二期）功能</w:t>
      </w:r>
      <w:bookmarkEnd w:id="25"/>
    </w:p>
    <w:p>
      <w:pPr>
        <w:pStyle w:val="3"/>
        <w:numPr>
          <w:ilvl w:val="1"/>
          <w:numId w:val="8"/>
        </w:numPr>
        <w:spacing w:line="360" w:lineRule="auto"/>
        <w:ind w:left="567"/>
        <w:rPr>
          <w:szCs w:val="24"/>
          <w:highlight w:val="none"/>
        </w:rPr>
      </w:pPr>
      <w:bookmarkStart w:id="26" w:name="_Toc149235823"/>
      <w:bookmarkEnd w:id="26"/>
      <w:bookmarkStart w:id="27" w:name="_Toc154329931"/>
      <w:bookmarkEnd w:id="27"/>
      <w:bookmarkStart w:id="28" w:name="_Toc154354420"/>
      <w:bookmarkEnd w:id="28"/>
      <w:bookmarkStart w:id="29" w:name="_Toc154356900"/>
      <w:bookmarkEnd w:id="29"/>
      <w:bookmarkStart w:id="30" w:name="_Toc154354421"/>
      <w:bookmarkEnd w:id="30"/>
      <w:bookmarkStart w:id="31" w:name="_Toc149236193"/>
      <w:bookmarkEnd w:id="31"/>
      <w:bookmarkStart w:id="32" w:name="_Toc154329930"/>
      <w:bookmarkEnd w:id="32"/>
      <w:bookmarkStart w:id="33" w:name="_Toc149236194"/>
      <w:bookmarkEnd w:id="33"/>
      <w:bookmarkStart w:id="34" w:name="_Toc149235822"/>
      <w:bookmarkEnd w:id="34"/>
      <w:bookmarkStart w:id="35" w:name="_Toc154356901"/>
      <w:bookmarkEnd w:id="35"/>
      <w:bookmarkStart w:id="36" w:name="_Hlk154687643"/>
      <w:bookmarkStart w:id="37" w:name="_Toc154688541"/>
      <w:r>
        <w:rPr>
          <w:rFonts w:hint="eastAsia"/>
          <w:szCs w:val="24"/>
          <w:highlight w:val="none"/>
        </w:rPr>
        <w:t>药学监护管理系统</w:t>
      </w:r>
      <w:bookmarkEnd w:id="36"/>
      <w:bookmarkEnd w:id="37"/>
    </w:p>
    <w:p>
      <w:pPr>
        <w:pStyle w:val="18"/>
        <w:rPr>
          <w:rFonts w:ascii="宋体" w:hAnsi="宋体"/>
          <w:szCs w:val="24"/>
          <w:highlight w:val="none"/>
        </w:rPr>
      </w:pPr>
      <w:r>
        <w:rPr>
          <w:rFonts w:hint="eastAsia" w:ascii="宋体" w:hAnsi="宋体"/>
          <w:szCs w:val="24"/>
          <w:highlight w:val="none"/>
        </w:rPr>
        <w:t>医改政策提出提高医疗质量，减轻患者负担，提高服务满意度。随着集采政策的铺开，药师也迎来的职业转型的契机，回归临床，以患者为中心，为患者提供高质量的药学服务成为药师的工作主要方向。患者在就医过程中离不开用药，药学服务在医疗过程中将占有十分重要的位置，对医疗服务质量的提升起着关键性的作用。</w:t>
      </w:r>
    </w:p>
    <w:p>
      <w:pPr>
        <w:pStyle w:val="18"/>
        <w:rPr>
          <w:rFonts w:ascii="宋体" w:hAnsi="宋体"/>
          <w:szCs w:val="24"/>
          <w:highlight w:val="none"/>
        </w:rPr>
      </w:pPr>
      <w:r>
        <w:rPr>
          <w:rFonts w:hint="eastAsia" w:ascii="宋体" w:hAnsi="宋体"/>
          <w:szCs w:val="24"/>
          <w:highlight w:val="none"/>
        </w:rPr>
        <w:t>随着药学服务工作场景的逐渐明确，工作流程逐渐标准，工作成果逐渐显性化，支持药师开展工作的信息化系统成为必备之选。药学监护管理系统通过信息化手段，打通药师与医生之间的互动流程，为药师在工作中提供丰富的信息支持，同时帮助药师提升专业能力。</w:t>
      </w:r>
    </w:p>
    <w:p>
      <w:pPr>
        <w:pStyle w:val="18"/>
        <w:rPr>
          <w:rFonts w:ascii="宋体" w:hAnsi="宋体"/>
          <w:szCs w:val="24"/>
          <w:highlight w:val="none"/>
        </w:rPr>
      </w:pPr>
      <w:r>
        <w:rPr>
          <w:rFonts w:hint="eastAsia" w:ascii="宋体" w:hAnsi="宋体"/>
          <w:szCs w:val="24"/>
          <w:highlight w:val="none"/>
        </w:rPr>
        <w:t>目前药学监护管理系统主要满足的业务场景包括患者管理、药学查房、药物重整、T</w:t>
      </w:r>
      <w:r>
        <w:rPr>
          <w:rFonts w:ascii="宋体" w:hAnsi="宋体"/>
          <w:szCs w:val="24"/>
          <w:highlight w:val="none"/>
        </w:rPr>
        <w:t>DM</w:t>
      </w:r>
      <w:r>
        <w:rPr>
          <w:rFonts w:hint="eastAsia" w:ascii="宋体" w:hAnsi="宋体"/>
          <w:szCs w:val="24"/>
          <w:highlight w:val="none"/>
        </w:rPr>
        <w:t>监测、药学咨询、药学建议、用药教育、不良反应监测、电子药历撰写等模块，</w:t>
      </w:r>
      <w:r>
        <w:rPr>
          <w:rFonts w:hint="eastAsia"/>
          <w:highlight w:val="none"/>
          <w:shd w:val="clear" w:color="auto" w:fill="FFFFFF"/>
        </w:rPr>
        <w:t>临床药师对数据进行推送后，</w:t>
      </w:r>
      <w:r>
        <w:rPr>
          <w:rFonts w:hint="eastAsia" w:ascii="宋体" w:hAnsi="宋体"/>
          <w:color w:val="000000" w:themeColor="text1"/>
          <w:szCs w:val="24"/>
          <w:highlight w:val="none"/>
          <w14:textFill>
            <w14:solidFill>
              <w14:schemeClr w14:val="tx1"/>
            </w14:solidFill>
          </w14:textFill>
        </w:rPr>
        <w:t>发送方式应分为医生工作站消息提示和医生工作站弹窗。</w:t>
      </w:r>
      <w:r>
        <w:rPr>
          <w:rFonts w:hint="eastAsia"/>
          <w:highlight w:val="none"/>
          <w:shd w:val="clear" w:color="auto" w:fill="FFFFFF"/>
        </w:rPr>
        <w:t>医生会在合理用药客户端收到消息提示，医生能在电子病历系统中查看药师的工作文书。</w:t>
      </w:r>
    </w:p>
    <w:p>
      <w:pPr>
        <w:pStyle w:val="18"/>
        <w:rPr>
          <w:rFonts w:ascii="宋体" w:hAnsi="宋体"/>
          <w:szCs w:val="24"/>
          <w:highlight w:val="none"/>
        </w:rPr>
      </w:pPr>
      <w:r>
        <w:rPr>
          <w:rFonts w:hint="eastAsia" w:ascii="宋体" w:hAnsi="宋体"/>
          <w:szCs w:val="24"/>
          <w:highlight w:val="none"/>
        </w:rPr>
        <w:t>具体将在下面展开详述。</w:t>
      </w:r>
    </w:p>
    <w:p>
      <w:pPr>
        <w:pStyle w:val="32"/>
        <w:keepNext/>
        <w:keepLines/>
        <w:numPr>
          <w:ilvl w:val="0"/>
          <w:numId w:val="9"/>
        </w:numPr>
        <w:spacing w:before="260" w:after="260" w:line="360" w:lineRule="auto"/>
        <w:ind w:firstLineChars="0"/>
        <w:jc w:val="left"/>
        <w:outlineLvl w:val="2"/>
        <w:rPr>
          <w:rFonts w:ascii="宋体" w:hAnsi="宋体" w:cs="宋体"/>
          <w:b/>
          <w:bCs/>
          <w:vanish/>
          <w:szCs w:val="24"/>
          <w:highlight w:val="none"/>
        </w:rPr>
      </w:pPr>
      <w:bookmarkStart w:id="38" w:name="_Toc154354423"/>
      <w:bookmarkEnd w:id="38"/>
      <w:bookmarkStart w:id="39" w:name="_Toc154688424"/>
      <w:bookmarkEnd w:id="39"/>
      <w:bookmarkStart w:id="40" w:name="_Toc149235825"/>
      <w:bookmarkEnd w:id="40"/>
      <w:bookmarkStart w:id="41" w:name="_Toc154687746"/>
      <w:bookmarkEnd w:id="41"/>
      <w:bookmarkStart w:id="42" w:name="_Toc154688542"/>
      <w:bookmarkEnd w:id="42"/>
      <w:bookmarkStart w:id="43" w:name="_Toc154329933"/>
      <w:bookmarkEnd w:id="43"/>
      <w:bookmarkStart w:id="44" w:name="_Toc154673884"/>
      <w:bookmarkEnd w:id="44"/>
      <w:bookmarkStart w:id="45" w:name="_Toc154356903"/>
      <w:bookmarkEnd w:id="45"/>
      <w:bookmarkStart w:id="46" w:name="_Toc154673809"/>
      <w:bookmarkEnd w:id="46"/>
      <w:bookmarkStart w:id="47" w:name="_Toc154674034"/>
      <w:bookmarkEnd w:id="47"/>
      <w:bookmarkStart w:id="48" w:name="_Toc154688343"/>
      <w:bookmarkEnd w:id="48"/>
      <w:bookmarkStart w:id="49" w:name="_Toc149236196"/>
      <w:bookmarkEnd w:id="49"/>
      <w:bookmarkStart w:id="50" w:name="_Toc154673959"/>
      <w:bookmarkEnd w:id="50"/>
    </w:p>
    <w:p>
      <w:pPr>
        <w:pStyle w:val="4"/>
        <w:numPr>
          <w:ilvl w:val="2"/>
          <w:numId w:val="8"/>
        </w:numPr>
        <w:spacing w:line="360" w:lineRule="auto"/>
        <w:ind w:left="567"/>
        <w:rPr>
          <w:szCs w:val="24"/>
          <w:highlight w:val="none"/>
        </w:rPr>
      </w:pPr>
      <w:bookmarkStart w:id="51" w:name="_Toc154688543"/>
      <w:r>
        <w:rPr>
          <w:rFonts w:hint="eastAsia"/>
          <w:szCs w:val="24"/>
          <w:highlight w:val="none"/>
        </w:rPr>
        <w:t>工作站首页</w:t>
      </w:r>
      <w:bookmarkEnd w:id="51"/>
    </w:p>
    <w:p>
      <w:pPr>
        <w:pStyle w:val="18"/>
        <w:rPr>
          <w:rFonts w:ascii="宋体" w:hAnsi="宋体"/>
          <w:szCs w:val="24"/>
          <w:highlight w:val="none"/>
        </w:rPr>
      </w:pPr>
      <w:r>
        <w:rPr>
          <w:rFonts w:hint="eastAsia" w:ascii="宋体" w:hAnsi="宋体"/>
          <w:szCs w:val="24"/>
          <w:highlight w:val="none"/>
        </w:rPr>
        <w:t>支持对药师的工作情况关键指标进行集中展示</w:t>
      </w:r>
      <w:r>
        <w:rPr>
          <w:rFonts w:ascii="宋体" w:hAnsi="宋体"/>
          <w:szCs w:val="24"/>
          <w:highlight w:val="none"/>
        </w:rPr>
        <w:t>，</w:t>
      </w:r>
      <w:r>
        <w:rPr>
          <w:rFonts w:hint="eastAsia" w:ascii="宋体" w:hAnsi="宋体"/>
          <w:szCs w:val="24"/>
          <w:highlight w:val="none"/>
        </w:rPr>
        <w:t>包含</w:t>
      </w:r>
      <w:r>
        <w:rPr>
          <w:rFonts w:ascii="宋体" w:hAnsi="宋体"/>
          <w:szCs w:val="24"/>
          <w:highlight w:val="none"/>
        </w:rPr>
        <w:t>：</w:t>
      </w:r>
      <w:r>
        <w:rPr>
          <w:rFonts w:hint="eastAsia" w:ascii="宋体" w:hAnsi="宋体"/>
          <w:szCs w:val="24"/>
          <w:highlight w:val="none"/>
        </w:rPr>
        <w:t>问题处方总量</w:t>
      </w:r>
      <w:r>
        <w:rPr>
          <w:rFonts w:ascii="宋体" w:hAnsi="宋体"/>
          <w:szCs w:val="24"/>
          <w:highlight w:val="none"/>
        </w:rPr>
        <w:t>、</w:t>
      </w:r>
      <w:r>
        <w:rPr>
          <w:rFonts w:hint="eastAsia" w:ascii="宋体" w:hAnsi="宋体"/>
          <w:szCs w:val="24"/>
          <w:highlight w:val="none"/>
        </w:rPr>
        <w:t>医院问题处方排行</w:t>
      </w:r>
      <w:r>
        <w:rPr>
          <w:rFonts w:ascii="宋体" w:hAnsi="宋体"/>
          <w:szCs w:val="24"/>
          <w:highlight w:val="none"/>
        </w:rPr>
        <w:t>、</w:t>
      </w:r>
      <w:r>
        <w:rPr>
          <w:rFonts w:hint="eastAsia" w:ascii="宋体" w:hAnsi="宋体"/>
          <w:szCs w:val="24"/>
          <w:highlight w:val="none"/>
        </w:rPr>
        <w:t>科室问题处方排行</w:t>
      </w:r>
      <w:r>
        <w:rPr>
          <w:rFonts w:ascii="宋体" w:hAnsi="宋体"/>
          <w:szCs w:val="24"/>
          <w:highlight w:val="none"/>
        </w:rPr>
        <w:t>、</w:t>
      </w:r>
      <w:r>
        <w:rPr>
          <w:rFonts w:hint="eastAsia" w:ascii="宋体" w:hAnsi="宋体"/>
          <w:szCs w:val="24"/>
          <w:highlight w:val="none"/>
        </w:rPr>
        <w:t>医生问题处方排行</w:t>
      </w:r>
      <w:r>
        <w:rPr>
          <w:rFonts w:ascii="宋体" w:hAnsi="宋体"/>
          <w:szCs w:val="24"/>
          <w:highlight w:val="none"/>
        </w:rPr>
        <w:t>、</w:t>
      </w:r>
      <w:r>
        <w:rPr>
          <w:rFonts w:hint="eastAsia" w:ascii="宋体" w:hAnsi="宋体"/>
          <w:szCs w:val="24"/>
          <w:highlight w:val="none"/>
        </w:rPr>
        <w:t>诊断问题处方排行</w:t>
      </w:r>
      <w:r>
        <w:rPr>
          <w:rFonts w:ascii="宋体" w:hAnsi="宋体"/>
          <w:szCs w:val="24"/>
          <w:highlight w:val="none"/>
        </w:rPr>
        <w:t>、</w:t>
      </w:r>
      <w:r>
        <w:rPr>
          <w:rFonts w:hint="eastAsia" w:ascii="宋体" w:hAnsi="宋体"/>
          <w:szCs w:val="24"/>
          <w:highlight w:val="none"/>
        </w:rPr>
        <w:t>药品问题处方排行</w:t>
      </w:r>
      <w:r>
        <w:rPr>
          <w:rFonts w:ascii="宋体" w:hAnsi="宋体"/>
          <w:szCs w:val="24"/>
          <w:highlight w:val="none"/>
        </w:rPr>
        <w:t>、</w:t>
      </w:r>
      <w:r>
        <w:rPr>
          <w:rFonts w:hint="eastAsia" w:ascii="宋体" w:hAnsi="宋体"/>
          <w:szCs w:val="24"/>
          <w:highlight w:val="none"/>
        </w:rPr>
        <w:t>问题处方详情以及科室工作量</w:t>
      </w:r>
      <w:r>
        <w:rPr>
          <w:rFonts w:ascii="宋体" w:hAnsi="宋体"/>
          <w:szCs w:val="24"/>
          <w:highlight w:val="none"/>
        </w:rPr>
        <w:t>。</w:t>
      </w:r>
      <w:r>
        <w:rPr>
          <w:rFonts w:hint="eastAsia" w:ascii="宋体" w:hAnsi="宋体"/>
          <w:szCs w:val="24"/>
          <w:highlight w:val="none"/>
        </w:rPr>
        <w:t>首页展示的数据支持自定义配置。</w:t>
      </w:r>
    </w:p>
    <w:p>
      <w:pPr>
        <w:pStyle w:val="4"/>
        <w:numPr>
          <w:ilvl w:val="2"/>
          <w:numId w:val="8"/>
        </w:numPr>
        <w:spacing w:line="360" w:lineRule="auto"/>
        <w:ind w:left="567"/>
        <w:rPr>
          <w:szCs w:val="24"/>
          <w:highlight w:val="none"/>
        </w:rPr>
      </w:pPr>
      <w:bookmarkStart w:id="52" w:name="_Toc154688544"/>
      <w:r>
        <w:rPr>
          <w:rFonts w:hint="eastAsia"/>
          <w:szCs w:val="24"/>
          <w:highlight w:val="none"/>
        </w:rPr>
        <w:t>患者一览表</w:t>
      </w:r>
      <w:bookmarkEnd w:id="52"/>
    </w:p>
    <w:p>
      <w:pPr>
        <w:pStyle w:val="5"/>
        <w:numPr>
          <w:ilvl w:val="3"/>
          <w:numId w:val="8"/>
        </w:numPr>
        <w:spacing w:line="360" w:lineRule="auto"/>
        <w:ind w:left="708"/>
        <w:rPr>
          <w:szCs w:val="24"/>
          <w:highlight w:val="none"/>
        </w:rPr>
      </w:pPr>
      <w:r>
        <w:rPr>
          <w:rFonts w:hint="eastAsia"/>
          <w:szCs w:val="24"/>
          <w:highlight w:val="none"/>
        </w:rPr>
        <w:t>患者首页</w:t>
      </w:r>
    </w:p>
    <w:p>
      <w:pPr>
        <w:pStyle w:val="18"/>
        <w:rPr>
          <w:rFonts w:ascii="宋体" w:hAnsi="宋体"/>
          <w:szCs w:val="24"/>
          <w:highlight w:val="none"/>
        </w:rPr>
      </w:pPr>
      <w:r>
        <w:rPr>
          <w:rFonts w:hint="eastAsia" w:ascii="宋体" w:hAnsi="宋体"/>
          <w:szCs w:val="24"/>
          <w:highlight w:val="none"/>
        </w:rPr>
        <w:t>以床头卡的形式实时同步展示所有患者</w:t>
      </w:r>
      <w:r>
        <w:rPr>
          <w:rFonts w:ascii="宋体" w:hAnsi="宋体"/>
          <w:szCs w:val="24"/>
          <w:highlight w:val="none"/>
        </w:rPr>
        <w:t>，</w:t>
      </w:r>
      <w:r>
        <w:rPr>
          <w:rFonts w:hint="eastAsia" w:ascii="宋体" w:hAnsi="宋体"/>
          <w:szCs w:val="24"/>
          <w:highlight w:val="none"/>
        </w:rPr>
        <w:t>可通过患者状态</w:t>
      </w:r>
      <w:r>
        <w:rPr>
          <w:rFonts w:ascii="宋体" w:hAnsi="宋体"/>
          <w:szCs w:val="24"/>
          <w:highlight w:val="none"/>
        </w:rPr>
        <w:t>、</w:t>
      </w:r>
      <w:r>
        <w:rPr>
          <w:rFonts w:hint="eastAsia" w:ascii="宋体" w:hAnsi="宋体"/>
          <w:szCs w:val="24"/>
          <w:highlight w:val="none"/>
        </w:rPr>
        <w:t>患者姓名</w:t>
      </w:r>
      <w:r>
        <w:rPr>
          <w:rFonts w:ascii="宋体" w:hAnsi="宋体"/>
          <w:szCs w:val="24"/>
          <w:highlight w:val="none"/>
        </w:rPr>
        <w:t>、</w:t>
      </w:r>
      <w:r>
        <w:rPr>
          <w:rFonts w:hint="eastAsia" w:ascii="宋体" w:hAnsi="宋体"/>
          <w:szCs w:val="24"/>
          <w:highlight w:val="none"/>
        </w:rPr>
        <w:t>患者性别</w:t>
      </w:r>
      <w:r>
        <w:rPr>
          <w:rFonts w:ascii="宋体" w:hAnsi="宋体"/>
          <w:szCs w:val="24"/>
          <w:highlight w:val="none"/>
        </w:rPr>
        <w:t>、</w:t>
      </w:r>
      <w:r>
        <w:rPr>
          <w:rFonts w:hint="eastAsia" w:ascii="宋体" w:hAnsi="宋体"/>
          <w:szCs w:val="24"/>
          <w:highlight w:val="none"/>
        </w:rPr>
        <w:t>所属病区</w:t>
      </w:r>
      <w:r>
        <w:rPr>
          <w:rFonts w:ascii="宋体" w:hAnsi="宋体"/>
          <w:szCs w:val="24"/>
          <w:highlight w:val="none"/>
        </w:rPr>
        <w:t>，</w:t>
      </w:r>
      <w:r>
        <w:rPr>
          <w:rFonts w:hint="eastAsia" w:ascii="宋体" w:hAnsi="宋体"/>
          <w:szCs w:val="24"/>
          <w:highlight w:val="none"/>
        </w:rPr>
        <w:t>所属科室等信息进行筛选查询</w:t>
      </w:r>
      <w:r>
        <w:rPr>
          <w:rFonts w:ascii="宋体" w:hAnsi="宋体"/>
          <w:szCs w:val="24"/>
          <w:highlight w:val="none"/>
        </w:rPr>
        <w:t>；</w:t>
      </w:r>
      <w:r>
        <w:rPr>
          <w:rFonts w:hint="eastAsia" w:ascii="宋体" w:hAnsi="宋体"/>
          <w:szCs w:val="24"/>
          <w:highlight w:val="none"/>
        </w:rPr>
        <w:t xml:space="preserve"> 从HIS中获取到患者的基本信息以及患者的使用药品情况</w:t>
      </w:r>
      <w:r>
        <w:rPr>
          <w:rFonts w:ascii="宋体" w:hAnsi="宋体"/>
          <w:szCs w:val="24"/>
          <w:highlight w:val="none"/>
        </w:rPr>
        <w:t>、</w:t>
      </w:r>
      <w:r>
        <w:rPr>
          <w:rFonts w:hint="eastAsia" w:ascii="宋体" w:hAnsi="宋体"/>
          <w:szCs w:val="24"/>
          <w:highlight w:val="none"/>
        </w:rPr>
        <w:t>金额</w:t>
      </w:r>
      <w:r>
        <w:rPr>
          <w:rFonts w:ascii="宋体" w:hAnsi="宋体"/>
          <w:szCs w:val="24"/>
          <w:highlight w:val="none"/>
        </w:rPr>
        <w:t>，</w:t>
      </w:r>
      <w:r>
        <w:rPr>
          <w:rFonts w:hint="eastAsia" w:ascii="宋体" w:hAnsi="宋体"/>
          <w:szCs w:val="24"/>
          <w:highlight w:val="none"/>
        </w:rPr>
        <w:t>药学服务信息以及个体化用药内容进行展示。并且能调用到患者的电子病历</w:t>
      </w:r>
      <w:r>
        <w:rPr>
          <w:rFonts w:ascii="宋体" w:hAnsi="宋体"/>
          <w:szCs w:val="24"/>
          <w:highlight w:val="none"/>
        </w:rPr>
        <w:t>，</w:t>
      </w:r>
      <w:r>
        <w:rPr>
          <w:rFonts w:hint="eastAsia" w:ascii="宋体" w:hAnsi="宋体"/>
          <w:szCs w:val="24"/>
          <w:highlight w:val="none"/>
        </w:rPr>
        <w:t>护理电子病历进行查看</w:t>
      </w:r>
      <w:r>
        <w:rPr>
          <w:rFonts w:ascii="宋体" w:hAnsi="宋体"/>
          <w:szCs w:val="24"/>
          <w:highlight w:val="none"/>
        </w:rPr>
        <w:t>，</w:t>
      </w:r>
      <w:r>
        <w:rPr>
          <w:rFonts w:hint="eastAsia" w:ascii="宋体" w:hAnsi="宋体"/>
          <w:szCs w:val="24"/>
          <w:highlight w:val="none"/>
        </w:rPr>
        <w:t>构建患者的电子药历信息</w:t>
      </w:r>
      <w:r>
        <w:rPr>
          <w:rFonts w:ascii="宋体" w:hAnsi="宋体"/>
          <w:szCs w:val="24"/>
          <w:highlight w:val="none"/>
        </w:rPr>
        <w:t>。</w:t>
      </w:r>
      <w:r>
        <w:rPr>
          <w:rFonts w:hint="eastAsia" w:ascii="宋体" w:hAnsi="宋体"/>
          <w:szCs w:val="24"/>
          <w:highlight w:val="none"/>
        </w:rPr>
        <w:t>药师查询患者的历史过敏类型</w:t>
      </w:r>
      <w:r>
        <w:rPr>
          <w:rFonts w:ascii="宋体" w:hAnsi="宋体"/>
          <w:szCs w:val="24"/>
          <w:highlight w:val="none"/>
        </w:rPr>
        <w:t>、</w:t>
      </w:r>
      <w:r>
        <w:rPr>
          <w:rFonts w:hint="eastAsia" w:ascii="宋体" w:hAnsi="宋体"/>
          <w:szCs w:val="24"/>
          <w:highlight w:val="none"/>
        </w:rPr>
        <w:t>专药信息</w:t>
      </w:r>
      <w:r>
        <w:rPr>
          <w:rFonts w:ascii="宋体" w:hAnsi="宋体"/>
          <w:szCs w:val="24"/>
          <w:highlight w:val="none"/>
        </w:rPr>
        <w:t>、</w:t>
      </w:r>
      <w:r>
        <w:rPr>
          <w:rFonts w:hint="eastAsia" w:ascii="宋体" w:hAnsi="宋体"/>
          <w:szCs w:val="24"/>
          <w:highlight w:val="none"/>
        </w:rPr>
        <w:t>过敏史，药师可为患者新增过敏史记录，并进行修改、查询、删除等操作。</w:t>
      </w:r>
    </w:p>
    <w:p>
      <w:pPr>
        <w:pStyle w:val="18"/>
        <w:rPr>
          <w:rFonts w:ascii="宋体" w:hAnsi="宋体"/>
          <w:szCs w:val="24"/>
          <w:highlight w:val="none"/>
        </w:rPr>
      </w:pPr>
      <w:r>
        <w:rPr>
          <w:rFonts w:hint="eastAsia" w:ascii="宋体" w:hAnsi="宋体"/>
          <w:szCs w:val="24"/>
          <w:highlight w:val="none"/>
        </w:rPr>
        <w:t>支持设定患者的关注度，以便进行重点关注。</w:t>
      </w:r>
    </w:p>
    <w:p>
      <w:pPr>
        <w:pStyle w:val="18"/>
        <w:rPr>
          <w:rFonts w:ascii="宋体" w:hAnsi="宋体"/>
          <w:szCs w:val="24"/>
          <w:highlight w:val="none"/>
        </w:rPr>
      </w:pPr>
      <w:r>
        <w:rPr>
          <w:rFonts w:hint="eastAsia" w:ascii="宋体" w:hAnsi="宋体"/>
          <w:szCs w:val="24"/>
          <w:highlight w:val="none"/>
        </w:rPr>
        <w:t>支持患者用药信息查询、购药金额查询、药学服务统计查看。</w:t>
      </w:r>
    </w:p>
    <w:p>
      <w:pPr>
        <w:pStyle w:val="5"/>
        <w:numPr>
          <w:ilvl w:val="3"/>
          <w:numId w:val="8"/>
        </w:numPr>
        <w:spacing w:line="360" w:lineRule="auto"/>
        <w:ind w:left="708"/>
        <w:rPr>
          <w:szCs w:val="24"/>
          <w:highlight w:val="none"/>
        </w:rPr>
      </w:pPr>
      <w:r>
        <w:rPr>
          <w:rFonts w:hint="eastAsia"/>
          <w:szCs w:val="24"/>
          <w:highlight w:val="none"/>
        </w:rPr>
        <w:t>患者360视图</w:t>
      </w:r>
    </w:p>
    <w:p>
      <w:pPr>
        <w:pStyle w:val="32"/>
        <w:numPr>
          <w:ilvl w:val="0"/>
          <w:numId w:val="10"/>
        </w:numPr>
        <w:spacing w:line="360" w:lineRule="auto"/>
        <w:ind w:left="420" w:leftChars="200"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系统应整合患者数据方便药师查看，包括患者基本信息、医嘱、检验、检查、手术、会诊、病程、历史诊疗、健康摘要、用药时序图、药品联用图、风险提示。</w:t>
      </w:r>
    </w:p>
    <w:p>
      <w:pPr>
        <w:pStyle w:val="32"/>
        <w:numPr>
          <w:ilvl w:val="0"/>
          <w:numId w:val="10"/>
        </w:numPr>
        <w:spacing w:line="360" w:lineRule="auto"/>
        <w:ind w:left="420" w:leftChars="200"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基本信息应包括但不限于患者姓名、年龄、标记、体表面积、体重指数、入院诊断、肌酐清除率、过敏史、基因检测结果、医药公式与评估量表及结果。</w:t>
      </w:r>
    </w:p>
    <w:p>
      <w:pPr>
        <w:pStyle w:val="32"/>
        <w:numPr>
          <w:ilvl w:val="0"/>
          <w:numId w:val="10"/>
        </w:numPr>
        <w:spacing w:line="360" w:lineRule="auto"/>
        <w:ind w:left="420" w:leftChars="200"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▲系统应高亮显示患者在用医嘱，并提供药疗/非药疗、长期/临时、三日内新开医嘱、出院带药、特殊标记医嘱、特殊药品属性供药师筛选。</w:t>
      </w:r>
    </w:p>
    <w:p>
      <w:pPr>
        <w:pStyle w:val="32"/>
        <w:numPr>
          <w:ilvl w:val="0"/>
          <w:numId w:val="10"/>
        </w:numPr>
        <w:spacing w:line="360" w:lineRule="auto"/>
        <w:ind w:left="420" w:leftChars="200"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系统应提供用药时序图自定义功能，药师可根据科室、疾病特点设置显示项目，包括呼吸、脉搏、体温、疼痛评分、血糖、内科/外科VTE风险、内科/外科出血风险、出/入量、血压、体重、身高、手术、病原学送检、内生肌酐清除率、肾小球滤过率、医药公式与评估量表、药品、检验。</w:t>
      </w:r>
    </w:p>
    <w:p>
      <w:pPr>
        <w:pStyle w:val="32"/>
        <w:numPr>
          <w:ilvl w:val="0"/>
          <w:numId w:val="10"/>
        </w:numPr>
        <w:spacing w:line="360" w:lineRule="auto"/>
        <w:ind w:left="420" w:leftChars="200"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系统应能提供数据录入功能，方便药师手动补录患者检验检查和诊断等数据。</w:t>
      </w:r>
    </w:p>
    <w:p>
      <w:pPr>
        <w:pStyle w:val="5"/>
        <w:numPr>
          <w:ilvl w:val="3"/>
          <w:numId w:val="8"/>
        </w:numPr>
        <w:spacing w:line="360" w:lineRule="auto"/>
        <w:ind w:left="708"/>
        <w:rPr>
          <w:szCs w:val="24"/>
          <w:highlight w:val="none"/>
        </w:rPr>
      </w:pPr>
      <w:r>
        <w:rPr>
          <w:rFonts w:hint="eastAsia"/>
          <w:szCs w:val="24"/>
          <w:highlight w:val="none"/>
        </w:rPr>
        <w:t>医嘱</w:t>
      </w:r>
    </w:p>
    <w:p>
      <w:pPr>
        <w:pStyle w:val="18"/>
        <w:rPr>
          <w:rFonts w:ascii="宋体" w:hAnsi="宋体"/>
          <w:szCs w:val="24"/>
          <w:highlight w:val="none"/>
        </w:rPr>
      </w:pPr>
      <w:r>
        <w:rPr>
          <w:rFonts w:hint="eastAsia" w:ascii="宋体" w:hAnsi="宋体"/>
          <w:szCs w:val="24"/>
          <w:highlight w:val="none"/>
        </w:rPr>
        <w:t>展示患者所有的医嘱信息</w:t>
      </w:r>
      <w:r>
        <w:rPr>
          <w:rFonts w:ascii="宋体" w:hAnsi="宋体"/>
          <w:szCs w:val="24"/>
          <w:highlight w:val="none"/>
        </w:rPr>
        <w:t>，</w:t>
      </w:r>
      <w:r>
        <w:rPr>
          <w:rFonts w:hint="eastAsia" w:ascii="宋体" w:hAnsi="宋体"/>
          <w:szCs w:val="24"/>
          <w:highlight w:val="none"/>
        </w:rPr>
        <w:t>可通过长嘱</w:t>
      </w:r>
      <w:r>
        <w:rPr>
          <w:rFonts w:ascii="宋体" w:hAnsi="宋体"/>
          <w:szCs w:val="24"/>
          <w:highlight w:val="none"/>
        </w:rPr>
        <w:t>、</w:t>
      </w:r>
      <w:r>
        <w:rPr>
          <w:rFonts w:hint="eastAsia" w:ascii="宋体" w:hAnsi="宋体"/>
          <w:szCs w:val="24"/>
          <w:highlight w:val="none"/>
        </w:rPr>
        <w:t>临嘱</w:t>
      </w:r>
      <w:r>
        <w:rPr>
          <w:rFonts w:ascii="宋体" w:hAnsi="宋体"/>
          <w:szCs w:val="24"/>
          <w:highlight w:val="none"/>
        </w:rPr>
        <w:t>、</w:t>
      </w:r>
      <w:r>
        <w:rPr>
          <w:rFonts w:hint="eastAsia" w:ascii="宋体" w:hAnsi="宋体"/>
          <w:szCs w:val="24"/>
          <w:highlight w:val="none"/>
        </w:rPr>
        <w:t>药品名称等条件进行查询</w:t>
      </w:r>
      <w:r>
        <w:rPr>
          <w:rFonts w:ascii="宋体" w:hAnsi="宋体"/>
          <w:szCs w:val="24"/>
          <w:highlight w:val="none"/>
        </w:rPr>
        <w:t>，</w:t>
      </w:r>
      <w:r>
        <w:rPr>
          <w:rFonts w:hint="eastAsia" w:ascii="宋体" w:hAnsi="宋体"/>
          <w:szCs w:val="24"/>
          <w:highlight w:val="none"/>
        </w:rPr>
        <w:t>结果可以导出</w:t>
      </w:r>
      <w:r>
        <w:rPr>
          <w:rFonts w:ascii="宋体" w:hAnsi="宋体"/>
          <w:szCs w:val="24"/>
          <w:highlight w:val="none"/>
        </w:rPr>
        <w:t>，</w:t>
      </w:r>
      <w:r>
        <w:rPr>
          <w:rFonts w:hint="eastAsia" w:ascii="宋体" w:hAnsi="宋体"/>
          <w:szCs w:val="24"/>
          <w:highlight w:val="none"/>
        </w:rPr>
        <w:t>支持查看药品的详细说明书</w:t>
      </w:r>
      <w:r>
        <w:rPr>
          <w:rFonts w:ascii="宋体" w:hAnsi="宋体"/>
          <w:szCs w:val="24"/>
          <w:highlight w:val="none"/>
        </w:rPr>
        <w:t>。</w:t>
      </w:r>
    </w:p>
    <w:p>
      <w:pPr>
        <w:pStyle w:val="18"/>
        <w:rPr>
          <w:rFonts w:ascii="宋体" w:hAnsi="宋体"/>
          <w:szCs w:val="24"/>
          <w:highlight w:val="none"/>
        </w:rPr>
      </w:pPr>
      <w:r>
        <w:rPr>
          <w:rFonts w:hint="eastAsia" w:ascii="宋体" w:hAnsi="宋体"/>
          <w:szCs w:val="24"/>
          <w:highlight w:val="none"/>
        </w:rPr>
        <w:t>也可以通过时间轴的形式查看患者的医嘱</w:t>
      </w:r>
      <w:r>
        <w:rPr>
          <w:rFonts w:ascii="宋体" w:hAnsi="宋体"/>
          <w:szCs w:val="24"/>
          <w:highlight w:val="none"/>
        </w:rPr>
        <w:t>、</w:t>
      </w:r>
      <w:r>
        <w:rPr>
          <w:rFonts w:hint="eastAsia" w:ascii="宋体" w:hAnsi="宋体"/>
          <w:szCs w:val="24"/>
          <w:highlight w:val="none"/>
        </w:rPr>
        <w:t>检验检查以及手术信息</w:t>
      </w:r>
      <w:r>
        <w:rPr>
          <w:rFonts w:ascii="宋体" w:hAnsi="宋体"/>
          <w:szCs w:val="24"/>
          <w:highlight w:val="none"/>
        </w:rPr>
        <w:t>，</w:t>
      </w:r>
      <w:r>
        <w:rPr>
          <w:rFonts w:hint="eastAsia" w:ascii="宋体" w:hAnsi="宋体"/>
          <w:szCs w:val="24"/>
          <w:highlight w:val="none"/>
        </w:rPr>
        <w:t>可通过长嘱</w:t>
      </w:r>
      <w:r>
        <w:rPr>
          <w:rFonts w:ascii="宋体" w:hAnsi="宋体"/>
          <w:szCs w:val="24"/>
          <w:highlight w:val="none"/>
        </w:rPr>
        <w:t>、</w:t>
      </w:r>
      <w:r>
        <w:rPr>
          <w:rFonts w:hint="eastAsia" w:ascii="宋体" w:hAnsi="宋体"/>
          <w:szCs w:val="24"/>
          <w:highlight w:val="none"/>
        </w:rPr>
        <w:t>临嘱进行查询</w:t>
      </w:r>
      <w:r>
        <w:rPr>
          <w:rFonts w:ascii="宋体" w:hAnsi="宋体"/>
          <w:szCs w:val="24"/>
          <w:highlight w:val="none"/>
        </w:rPr>
        <w:t>，</w:t>
      </w:r>
      <w:r>
        <w:rPr>
          <w:rFonts w:hint="eastAsia" w:ascii="宋体" w:hAnsi="宋体"/>
          <w:szCs w:val="24"/>
          <w:highlight w:val="none"/>
        </w:rPr>
        <w:t>也可通过对药品的选择以及指标的选择进行筛选展示</w:t>
      </w:r>
      <w:r>
        <w:rPr>
          <w:rFonts w:ascii="宋体" w:hAnsi="宋体"/>
          <w:szCs w:val="24"/>
          <w:highlight w:val="none"/>
        </w:rPr>
        <w:t>，</w:t>
      </w:r>
      <w:r>
        <w:rPr>
          <w:rFonts w:hint="eastAsia" w:ascii="宋体" w:hAnsi="宋体"/>
          <w:szCs w:val="24"/>
          <w:highlight w:val="none"/>
        </w:rPr>
        <w:t>支持点击查看检验检查和手术信息的详细情况</w:t>
      </w:r>
      <w:r>
        <w:rPr>
          <w:rFonts w:ascii="宋体" w:hAnsi="宋体"/>
          <w:szCs w:val="24"/>
          <w:highlight w:val="none"/>
        </w:rPr>
        <w:t>。</w:t>
      </w:r>
    </w:p>
    <w:p>
      <w:pPr>
        <w:pStyle w:val="5"/>
        <w:numPr>
          <w:ilvl w:val="3"/>
          <w:numId w:val="8"/>
        </w:numPr>
        <w:spacing w:line="360" w:lineRule="auto"/>
        <w:ind w:left="708"/>
        <w:rPr>
          <w:szCs w:val="24"/>
          <w:highlight w:val="none"/>
        </w:rPr>
      </w:pPr>
      <w:r>
        <w:rPr>
          <w:rFonts w:hint="eastAsia"/>
          <w:szCs w:val="24"/>
          <w:highlight w:val="none"/>
        </w:rPr>
        <w:t>检查</w:t>
      </w:r>
    </w:p>
    <w:p>
      <w:pPr>
        <w:pStyle w:val="18"/>
        <w:rPr>
          <w:rFonts w:ascii="宋体" w:hAnsi="宋体"/>
          <w:szCs w:val="24"/>
          <w:highlight w:val="none"/>
        </w:rPr>
      </w:pPr>
      <w:r>
        <w:rPr>
          <w:rFonts w:hint="eastAsia" w:ascii="宋体" w:hAnsi="宋体"/>
          <w:szCs w:val="24"/>
          <w:highlight w:val="none"/>
        </w:rPr>
        <w:t>从PACS中获取到患者的所有检查结果报告进行展示（包括图像浏览）</w:t>
      </w:r>
      <w:r>
        <w:rPr>
          <w:rFonts w:ascii="宋体" w:hAnsi="宋体"/>
          <w:szCs w:val="24"/>
          <w:highlight w:val="none"/>
        </w:rPr>
        <w:t>，</w:t>
      </w:r>
      <w:r>
        <w:rPr>
          <w:rFonts w:hint="eastAsia" w:ascii="宋体" w:hAnsi="宋体"/>
          <w:szCs w:val="24"/>
          <w:highlight w:val="none"/>
        </w:rPr>
        <w:t>支持以项目名称为条件进行查询</w:t>
      </w:r>
      <w:r>
        <w:rPr>
          <w:rFonts w:ascii="宋体" w:hAnsi="宋体"/>
          <w:szCs w:val="24"/>
          <w:highlight w:val="none"/>
        </w:rPr>
        <w:t>，</w:t>
      </w:r>
      <w:r>
        <w:rPr>
          <w:rFonts w:hint="eastAsia" w:ascii="宋体" w:hAnsi="宋体"/>
          <w:szCs w:val="24"/>
          <w:highlight w:val="none"/>
        </w:rPr>
        <w:t>检查报告支持以PDF的形式查看原报告</w:t>
      </w:r>
      <w:r>
        <w:rPr>
          <w:rFonts w:ascii="宋体" w:hAnsi="宋体"/>
          <w:szCs w:val="24"/>
          <w:highlight w:val="none"/>
        </w:rPr>
        <w:t>。</w:t>
      </w:r>
    </w:p>
    <w:p>
      <w:pPr>
        <w:pStyle w:val="5"/>
        <w:numPr>
          <w:ilvl w:val="3"/>
          <w:numId w:val="8"/>
        </w:numPr>
        <w:spacing w:line="360" w:lineRule="auto"/>
        <w:ind w:left="708"/>
        <w:rPr>
          <w:szCs w:val="24"/>
          <w:highlight w:val="none"/>
        </w:rPr>
      </w:pPr>
      <w:r>
        <w:rPr>
          <w:szCs w:val="24"/>
          <w:highlight w:val="none"/>
        </w:rPr>
        <w:t>检验</w:t>
      </w:r>
    </w:p>
    <w:p>
      <w:pPr>
        <w:pStyle w:val="18"/>
        <w:rPr>
          <w:rFonts w:ascii="宋体" w:hAnsi="宋体"/>
          <w:szCs w:val="24"/>
          <w:highlight w:val="none"/>
        </w:rPr>
      </w:pPr>
      <w:r>
        <w:rPr>
          <w:rFonts w:hint="eastAsia" w:ascii="宋体" w:hAnsi="宋体"/>
          <w:szCs w:val="24"/>
          <w:highlight w:val="none"/>
        </w:rPr>
        <w:t>从LIS中获取到患者的所有检验结果报告进行展示</w:t>
      </w:r>
      <w:r>
        <w:rPr>
          <w:rFonts w:ascii="宋体" w:hAnsi="宋体"/>
          <w:szCs w:val="24"/>
          <w:highlight w:val="none"/>
        </w:rPr>
        <w:t>，</w:t>
      </w:r>
      <w:r>
        <w:rPr>
          <w:rFonts w:hint="eastAsia" w:ascii="宋体" w:hAnsi="宋体"/>
          <w:szCs w:val="24"/>
          <w:highlight w:val="none"/>
        </w:rPr>
        <w:t>支持以项目名称为条件进行查询</w:t>
      </w:r>
      <w:r>
        <w:rPr>
          <w:rFonts w:ascii="宋体" w:hAnsi="宋体"/>
          <w:szCs w:val="24"/>
          <w:highlight w:val="none"/>
        </w:rPr>
        <w:t>，</w:t>
      </w:r>
      <w:r>
        <w:rPr>
          <w:rFonts w:hint="eastAsia" w:ascii="宋体" w:hAnsi="宋体"/>
          <w:szCs w:val="24"/>
          <w:highlight w:val="none"/>
        </w:rPr>
        <w:t>检验结果将对异常指标值进行警示的通知</w:t>
      </w:r>
      <w:r>
        <w:rPr>
          <w:rFonts w:ascii="宋体" w:hAnsi="宋体"/>
          <w:szCs w:val="24"/>
          <w:highlight w:val="none"/>
        </w:rPr>
        <w:t>。</w:t>
      </w:r>
    </w:p>
    <w:p>
      <w:pPr>
        <w:pStyle w:val="4"/>
        <w:numPr>
          <w:ilvl w:val="2"/>
          <w:numId w:val="8"/>
        </w:numPr>
        <w:spacing w:line="360" w:lineRule="auto"/>
        <w:ind w:left="567"/>
        <w:rPr>
          <w:szCs w:val="24"/>
          <w:highlight w:val="none"/>
        </w:rPr>
      </w:pPr>
      <w:bookmarkStart w:id="53" w:name="_Toc154688545"/>
      <w:r>
        <w:rPr>
          <w:rFonts w:hint="eastAsia"/>
          <w:szCs w:val="24"/>
          <w:highlight w:val="none"/>
        </w:rPr>
        <w:t>药学监护</w:t>
      </w:r>
      <w:bookmarkEnd w:id="53"/>
    </w:p>
    <w:p>
      <w:pPr>
        <w:pStyle w:val="5"/>
        <w:numPr>
          <w:ilvl w:val="3"/>
          <w:numId w:val="8"/>
        </w:numPr>
        <w:spacing w:line="360" w:lineRule="auto"/>
        <w:ind w:left="708"/>
        <w:rPr>
          <w:szCs w:val="24"/>
          <w:highlight w:val="none"/>
        </w:rPr>
      </w:pPr>
      <w:r>
        <w:rPr>
          <w:rFonts w:hint="eastAsia"/>
          <w:szCs w:val="24"/>
          <w:highlight w:val="none"/>
        </w:rPr>
        <w:t>患者监护评级</w:t>
      </w:r>
    </w:p>
    <w:p>
      <w:pPr>
        <w:pStyle w:val="18"/>
        <w:rPr>
          <w:rFonts w:ascii="宋体" w:hAnsi="宋体"/>
          <w:szCs w:val="24"/>
          <w:highlight w:val="none"/>
        </w:rPr>
      </w:pPr>
      <w:r>
        <w:rPr>
          <w:rFonts w:hint="eastAsia" w:ascii="宋体" w:hAnsi="宋体"/>
          <w:szCs w:val="24"/>
          <w:highlight w:val="none"/>
        </w:rPr>
        <w:t>系统能根据预设的患者监护评级规则，结合相关的患者病历数据，对患者药学监护等级进行自动评级。系统将自动为患者生成一条监护评级记录，药师也可手动新增评级记录，评级记录可修改、删除、查询。</w:t>
      </w:r>
    </w:p>
    <w:p>
      <w:pPr>
        <w:pStyle w:val="18"/>
        <w:rPr>
          <w:rFonts w:ascii="宋体" w:hAnsi="宋体"/>
          <w:szCs w:val="24"/>
          <w:highlight w:val="none"/>
        </w:rPr>
      </w:pPr>
      <w:r>
        <w:rPr>
          <w:rFonts w:hint="eastAsia" w:ascii="宋体" w:hAnsi="宋体"/>
          <w:szCs w:val="24"/>
          <w:highlight w:val="none"/>
        </w:rPr>
        <w:drawing>
          <wp:inline distT="0" distB="0" distL="114300" distR="114300">
            <wp:extent cx="5469255" cy="1565275"/>
            <wp:effectExtent l="0" t="0" r="17145" b="15875"/>
            <wp:docPr id="5" name="图片 5" descr="170364390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3643903649"/>
                    <pic:cNvPicPr>
                      <a:picLocks noChangeAspect="1"/>
                    </pic:cNvPicPr>
                  </pic:nvPicPr>
                  <pic:blipFill>
                    <a:blip r:embed="rId6"/>
                    <a:srcRect b="4753"/>
                    <a:stretch>
                      <a:fillRect/>
                    </a:stretch>
                  </pic:blipFill>
                  <pic:spPr>
                    <a:xfrm>
                      <a:off x="0" y="0"/>
                      <a:ext cx="5469255" cy="1565275"/>
                    </a:xfrm>
                    <a:prstGeom prst="rect">
                      <a:avLst/>
                    </a:prstGeom>
                  </pic:spPr>
                </pic:pic>
              </a:graphicData>
            </a:graphic>
          </wp:inline>
        </w:drawing>
      </w:r>
    </w:p>
    <w:p>
      <w:pPr>
        <w:pStyle w:val="18"/>
        <w:rPr>
          <w:rFonts w:ascii="宋体" w:hAnsi="宋体"/>
          <w:szCs w:val="24"/>
          <w:highlight w:val="none"/>
        </w:rPr>
      </w:pPr>
      <w:r>
        <w:rPr>
          <w:highlight w:val="none"/>
        </w:rPr>
        <mc:AlternateContent>
          <mc:Choice Requires="wps">
            <w:drawing>
              <wp:anchor distT="0" distB="0" distL="114300" distR="114300" simplePos="0" relativeHeight="251664384" behindDoc="0" locked="0" layoutInCell="1" allowOverlap="1">
                <wp:simplePos x="0" y="0"/>
                <wp:positionH relativeFrom="column">
                  <wp:posOffset>40005</wp:posOffset>
                </wp:positionH>
                <wp:positionV relativeFrom="paragraph">
                  <wp:posOffset>1374775</wp:posOffset>
                </wp:positionV>
                <wp:extent cx="5918200" cy="3810"/>
                <wp:effectExtent l="0" t="0" r="0" b="0"/>
                <wp:wrapNone/>
                <wp:docPr id="11" name="直接连接符 11"/>
                <wp:cNvGraphicFramePr/>
                <a:graphic xmlns:a="http://schemas.openxmlformats.org/drawingml/2006/main">
                  <a:graphicData uri="http://schemas.microsoft.com/office/word/2010/wordprocessingShape">
                    <wps:wsp>
                      <wps:cNvCnPr/>
                      <wps:spPr>
                        <a:xfrm flipV="1">
                          <a:off x="725805" y="9586595"/>
                          <a:ext cx="5918200" cy="381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15pt;margin-top:108.25pt;height:0.3pt;width:466pt;z-index:251664384;mso-width-relative:page;mso-height-relative:page;" filled="f" stroked="t" coordsize="21600,21600" o:gfxdata="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QcV2DWAAAACQEAAA8AAAAAAAAAAQAgAAAAIgAAAGRycy9kb3ducmV2Lnht&#10;bFBLAQIUABQAAAAIAIdO4kB44J7i+wEAAMwDAAAOAAAAAAAAAAEAIAAAACUBAABkcnMvZTJvRG9j&#10;LnhtbFBLBQYAAAAABgAGAFkBAACSBQAAAAA=&#10;">
                <v:fill on="f" focussize="0,0"/>
                <v:stroke weight="1pt" color="#000000 [3213]" miterlimit="8" joinstyle="miter"/>
                <v:imagedata o:title=""/>
                <o:lock v:ext="edit" aspectratio="f"/>
              </v:line>
            </w:pict>
          </mc:Fallback>
        </mc:AlternateContent>
      </w:r>
      <w:r>
        <w:rPr>
          <w:rFonts w:hint="eastAsia" w:ascii="宋体" w:hAnsi="宋体"/>
          <w:szCs w:val="24"/>
          <w:highlight w:val="none"/>
        </w:rPr>
        <w:drawing>
          <wp:inline distT="0" distB="0" distL="114300" distR="114300">
            <wp:extent cx="5369560" cy="1247140"/>
            <wp:effectExtent l="0" t="0" r="2540" b="10160"/>
            <wp:docPr id="2" name="图片 2" descr="170364423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3644236260"/>
                    <pic:cNvPicPr>
                      <a:picLocks noChangeAspect="1"/>
                    </pic:cNvPicPr>
                  </pic:nvPicPr>
                  <pic:blipFill>
                    <a:blip r:embed="rId7"/>
                    <a:srcRect t="4428"/>
                    <a:stretch>
                      <a:fillRect/>
                    </a:stretch>
                  </pic:blipFill>
                  <pic:spPr>
                    <a:xfrm>
                      <a:off x="0" y="0"/>
                      <a:ext cx="5369560" cy="1247140"/>
                    </a:xfrm>
                    <a:prstGeom prst="rect">
                      <a:avLst/>
                    </a:prstGeom>
                  </pic:spPr>
                </pic:pic>
              </a:graphicData>
            </a:graphic>
          </wp:inline>
        </w:drawing>
      </w:r>
    </w:p>
    <w:p>
      <w:pPr>
        <w:pStyle w:val="18"/>
        <w:rPr>
          <w:rFonts w:ascii="宋体" w:hAnsi="宋体"/>
          <w:szCs w:val="24"/>
          <w:highlight w:val="none"/>
        </w:rPr>
      </w:pPr>
      <w:r>
        <w:rPr>
          <w:rFonts w:hint="eastAsia" w:ascii="宋体" w:hAnsi="宋体"/>
          <w:szCs w:val="24"/>
          <w:highlight w:val="none"/>
        </w:rPr>
        <w:drawing>
          <wp:inline distT="0" distB="0" distL="114300" distR="114300">
            <wp:extent cx="5424170" cy="1812925"/>
            <wp:effectExtent l="0" t="0" r="5080" b="15875"/>
            <wp:docPr id="3" name="图片 3" descr="170364432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3644323498"/>
                    <pic:cNvPicPr>
                      <a:picLocks noChangeAspect="1"/>
                    </pic:cNvPicPr>
                  </pic:nvPicPr>
                  <pic:blipFill>
                    <a:blip r:embed="rId8"/>
                    <a:stretch>
                      <a:fillRect/>
                    </a:stretch>
                  </pic:blipFill>
                  <pic:spPr>
                    <a:xfrm>
                      <a:off x="0" y="0"/>
                      <a:ext cx="5424170" cy="1812925"/>
                    </a:xfrm>
                    <a:prstGeom prst="rect">
                      <a:avLst/>
                    </a:prstGeom>
                  </pic:spPr>
                </pic:pic>
              </a:graphicData>
            </a:graphic>
          </wp:inline>
        </w:drawing>
      </w:r>
    </w:p>
    <w:p>
      <w:pPr>
        <w:pStyle w:val="18"/>
        <w:rPr>
          <w:rFonts w:ascii="宋体" w:hAnsi="宋体"/>
          <w:szCs w:val="24"/>
          <w:highlight w:val="none"/>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122555</wp:posOffset>
                </wp:positionH>
                <wp:positionV relativeFrom="paragraph">
                  <wp:posOffset>62230</wp:posOffset>
                </wp:positionV>
                <wp:extent cx="6013450" cy="19050"/>
                <wp:effectExtent l="0" t="6350" r="6350" b="12700"/>
                <wp:wrapNone/>
                <wp:docPr id="10" name="直接连接符 10"/>
                <wp:cNvGraphicFramePr/>
                <a:graphic xmlns:a="http://schemas.openxmlformats.org/drawingml/2006/main">
                  <a:graphicData uri="http://schemas.microsoft.com/office/word/2010/wordprocessingShape">
                    <wps:wsp>
                      <wps:cNvCnPr/>
                      <wps:spPr>
                        <a:xfrm>
                          <a:off x="808355" y="2957830"/>
                          <a:ext cx="6013450" cy="1905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65pt;margin-top:4.9pt;height:1.5pt;width:473.5pt;z-index:251663360;mso-width-relative:page;mso-height-relative:page;" filled="f" stroked="t" coordsize="21600,21600" o:gfxdata="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a4y37WAAAABwEAAA8AAAAAAAAAAQAgAAAAIgAAAGRycy9kb3ducmV2LnhtbFBLAQIU&#10;ABQAAAAIAIdO4kBJBxPC9QEAAMMDAAAOAAAAAAAAAAEAIAAAACUBAABkcnMvZTJvRG9jLnhtbFBL&#10;BQYAAAAABgAGAFkBAACMBQAAAAA=&#10;">
                <v:fill on="f" focussize="0,0"/>
                <v:stroke weight="1pt" color="#000000 [3213]" miterlimit="8" joinstyle="miter"/>
                <v:imagedata o:title=""/>
                <o:lock v:ext="edit" aspectratio="f"/>
              </v:line>
            </w:pict>
          </mc:Fallback>
        </mc:AlternateContent>
      </w:r>
      <w:r>
        <w:rPr>
          <w:rFonts w:hint="eastAsia" w:ascii="宋体" w:hAnsi="宋体"/>
          <w:szCs w:val="24"/>
          <w:highlight w:val="none"/>
        </w:rPr>
        <w:drawing>
          <wp:inline distT="0" distB="0" distL="114300" distR="114300">
            <wp:extent cx="5562600" cy="3580130"/>
            <wp:effectExtent l="0" t="0" r="0" b="1270"/>
            <wp:docPr id="4" name="图片 4" descr="170364437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3644373523"/>
                    <pic:cNvPicPr>
                      <a:picLocks noChangeAspect="1"/>
                    </pic:cNvPicPr>
                  </pic:nvPicPr>
                  <pic:blipFill>
                    <a:blip r:embed="rId9"/>
                    <a:srcRect b="1399"/>
                    <a:stretch>
                      <a:fillRect/>
                    </a:stretch>
                  </pic:blipFill>
                  <pic:spPr>
                    <a:xfrm>
                      <a:off x="0" y="0"/>
                      <a:ext cx="5562600" cy="3580130"/>
                    </a:xfrm>
                    <a:prstGeom prst="rect">
                      <a:avLst/>
                    </a:prstGeom>
                  </pic:spPr>
                </pic:pic>
              </a:graphicData>
            </a:graphic>
          </wp:inline>
        </w:drawing>
      </w:r>
    </w:p>
    <w:p>
      <w:pPr>
        <w:pStyle w:val="18"/>
        <w:rPr>
          <w:rFonts w:ascii="宋体" w:hAnsi="宋体"/>
          <w:szCs w:val="24"/>
          <w:highlight w:val="none"/>
        </w:rPr>
      </w:pPr>
      <w:r>
        <w:rPr>
          <w:highlight w:val="none"/>
        </w:rPr>
        <mc:AlternateContent>
          <mc:Choice Requires="wps">
            <w:drawing>
              <wp:anchor distT="0" distB="0" distL="114300" distR="114300" simplePos="0" relativeHeight="251665408" behindDoc="0" locked="0" layoutInCell="1" allowOverlap="1">
                <wp:simplePos x="0" y="0"/>
                <wp:positionH relativeFrom="column">
                  <wp:posOffset>313055</wp:posOffset>
                </wp:positionH>
                <wp:positionV relativeFrom="paragraph">
                  <wp:posOffset>224790</wp:posOffset>
                </wp:positionV>
                <wp:extent cx="5505450" cy="0"/>
                <wp:effectExtent l="0" t="6350" r="0" b="6350"/>
                <wp:wrapNone/>
                <wp:docPr id="12" name="直接连接符 12"/>
                <wp:cNvGraphicFramePr/>
                <a:graphic xmlns:a="http://schemas.openxmlformats.org/drawingml/2006/main">
                  <a:graphicData uri="http://schemas.microsoft.com/office/word/2010/wordprocessingShape">
                    <wps:wsp>
                      <wps:cNvCnPr/>
                      <wps:spPr>
                        <a:xfrm>
                          <a:off x="998855" y="6884670"/>
                          <a:ext cx="550545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4.65pt;margin-top:17.7pt;height:0pt;width:433.5pt;z-index:251665408;mso-width-relative:page;mso-height-relative:page;" filled="f" stroked="t" coordsize="21600,21600" o:gfxdata="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HObftcAAAAIAQAADwAAAAAAAAABACAAAAAiAAAAZHJzL2Rvd25yZXYueG1sUEsBAhQAFAAA&#10;AAgAh07iQILUWg/wAQAAvwMAAA4AAAAAAAAAAQAgAAAAJgEAAGRycy9lMm9Eb2MueG1sUEsFBgAA&#10;AAAGAAYAWQEAAIgFAAAAAA==&#10;">
                <v:fill on="f" focussize="0,0"/>
                <v:stroke weight="1pt" color="#000000 [3213]" miterlimit="8" joinstyle="miter"/>
                <v:imagedata o:title=""/>
                <o:lock v:ext="edit" aspectratio="f"/>
              </v:line>
            </w:pict>
          </mc:Fallback>
        </mc:AlternateContent>
      </w:r>
      <w:r>
        <w:rPr>
          <w:rFonts w:hint="eastAsia" w:ascii="宋体" w:hAnsi="宋体"/>
          <w:szCs w:val="24"/>
          <w:highlight w:val="none"/>
        </w:rPr>
        <w:drawing>
          <wp:inline distT="0" distB="0" distL="114300" distR="114300">
            <wp:extent cx="5573395" cy="2159000"/>
            <wp:effectExtent l="0" t="0" r="8255" b="12700"/>
            <wp:docPr id="9" name="图片 9" descr="170364441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03644410066"/>
                    <pic:cNvPicPr>
                      <a:picLocks noChangeAspect="1"/>
                    </pic:cNvPicPr>
                  </pic:nvPicPr>
                  <pic:blipFill>
                    <a:blip r:embed="rId10"/>
                    <a:srcRect t="4009"/>
                    <a:stretch>
                      <a:fillRect/>
                    </a:stretch>
                  </pic:blipFill>
                  <pic:spPr>
                    <a:xfrm>
                      <a:off x="0" y="0"/>
                      <a:ext cx="5573395" cy="2159000"/>
                    </a:xfrm>
                    <a:prstGeom prst="rect">
                      <a:avLst/>
                    </a:prstGeom>
                  </pic:spPr>
                </pic:pic>
              </a:graphicData>
            </a:graphic>
          </wp:inline>
        </w:drawing>
      </w:r>
    </w:p>
    <w:p>
      <w:pPr>
        <w:pStyle w:val="5"/>
        <w:numPr>
          <w:ilvl w:val="3"/>
          <w:numId w:val="8"/>
        </w:numPr>
        <w:spacing w:line="360" w:lineRule="auto"/>
        <w:ind w:left="708"/>
        <w:rPr>
          <w:szCs w:val="24"/>
          <w:highlight w:val="none"/>
        </w:rPr>
      </w:pPr>
      <w:r>
        <w:rPr>
          <w:rFonts w:hint="eastAsia"/>
          <w:szCs w:val="24"/>
          <w:highlight w:val="none"/>
        </w:rPr>
        <w:t>住院</w:t>
      </w:r>
      <w:r>
        <w:rPr>
          <w:rFonts w:hint="eastAsia"/>
          <w:szCs w:val="24"/>
          <w:highlight w:val="none"/>
          <w:lang w:eastAsia="zh-Hans"/>
        </w:rPr>
        <w:t>药学</w:t>
      </w:r>
      <w:r>
        <w:rPr>
          <w:rFonts w:hint="eastAsia"/>
          <w:szCs w:val="24"/>
          <w:highlight w:val="none"/>
        </w:rPr>
        <w:t>监护计划管理</w:t>
      </w:r>
    </w:p>
    <w:p>
      <w:pPr>
        <w:pStyle w:val="18"/>
        <w:rPr>
          <w:rFonts w:ascii="宋体" w:hAnsi="宋体"/>
          <w:szCs w:val="24"/>
          <w:highlight w:val="none"/>
        </w:rPr>
      </w:pPr>
      <w:r>
        <w:rPr>
          <w:rFonts w:hint="eastAsia" w:ascii="宋体" w:hAnsi="宋体"/>
          <w:szCs w:val="24"/>
          <w:highlight w:val="none"/>
        </w:rPr>
        <w:t>系统根据患者的监护评级，自动生成监护计划。监护计划包括计划时段、计划内容、执行时点等，药师可对监护计划进行修改、删除、查询及详情查看等操作。</w:t>
      </w:r>
    </w:p>
    <w:p>
      <w:pPr>
        <w:pStyle w:val="32"/>
        <w:spacing w:line="360" w:lineRule="auto"/>
        <w:ind w:left="420" w:leftChars="200" w:firstLine="0" w:firstLineChars="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（1）系统应提供入院评估表，内容包括患者一般资料、入院状况、既往用药了解程序、主要实验室检查结果、风险评估、依从性评估、疾病认识。</w:t>
      </w:r>
    </w:p>
    <w:p>
      <w:pPr>
        <w:pStyle w:val="32"/>
        <w:spacing w:line="360" w:lineRule="auto"/>
        <w:ind w:left="420" w:leftChars="200" w:firstLine="0" w:firstLineChars="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（2）系统应提供程序审查结果、药品说明书、注意事项辅助药师进行合理用药审查，应支持药师将不合理医嘱一键生成用药建议，反馈给临床医生并记录医生采纳情况。</w:t>
      </w:r>
    </w:p>
    <w:p>
      <w:pPr>
        <w:pStyle w:val="32"/>
        <w:spacing w:line="360" w:lineRule="auto"/>
        <w:ind w:left="420" w:leftChars="200" w:firstLine="0" w:firstLineChars="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（3）系统应能自动导入患者在用医嘱，快速生成药物重整计划，应支持药师将重整计划反馈给临床医生并记录医生采纳情况。</w:t>
      </w:r>
    </w:p>
    <w:p>
      <w:pPr>
        <w:pStyle w:val="32"/>
        <w:spacing w:line="360" w:lineRule="auto"/>
        <w:ind w:left="420" w:leftChars="200" w:firstLine="0" w:firstLineChars="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（4）系统应提供导入历史监护计划、监护计划模板快捷输入、医嘱/检验/检查自动导入功能、▲医嘱/检验值模糊查找功能，帮助药师快速生成监护计划。</w:t>
      </w:r>
    </w:p>
    <w:p>
      <w:pPr>
        <w:pStyle w:val="32"/>
        <w:spacing w:line="360" w:lineRule="auto"/>
        <w:ind w:left="420" w:leftChars="200" w:firstLine="0" w:firstLineChars="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5）系统应提供监护日志模板，▲内容包括监护日期、病情变化、修正诊断、药学问诊、问题及患者反馈、治疗方案、新开药品、停嘱药品、实验室检查结果更新、药学分析与建议，药师应可根据需要自定义填写内容。</w:t>
      </w:r>
    </w:p>
    <w:p>
      <w:pPr>
        <w:pStyle w:val="18"/>
        <w:rPr>
          <w:rFonts w:ascii="宋体" w:hAnsi="宋体"/>
          <w:szCs w:val="24"/>
          <w:highlight w:val="none"/>
        </w:rPr>
      </w:pPr>
    </w:p>
    <w:p>
      <w:pPr>
        <w:pStyle w:val="5"/>
        <w:numPr>
          <w:ilvl w:val="3"/>
          <w:numId w:val="8"/>
        </w:numPr>
        <w:spacing w:line="360" w:lineRule="auto"/>
        <w:ind w:left="708"/>
        <w:rPr>
          <w:szCs w:val="24"/>
          <w:highlight w:val="none"/>
        </w:rPr>
      </w:pPr>
      <w:r>
        <w:rPr>
          <w:rFonts w:hint="eastAsia"/>
          <w:szCs w:val="24"/>
          <w:highlight w:val="none"/>
        </w:rPr>
        <w:t>监护任务管理</w:t>
      </w:r>
    </w:p>
    <w:p>
      <w:pPr>
        <w:pStyle w:val="18"/>
        <w:rPr>
          <w:rFonts w:ascii="宋体" w:hAnsi="宋体"/>
          <w:szCs w:val="24"/>
          <w:highlight w:val="none"/>
        </w:rPr>
      </w:pPr>
      <w:r>
        <w:rPr>
          <w:rFonts w:hint="eastAsia" w:ascii="宋体" w:hAnsi="宋体"/>
          <w:szCs w:val="24"/>
          <w:highlight w:val="none"/>
        </w:rPr>
        <w:t>药师可根据上述的监护计划对患者执行监护工作，并以监护任务的形式记录工作情况。监护任务包括任务执行时间、执行情况描述、任务完成状态等。药师可对任务记录进行新增、修改、删除、查询及详情查看等操作</w:t>
      </w:r>
      <w:r>
        <w:rPr>
          <w:rFonts w:ascii="宋体" w:hAnsi="宋体"/>
          <w:szCs w:val="24"/>
          <w:highlight w:val="none"/>
        </w:rPr>
        <w:t>。</w:t>
      </w:r>
    </w:p>
    <w:p>
      <w:pPr>
        <w:pStyle w:val="5"/>
        <w:numPr>
          <w:ilvl w:val="3"/>
          <w:numId w:val="8"/>
        </w:numPr>
        <w:spacing w:line="360" w:lineRule="auto"/>
        <w:ind w:left="708"/>
        <w:rPr>
          <w:szCs w:val="24"/>
          <w:highlight w:val="none"/>
        </w:rPr>
      </w:pPr>
      <w:r>
        <w:rPr>
          <w:rFonts w:hint="eastAsia"/>
          <w:szCs w:val="24"/>
          <w:highlight w:val="none"/>
        </w:rPr>
        <w:t>监护总结</w:t>
      </w:r>
    </w:p>
    <w:p>
      <w:pPr>
        <w:pStyle w:val="18"/>
        <w:rPr>
          <w:rFonts w:ascii="宋体" w:hAnsi="宋体"/>
          <w:szCs w:val="24"/>
          <w:highlight w:val="none"/>
        </w:rPr>
      </w:pPr>
      <w:r>
        <w:rPr>
          <w:rFonts w:hint="eastAsia" w:ascii="宋体" w:hAnsi="宋体"/>
          <w:szCs w:val="24"/>
          <w:highlight w:val="none"/>
        </w:rPr>
        <w:t>系统可将每个监护计划的执行情况进行汇集，自动生成一份监护总结，药师发送后医生可在电子病历系统查看。药师可对监护总结的内容进行、修改、删除、查询及详情查看等操作</w:t>
      </w:r>
      <w:r>
        <w:rPr>
          <w:rFonts w:ascii="宋体" w:hAnsi="宋体"/>
          <w:szCs w:val="24"/>
          <w:highlight w:val="none"/>
        </w:rPr>
        <w:t>。</w:t>
      </w:r>
    </w:p>
    <w:p>
      <w:pPr>
        <w:pStyle w:val="5"/>
        <w:numPr>
          <w:ilvl w:val="3"/>
          <w:numId w:val="8"/>
        </w:numPr>
        <w:spacing w:line="360" w:lineRule="auto"/>
        <w:ind w:left="708"/>
        <w:rPr>
          <w:szCs w:val="24"/>
          <w:highlight w:val="none"/>
        </w:rPr>
      </w:pPr>
      <w:r>
        <w:rPr>
          <w:rFonts w:hint="eastAsia"/>
          <w:szCs w:val="24"/>
          <w:highlight w:val="none"/>
        </w:rPr>
        <w:t>监护</w:t>
      </w:r>
      <w:r>
        <w:rPr>
          <w:rFonts w:hint="eastAsia"/>
          <w:szCs w:val="24"/>
          <w:highlight w:val="none"/>
          <w:lang w:eastAsia="zh-Hans"/>
        </w:rPr>
        <w:t>评级</w:t>
      </w:r>
      <w:r>
        <w:rPr>
          <w:rFonts w:hint="eastAsia"/>
          <w:szCs w:val="24"/>
          <w:highlight w:val="none"/>
        </w:rPr>
        <w:t>标准配置</w:t>
      </w:r>
    </w:p>
    <w:p>
      <w:pPr>
        <w:pStyle w:val="18"/>
        <w:rPr>
          <w:rFonts w:ascii="宋体" w:hAnsi="宋体"/>
          <w:szCs w:val="24"/>
          <w:highlight w:val="none"/>
        </w:rPr>
      </w:pPr>
      <w:r>
        <w:rPr>
          <w:rFonts w:hint="eastAsia" w:ascii="宋体" w:hAnsi="宋体"/>
          <w:szCs w:val="24"/>
          <w:highlight w:val="none"/>
        </w:rPr>
        <w:t>系统对患者的自动监护评级是基于“监护评级标准配置”进行的，因此在自动评级之前，药师需要对“监护评级标准”进行配置。药师可新增评级等级，例如一级监护、二级监护、三级监护，并对监护等级对应的条件进行设置（例如什么诊断的患者、服用什么药的患者需要进行一级监护），药师可对评级标准进行修改、删除、查询和详情查看等操作。</w:t>
      </w:r>
    </w:p>
    <w:p>
      <w:pPr>
        <w:pStyle w:val="4"/>
        <w:numPr>
          <w:ilvl w:val="2"/>
          <w:numId w:val="8"/>
        </w:numPr>
        <w:spacing w:line="360" w:lineRule="auto"/>
        <w:ind w:left="567"/>
        <w:rPr>
          <w:szCs w:val="24"/>
          <w:highlight w:val="none"/>
        </w:rPr>
      </w:pPr>
      <w:bookmarkStart w:id="54" w:name="_Toc154688546"/>
      <w:r>
        <w:rPr>
          <w:rFonts w:hint="eastAsia"/>
          <w:szCs w:val="24"/>
          <w:highlight w:val="none"/>
        </w:rPr>
        <w:t>药学建议</w:t>
      </w:r>
      <w:bookmarkEnd w:id="54"/>
    </w:p>
    <w:p>
      <w:pPr>
        <w:pStyle w:val="18"/>
        <w:rPr>
          <w:rFonts w:ascii="宋体" w:hAnsi="宋体"/>
          <w:szCs w:val="24"/>
          <w:highlight w:val="none"/>
        </w:rPr>
      </w:pPr>
      <w:r>
        <w:rPr>
          <w:rFonts w:hint="eastAsia" w:ascii="宋体" w:hAnsi="宋体"/>
          <w:szCs w:val="24"/>
          <w:highlight w:val="none"/>
        </w:rPr>
        <w:t>药学建议是药师对患者进行监护之后，发现存在用药问题，因此提出建议，发送给医生，医生选择是否采纳。系统支持药师为患者新增药学建议记录，记录内容包括用药清单、建议内容、建议时间、建议人等。药师对建议记录进行修改、删除、查询、详情查看、导出等操作。</w:t>
      </w:r>
    </w:p>
    <w:p>
      <w:pPr>
        <w:pStyle w:val="18"/>
        <w:rPr>
          <w:rFonts w:ascii="宋体" w:hAnsi="宋体"/>
          <w:szCs w:val="24"/>
          <w:highlight w:val="none"/>
        </w:rPr>
      </w:pPr>
      <w:r>
        <w:rPr>
          <w:rFonts w:hint="eastAsia" w:ascii="宋体" w:hAnsi="宋体"/>
          <w:szCs w:val="24"/>
          <w:highlight w:val="none"/>
        </w:rPr>
        <w:t>医生采纳建议之后，药师可查看采纳记录。</w:t>
      </w:r>
    </w:p>
    <w:p>
      <w:pPr>
        <w:pStyle w:val="5"/>
        <w:numPr>
          <w:ilvl w:val="3"/>
          <w:numId w:val="8"/>
        </w:numPr>
        <w:spacing w:line="360" w:lineRule="auto"/>
        <w:ind w:left="708"/>
        <w:rPr>
          <w:szCs w:val="24"/>
          <w:highlight w:val="none"/>
          <w:lang w:eastAsia="zh-Hans"/>
        </w:rPr>
      </w:pPr>
      <w:r>
        <w:rPr>
          <w:rFonts w:hint="eastAsia"/>
          <w:szCs w:val="24"/>
          <w:highlight w:val="none"/>
          <w:lang w:eastAsia="zh-Hans"/>
        </w:rPr>
        <w:t>内容模版</w:t>
      </w:r>
      <w:r>
        <w:rPr>
          <w:rFonts w:hint="eastAsia"/>
          <w:szCs w:val="24"/>
          <w:highlight w:val="none"/>
        </w:rPr>
        <w:t>管理</w:t>
      </w:r>
    </w:p>
    <w:p>
      <w:pPr>
        <w:pStyle w:val="18"/>
        <w:rPr>
          <w:rFonts w:ascii="宋体" w:hAnsi="宋体"/>
          <w:szCs w:val="24"/>
          <w:highlight w:val="none"/>
        </w:rPr>
      </w:pPr>
      <w:r>
        <w:rPr>
          <w:rFonts w:hint="eastAsia" w:ascii="宋体" w:hAnsi="宋体"/>
          <w:szCs w:val="24"/>
          <w:highlight w:val="none"/>
        </w:rPr>
        <w:t>由于每个专科的药学建议存在不同格式，因此系统支持建立药学建议模板，提前维护好科室的建议内容，便于药师快速撰写药学建议。药师可对模板进行修改、删除、查询、详情查看和导出等操作。系统应内置各种慢病、特殊人群患者管理模板，例如抗凝管理、COPD管理、哺乳患者管理等等，可随时添加内容。</w:t>
      </w:r>
    </w:p>
    <w:p>
      <w:pPr>
        <w:pStyle w:val="4"/>
        <w:numPr>
          <w:ilvl w:val="2"/>
          <w:numId w:val="8"/>
        </w:numPr>
        <w:spacing w:line="360" w:lineRule="auto"/>
        <w:ind w:left="567"/>
        <w:rPr>
          <w:szCs w:val="24"/>
          <w:highlight w:val="none"/>
        </w:rPr>
      </w:pPr>
      <w:bookmarkStart w:id="55" w:name="_Toc154688547"/>
      <w:r>
        <w:rPr>
          <w:rFonts w:hint="eastAsia"/>
          <w:szCs w:val="24"/>
          <w:highlight w:val="none"/>
        </w:rPr>
        <w:t>用药教育</w:t>
      </w:r>
      <w:bookmarkEnd w:id="55"/>
    </w:p>
    <w:p>
      <w:pPr>
        <w:pStyle w:val="18"/>
        <w:rPr>
          <w:rFonts w:ascii="宋体" w:hAnsi="宋体"/>
          <w:szCs w:val="24"/>
          <w:highlight w:val="none"/>
        </w:rPr>
      </w:pPr>
      <w:r>
        <w:rPr>
          <w:rFonts w:hint="eastAsia" w:ascii="宋体" w:hAnsi="宋体"/>
          <w:szCs w:val="24"/>
          <w:highlight w:val="none"/>
        </w:rPr>
        <w:t>临床药师能根据患者的需要，进行用药教育的文档编写。系统能展示出患者的用药教育记录</w:t>
      </w:r>
      <w:r>
        <w:rPr>
          <w:rFonts w:ascii="宋体" w:hAnsi="宋体"/>
          <w:szCs w:val="24"/>
          <w:highlight w:val="none"/>
        </w:rPr>
        <w:t>，</w:t>
      </w:r>
      <w:r>
        <w:rPr>
          <w:rFonts w:hint="eastAsia" w:ascii="宋体" w:hAnsi="宋体"/>
          <w:szCs w:val="24"/>
          <w:highlight w:val="none"/>
        </w:rPr>
        <w:t>药师可以对给出的用药教育记录进行修改和删除以及导出打印</w:t>
      </w:r>
      <w:r>
        <w:rPr>
          <w:rFonts w:ascii="宋体" w:hAnsi="宋体"/>
          <w:szCs w:val="24"/>
          <w:highlight w:val="none"/>
        </w:rPr>
        <w:t>。</w:t>
      </w:r>
    </w:p>
    <w:p>
      <w:pPr>
        <w:widowControl/>
        <w:jc w:val="left"/>
        <w:rPr>
          <w:highlight w:val="none"/>
        </w:rPr>
      </w:pPr>
      <w:r>
        <w:rPr>
          <w:rFonts w:ascii="仿宋" w:hAnsi="仿宋" w:eastAsia="仿宋" w:cs="仿宋"/>
          <w:color w:val="000000"/>
          <w:kern w:val="0"/>
          <w:sz w:val="28"/>
          <w:szCs w:val="28"/>
          <w:highlight w:val="none"/>
          <w:lang w:bidi="ar"/>
        </w:rPr>
        <w:t xml:space="preserve">用药教育记录内容应包含： </w:t>
      </w:r>
    </w:p>
    <w:p>
      <w:pPr>
        <w:widowControl/>
        <w:jc w:val="left"/>
        <w:rPr>
          <w:highlight w:val="none"/>
        </w:rPr>
      </w:pPr>
      <w:r>
        <w:rPr>
          <w:rFonts w:hint="eastAsia" w:ascii="仿宋" w:hAnsi="仿宋" w:eastAsia="仿宋" w:cs="仿宋"/>
          <w:color w:val="000000"/>
          <w:kern w:val="0"/>
          <w:sz w:val="28"/>
          <w:szCs w:val="28"/>
          <w:highlight w:val="none"/>
          <w:lang w:bidi="ar"/>
        </w:rPr>
        <w:t xml:space="preserve">（一）患者基本信息、疾病相关信息以及用药史、疾病史、过敏史、家族史 </w:t>
      </w:r>
    </w:p>
    <w:p>
      <w:pPr>
        <w:widowControl/>
        <w:jc w:val="left"/>
        <w:rPr>
          <w:highlight w:val="none"/>
        </w:rPr>
      </w:pPr>
      <w:r>
        <w:rPr>
          <w:rFonts w:hint="eastAsia" w:ascii="仿宋" w:hAnsi="仿宋" w:eastAsia="仿宋" w:cs="仿宋"/>
          <w:color w:val="000000"/>
          <w:kern w:val="0"/>
          <w:sz w:val="28"/>
          <w:szCs w:val="28"/>
          <w:highlight w:val="none"/>
          <w:lang w:bidi="ar"/>
        </w:rPr>
        <w:t xml:space="preserve">等，以便为教育的实施提供数据支持。 </w:t>
      </w:r>
    </w:p>
    <w:p>
      <w:pPr>
        <w:widowControl/>
        <w:jc w:val="left"/>
        <w:rPr>
          <w:highlight w:val="none"/>
        </w:rPr>
      </w:pPr>
      <w:r>
        <w:rPr>
          <w:rFonts w:hint="eastAsia" w:ascii="仿宋" w:hAnsi="仿宋" w:eastAsia="仿宋" w:cs="仿宋"/>
          <w:color w:val="000000"/>
          <w:kern w:val="0"/>
          <w:sz w:val="28"/>
          <w:szCs w:val="28"/>
          <w:highlight w:val="none"/>
          <w:lang w:bidi="ar"/>
        </w:rPr>
        <w:t xml:space="preserve">（二）用药教育相关的全部药品信息，包括药品通用名、给药方式、剂量、 </w:t>
      </w:r>
    </w:p>
    <w:p>
      <w:pPr>
        <w:widowControl/>
        <w:jc w:val="left"/>
        <w:rPr>
          <w:highlight w:val="none"/>
        </w:rPr>
      </w:pPr>
      <w:r>
        <w:rPr>
          <w:rFonts w:hint="eastAsia" w:ascii="仿宋" w:hAnsi="仿宋" w:eastAsia="仿宋" w:cs="仿宋"/>
          <w:color w:val="000000"/>
          <w:kern w:val="0"/>
          <w:sz w:val="28"/>
          <w:szCs w:val="28"/>
          <w:highlight w:val="none"/>
          <w:lang w:bidi="ar"/>
        </w:rPr>
        <w:t xml:space="preserve">疗程等。 </w:t>
      </w:r>
    </w:p>
    <w:p>
      <w:pPr>
        <w:widowControl/>
        <w:jc w:val="left"/>
        <w:rPr>
          <w:highlight w:val="none"/>
        </w:rPr>
      </w:pPr>
      <w:r>
        <w:rPr>
          <w:rFonts w:hint="eastAsia" w:ascii="仿宋" w:hAnsi="仿宋" w:eastAsia="仿宋" w:cs="仿宋"/>
          <w:color w:val="000000"/>
          <w:kern w:val="0"/>
          <w:sz w:val="28"/>
          <w:szCs w:val="28"/>
          <w:highlight w:val="none"/>
          <w:lang w:bidi="ar"/>
        </w:rPr>
        <w:t xml:space="preserve">（三）主要的用药教育内容以及来源和依据，做到有据可查。 </w:t>
      </w:r>
    </w:p>
    <w:p>
      <w:pPr>
        <w:widowControl/>
        <w:jc w:val="left"/>
        <w:rPr>
          <w:highlight w:val="none"/>
        </w:rPr>
      </w:pPr>
      <w:r>
        <w:rPr>
          <w:rFonts w:hint="eastAsia" w:ascii="仿宋" w:hAnsi="仿宋" w:eastAsia="仿宋" w:cs="仿宋"/>
          <w:color w:val="000000"/>
          <w:kern w:val="0"/>
          <w:sz w:val="28"/>
          <w:szCs w:val="28"/>
          <w:highlight w:val="none"/>
          <w:lang w:bidi="ar"/>
        </w:rPr>
        <w:t xml:space="preserve">（四）用药教育的结果患者是接受或拒绝。 </w:t>
      </w:r>
    </w:p>
    <w:p>
      <w:pPr>
        <w:widowControl/>
        <w:jc w:val="left"/>
        <w:rPr>
          <w:rFonts w:ascii="宋体" w:hAnsi="宋体"/>
          <w:highlight w:val="none"/>
        </w:rPr>
      </w:pPr>
      <w:r>
        <w:rPr>
          <w:rFonts w:hint="eastAsia" w:ascii="仿宋" w:hAnsi="仿宋" w:eastAsia="仿宋" w:cs="仿宋"/>
          <w:color w:val="000000"/>
          <w:kern w:val="0"/>
          <w:sz w:val="28"/>
          <w:szCs w:val="28"/>
          <w:highlight w:val="none"/>
          <w:lang w:bidi="ar"/>
        </w:rPr>
        <w:t xml:space="preserve">（五）药师签名并标注用药教育的时间。 </w:t>
      </w:r>
    </w:p>
    <w:p>
      <w:pPr>
        <w:pStyle w:val="5"/>
        <w:numPr>
          <w:ilvl w:val="3"/>
          <w:numId w:val="8"/>
        </w:numPr>
        <w:spacing w:line="360" w:lineRule="auto"/>
        <w:ind w:left="708"/>
        <w:rPr>
          <w:szCs w:val="24"/>
          <w:highlight w:val="none"/>
          <w:lang w:eastAsia="zh-Hans"/>
        </w:rPr>
      </w:pPr>
      <w:r>
        <w:rPr>
          <w:rFonts w:hint="eastAsia"/>
          <w:szCs w:val="24"/>
          <w:highlight w:val="none"/>
          <w:lang w:eastAsia="zh-Hans"/>
        </w:rPr>
        <w:t>在院用药教育</w:t>
      </w:r>
    </w:p>
    <w:p>
      <w:pPr>
        <w:pStyle w:val="18"/>
        <w:rPr>
          <w:rFonts w:ascii="宋体" w:hAnsi="宋体"/>
          <w:szCs w:val="24"/>
          <w:highlight w:val="none"/>
        </w:rPr>
      </w:pPr>
      <w:r>
        <w:rPr>
          <w:rFonts w:hint="eastAsia" w:ascii="宋体" w:hAnsi="宋体"/>
          <w:szCs w:val="24"/>
          <w:highlight w:val="none"/>
        </w:rPr>
        <w:t>药师为在院患者提供用药教育。在教育之前，需要制作用药教育内容。药师可以导入药品</w:t>
      </w:r>
      <w:r>
        <w:rPr>
          <w:rFonts w:ascii="宋体" w:hAnsi="宋体"/>
          <w:szCs w:val="24"/>
          <w:highlight w:val="none"/>
        </w:rPr>
        <w:t>，</w:t>
      </w:r>
      <w:r>
        <w:rPr>
          <w:rFonts w:hint="eastAsia" w:ascii="宋体" w:hAnsi="宋体"/>
          <w:szCs w:val="24"/>
          <w:highlight w:val="none"/>
        </w:rPr>
        <w:t>引入预先维护好的用药教育内容，针对药品进行用药教育内容的填写</w:t>
      </w:r>
      <w:r>
        <w:rPr>
          <w:rFonts w:ascii="宋体" w:hAnsi="宋体"/>
          <w:szCs w:val="24"/>
          <w:highlight w:val="none"/>
        </w:rPr>
        <w:t>，</w:t>
      </w:r>
      <w:r>
        <w:rPr>
          <w:rFonts w:hint="eastAsia" w:ascii="宋体" w:hAnsi="宋体"/>
          <w:szCs w:val="24"/>
          <w:highlight w:val="none"/>
        </w:rPr>
        <w:t>保存后生成一份用药教育内容。药师可对用药教育内容进行修改、删除、查询、详情查看及导出操作。</w:t>
      </w:r>
    </w:p>
    <w:p>
      <w:pPr>
        <w:pStyle w:val="18"/>
        <w:rPr>
          <w:rFonts w:ascii="宋体" w:hAnsi="宋体"/>
          <w:szCs w:val="24"/>
          <w:highlight w:val="none"/>
        </w:rPr>
      </w:pPr>
      <w:r>
        <w:rPr>
          <w:rFonts w:hint="eastAsia" w:ascii="宋体" w:hAnsi="宋体"/>
          <w:szCs w:val="24"/>
          <w:highlight w:val="none"/>
        </w:rPr>
        <w:t>药师对患者进行用药教育宣教之后，可新增一条宣教记录，以统计其工作。宣教记录包括宣教时间、宣教人、宣教对象、宣教情况描述、患者签字等信息。宣教记录可修改、删除、查询、详情查看及导出操作。</w:t>
      </w:r>
    </w:p>
    <w:p>
      <w:pPr>
        <w:pStyle w:val="5"/>
        <w:numPr>
          <w:ilvl w:val="3"/>
          <w:numId w:val="8"/>
        </w:numPr>
        <w:spacing w:line="360" w:lineRule="auto"/>
        <w:ind w:left="708"/>
        <w:rPr>
          <w:szCs w:val="24"/>
          <w:highlight w:val="none"/>
          <w:lang w:eastAsia="zh-Hans"/>
        </w:rPr>
      </w:pPr>
      <w:r>
        <w:rPr>
          <w:rFonts w:hint="eastAsia"/>
          <w:szCs w:val="24"/>
          <w:highlight w:val="none"/>
          <w:lang w:eastAsia="zh-Hans"/>
        </w:rPr>
        <w:t>自定义</w:t>
      </w:r>
      <w:r>
        <w:rPr>
          <w:rFonts w:hint="eastAsia"/>
          <w:szCs w:val="24"/>
          <w:highlight w:val="none"/>
        </w:rPr>
        <w:t>用药</w:t>
      </w:r>
      <w:r>
        <w:rPr>
          <w:rFonts w:hint="eastAsia"/>
          <w:szCs w:val="24"/>
          <w:highlight w:val="none"/>
          <w:lang w:eastAsia="zh-Hans"/>
        </w:rPr>
        <w:t>教育</w:t>
      </w:r>
    </w:p>
    <w:p>
      <w:pPr>
        <w:pStyle w:val="18"/>
        <w:rPr>
          <w:rFonts w:ascii="宋体" w:hAnsi="宋体"/>
          <w:szCs w:val="24"/>
          <w:highlight w:val="none"/>
        </w:rPr>
      </w:pPr>
      <w:r>
        <w:rPr>
          <w:rFonts w:hint="eastAsia" w:ascii="宋体" w:hAnsi="宋体"/>
          <w:szCs w:val="24"/>
          <w:highlight w:val="none"/>
        </w:rPr>
        <w:t>药师也需要对门诊取药的患者进行用药教育，自定义用药教育功能可以让药师在默认生成的用药教育内容上（系统摘录部分药品说明书的内容自动填充）进行快速修改，完成内容制作。药师可对用药教育内容进行修改、删除、查询、详情查看及导出操作。</w:t>
      </w:r>
    </w:p>
    <w:p>
      <w:pPr>
        <w:pStyle w:val="5"/>
        <w:numPr>
          <w:ilvl w:val="3"/>
          <w:numId w:val="8"/>
        </w:numPr>
        <w:spacing w:line="360" w:lineRule="auto"/>
        <w:ind w:left="708"/>
        <w:rPr>
          <w:szCs w:val="24"/>
          <w:highlight w:val="none"/>
          <w:lang w:eastAsia="zh-Hans"/>
        </w:rPr>
      </w:pPr>
      <w:r>
        <w:rPr>
          <w:rFonts w:hint="eastAsia"/>
          <w:szCs w:val="24"/>
          <w:highlight w:val="none"/>
          <w:lang w:eastAsia="zh-Hans"/>
        </w:rPr>
        <w:t>专科出院用药教育</w:t>
      </w:r>
    </w:p>
    <w:p>
      <w:pPr>
        <w:pStyle w:val="18"/>
        <w:rPr>
          <w:rFonts w:ascii="宋体" w:hAnsi="宋体"/>
          <w:szCs w:val="24"/>
          <w:highlight w:val="none"/>
        </w:rPr>
      </w:pPr>
      <w:r>
        <w:rPr>
          <w:rFonts w:hint="eastAsia" w:ascii="宋体" w:hAnsi="宋体"/>
          <w:szCs w:val="24"/>
          <w:highlight w:val="none"/>
        </w:rPr>
        <w:t>系统支持专科设定只有的用药教育模板和内容，药师可快速调用预先维护好的模板和内容，快速生成用药教育内容。药师可对用药教育内容进行修改、删除、查询、详情查看及导出操作。</w:t>
      </w:r>
    </w:p>
    <w:p>
      <w:pPr>
        <w:pStyle w:val="5"/>
        <w:numPr>
          <w:ilvl w:val="3"/>
          <w:numId w:val="8"/>
        </w:numPr>
        <w:spacing w:line="360" w:lineRule="auto"/>
        <w:ind w:left="708"/>
        <w:rPr>
          <w:szCs w:val="24"/>
          <w:highlight w:val="none"/>
          <w:lang w:eastAsia="zh-Hans"/>
        </w:rPr>
      </w:pPr>
      <w:r>
        <w:rPr>
          <w:rFonts w:hint="eastAsia"/>
          <w:szCs w:val="24"/>
          <w:highlight w:val="none"/>
          <w:lang w:eastAsia="zh-Hans"/>
        </w:rPr>
        <w:t>专科出院用药</w:t>
      </w:r>
      <w:r>
        <w:rPr>
          <w:rFonts w:hint="eastAsia"/>
          <w:szCs w:val="24"/>
          <w:highlight w:val="none"/>
        </w:rPr>
        <w:t>教育</w:t>
      </w:r>
      <w:r>
        <w:rPr>
          <w:rFonts w:hint="eastAsia"/>
          <w:szCs w:val="24"/>
          <w:highlight w:val="none"/>
          <w:lang w:eastAsia="zh-Hans"/>
        </w:rPr>
        <w:t>内容库管理</w:t>
      </w:r>
    </w:p>
    <w:p>
      <w:pPr>
        <w:pStyle w:val="18"/>
        <w:rPr>
          <w:rFonts w:ascii="宋体" w:hAnsi="宋体"/>
          <w:szCs w:val="24"/>
          <w:highlight w:val="none"/>
        </w:rPr>
      </w:pPr>
      <w:r>
        <w:rPr>
          <w:rFonts w:hint="eastAsia" w:ascii="宋体" w:hAnsi="宋体"/>
          <w:szCs w:val="24"/>
          <w:highlight w:val="none"/>
        </w:rPr>
        <w:t>系统支持专科维护自由的专科用药教育内容库，该内容库包括药品清单、用药教育内容等信息。药师可以快速调用，完成用药教育的制作。药师可在内容库中新增药品用药教育素材，并进行修改、删除、查询、详情查看和导出等操作。</w:t>
      </w:r>
    </w:p>
    <w:p>
      <w:pPr>
        <w:pStyle w:val="4"/>
        <w:numPr>
          <w:ilvl w:val="2"/>
          <w:numId w:val="8"/>
        </w:numPr>
        <w:spacing w:line="360" w:lineRule="auto"/>
        <w:ind w:left="567"/>
        <w:rPr>
          <w:szCs w:val="24"/>
          <w:highlight w:val="none"/>
        </w:rPr>
      </w:pPr>
      <w:bookmarkStart w:id="56" w:name="_Toc154688548"/>
      <w:r>
        <w:rPr>
          <w:rFonts w:hint="eastAsia"/>
          <w:szCs w:val="24"/>
          <w:highlight w:val="none"/>
        </w:rPr>
        <w:t>ADR药物不良反应监测</w:t>
      </w:r>
      <w:bookmarkEnd w:id="56"/>
    </w:p>
    <w:p>
      <w:pPr>
        <w:pStyle w:val="18"/>
        <w:rPr>
          <w:rFonts w:ascii="宋体" w:hAnsi="宋体"/>
          <w:szCs w:val="24"/>
          <w:highlight w:val="none"/>
        </w:rPr>
      </w:pPr>
      <w:r>
        <w:rPr>
          <w:rFonts w:hint="eastAsia" w:ascii="宋体" w:hAnsi="宋体"/>
          <w:szCs w:val="24"/>
          <w:highlight w:val="none"/>
        </w:rPr>
        <w:t>系统支持药物不良反应事件的人工填报和自动监测功能。人工填报是由临床药师或临床药护人员根据发生的药物不良反应事件，人工进行报告录入。自动监测功能由系统根据预设的药物不良反应关键词，运用自然语言处理技术对电子病历相关文本数据进行结构化处理，经过词性分析等，判断是否发生可疑不良反应，再由人工进行复核。自动监测能支持根据检验指标来进行预警的功能。</w:t>
      </w:r>
    </w:p>
    <w:p>
      <w:pPr>
        <w:pStyle w:val="5"/>
        <w:numPr>
          <w:ilvl w:val="3"/>
          <w:numId w:val="8"/>
        </w:numPr>
        <w:spacing w:line="360" w:lineRule="auto"/>
        <w:ind w:left="708"/>
        <w:rPr>
          <w:szCs w:val="24"/>
          <w:highlight w:val="none"/>
        </w:rPr>
      </w:pPr>
      <w:r>
        <w:rPr>
          <w:rFonts w:hint="eastAsia"/>
          <w:szCs w:val="24"/>
          <w:highlight w:val="none"/>
        </w:rPr>
        <w:t>患者信息接入与语义识别</w:t>
      </w:r>
    </w:p>
    <w:p>
      <w:pPr>
        <w:pStyle w:val="18"/>
        <w:rPr>
          <w:rFonts w:ascii="宋体" w:hAnsi="宋体"/>
          <w:szCs w:val="24"/>
          <w:highlight w:val="none"/>
        </w:rPr>
      </w:pPr>
      <w:r>
        <w:rPr>
          <w:rFonts w:hint="eastAsia" w:ascii="宋体" w:hAnsi="宋体"/>
          <w:szCs w:val="24"/>
          <w:highlight w:val="none"/>
        </w:rPr>
        <w:t>系统从电子病历数据中获取到患者基础信息、医嘱、检验报告、病程记录、护理记录等数据。系统对患者数据进行定期扫描，利用自然语言处理（Natural Language Processing，NLP）技术，对医学文本数据结构化处理，从而发现疑似不良反应情况，并预警。</w:t>
      </w:r>
    </w:p>
    <w:p>
      <w:pPr>
        <w:pStyle w:val="18"/>
        <w:rPr>
          <w:rFonts w:ascii="宋体" w:hAnsi="宋体"/>
          <w:szCs w:val="24"/>
          <w:highlight w:val="none"/>
        </w:rPr>
      </w:pPr>
      <w:r>
        <w:rPr>
          <w:rFonts w:hint="eastAsia" w:ascii="宋体" w:hAnsi="宋体"/>
          <w:szCs w:val="24"/>
          <w:highlight w:val="none"/>
        </w:rPr>
        <w:t>系统扫描患者病程数据之后，自动生成扫描记录，药师可查询该扫描记录并查看记录详情。</w:t>
      </w:r>
    </w:p>
    <w:p>
      <w:pPr>
        <w:pStyle w:val="5"/>
        <w:numPr>
          <w:ilvl w:val="3"/>
          <w:numId w:val="8"/>
        </w:numPr>
        <w:spacing w:line="360" w:lineRule="auto"/>
        <w:ind w:left="708"/>
        <w:rPr>
          <w:szCs w:val="24"/>
          <w:highlight w:val="none"/>
        </w:rPr>
      </w:pPr>
      <w:r>
        <w:rPr>
          <w:rFonts w:hint="eastAsia"/>
          <w:szCs w:val="24"/>
          <w:highlight w:val="none"/>
          <w:lang w:eastAsia="zh-Hans"/>
        </w:rPr>
        <w:t>不良反应</w:t>
      </w:r>
      <w:r>
        <w:rPr>
          <w:rFonts w:hint="eastAsia"/>
          <w:szCs w:val="24"/>
          <w:highlight w:val="none"/>
        </w:rPr>
        <w:t>监测关键词配置</w:t>
      </w:r>
    </w:p>
    <w:p>
      <w:pPr>
        <w:pStyle w:val="18"/>
        <w:rPr>
          <w:rFonts w:ascii="宋体" w:hAnsi="宋体"/>
          <w:szCs w:val="24"/>
          <w:highlight w:val="none"/>
        </w:rPr>
      </w:pPr>
      <w:r>
        <w:rPr>
          <w:rFonts w:hint="eastAsia" w:ascii="宋体" w:hAnsi="宋体"/>
          <w:szCs w:val="24"/>
          <w:highlight w:val="none"/>
        </w:rPr>
        <w:t>系统支持对现有的关键词配置进行查看</w:t>
      </w:r>
      <w:r>
        <w:rPr>
          <w:rFonts w:ascii="宋体" w:hAnsi="宋体"/>
          <w:szCs w:val="24"/>
          <w:highlight w:val="none"/>
        </w:rPr>
        <w:t>，</w:t>
      </w:r>
      <w:r>
        <w:rPr>
          <w:rFonts w:hint="eastAsia" w:ascii="宋体" w:hAnsi="宋体"/>
          <w:szCs w:val="24"/>
          <w:highlight w:val="none"/>
        </w:rPr>
        <w:t>系统默认配置常见不良反应监测关键词库（基于国家不良反应监测网站发布的信息），药师可根据本院情况对现有的关键词进行修改。药师可在关键词库中新增关键词，并进行修改、删除、查询和导出等操作。</w:t>
      </w:r>
    </w:p>
    <w:p>
      <w:pPr>
        <w:pStyle w:val="5"/>
        <w:numPr>
          <w:ilvl w:val="3"/>
          <w:numId w:val="8"/>
        </w:numPr>
        <w:spacing w:line="360" w:lineRule="auto"/>
        <w:ind w:left="708"/>
        <w:rPr>
          <w:szCs w:val="24"/>
          <w:highlight w:val="none"/>
        </w:rPr>
      </w:pPr>
      <w:r>
        <w:rPr>
          <w:rFonts w:hint="eastAsia"/>
          <w:szCs w:val="24"/>
          <w:highlight w:val="none"/>
          <w:lang w:eastAsia="zh-Hans"/>
        </w:rPr>
        <w:t>不良反应</w:t>
      </w:r>
      <w:r>
        <w:rPr>
          <w:rFonts w:hint="eastAsia"/>
          <w:szCs w:val="24"/>
          <w:highlight w:val="none"/>
        </w:rPr>
        <w:t>症状库配置</w:t>
      </w:r>
    </w:p>
    <w:p>
      <w:pPr>
        <w:pStyle w:val="18"/>
        <w:rPr>
          <w:rFonts w:ascii="宋体" w:hAnsi="宋体"/>
          <w:szCs w:val="24"/>
          <w:highlight w:val="none"/>
        </w:rPr>
      </w:pPr>
      <w:r>
        <w:rPr>
          <w:rFonts w:hint="eastAsia" w:ascii="宋体" w:hAnsi="宋体"/>
          <w:szCs w:val="24"/>
          <w:highlight w:val="none"/>
        </w:rPr>
        <w:t>系统支持对已配置的症状进行维护</w:t>
      </w:r>
      <w:r>
        <w:rPr>
          <w:rFonts w:ascii="宋体" w:hAnsi="宋体"/>
          <w:szCs w:val="24"/>
          <w:highlight w:val="none"/>
        </w:rPr>
        <w:t>，</w:t>
      </w:r>
      <w:r>
        <w:rPr>
          <w:rFonts w:hint="eastAsia" w:ascii="宋体" w:hAnsi="宋体"/>
          <w:szCs w:val="24"/>
          <w:highlight w:val="none"/>
        </w:rPr>
        <w:t>药师可根据本院情况修改内置的症状</w:t>
      </w:r>
      <w:r>
        <w:rPr>
          <w:rFonts w:ascii="宋体" w:hAnsi="宋体"/>
          <w:szCs w:val="24"/>
          <w:highlight w:val="none"/>
        </w:rPr>
        <w:t>。</w:t>
      </w:r>
      <w:r>
        <w:rPr>
          <w:rFonts w:hint="eastAsia" w:ascii="宋体" w:hAnsi="宋体"/>
          <w:szCs w:val="24"/>
          <w:highlight w:val="none"/>
        </w:rPr>
        <w:t>药师也可在症状库中新增不良反应症状，并进行修改、删除、查询和导出等操作。</w:t>
      </w:r>
    </w:p>
    <w:p>
      <w:pPr>
        <w:pStyle w:val="5"/>
        <w:numPr>
          <w:ilvl w:val="3"/>
          <w:numId w:val="8"/>
        </w:numPr>
        <w:spacing w:line="360" w:lineRule="auto"/>
        <w:ind w:left="708"/>
        <w:rPr>
          <w:szCs w:val="24"/>
          <w:highlight w:val="none"/>
        </w:rPr>
      </w:pPr>
      <w:r>
        <w:rPr>
          <w:rFonts w:hint="eastAsia"/>
          <w:szCs w:val="24"/>
          <w:highlight w:val="none"/>
          <w:lang w:eastAsia="zh-Hans"/>
        </w:rPr>
        <w:t>不良反应</w:t>
      </w:r>
      <w:r>
        <w:rPr>
          <w:rFonts w:hint="eastAsia"/>
          <w:szCs w:val="24"/>
          <w:highlight w:val="none"/>
        </w:rPr>
        <w:t>检验指标配置</w:t>
      </w:r>
    </w:p>
    <w:p>
      <w:pPr>
        <w:pStyle w:val="18"/>
        <w:rPr>
          <w:rFonts w:ascii="宋体" w:hAnsi="宋体"/>
          <w:szCs w:val="24"/>
          <w:highlight w:val="none"/>
        </w:rPr>
      </w:pPr>
      <w:r>
        <w:rPr>
          <w:rFonts w:hint="eastAsia" w:ascii="宋体" w:hAnsi="宋体"/>
          <w:szCs w:val="24"/>
          <w:highlight w:val="none"/>
        </w:rPr>
        <w:t>系统支持对已配置的检验指标进行维护</w:t>
      </w:r>
      <w:r>
        <w:rPr>
          <w:rFonts w:ascii="宋体" w:hAnsi="宋体"/>
          <w:szCs w:val="24"/>
          <w:highlight w:val="none"/>
        </w:rPr>
        <w:t>，</w:t>
      </w:r>
      <w:r>
        <w:rPr>
          <w:rFonts w:hint="eastAsia" w:ascii="宋体" w:hAnsi="宋体"/>
          <w:szCs w:val="24"/>
          <w:highlight w:val="none"/>
        </w:rPr>
        <w:t>药师可根据本院情况修改内置的检验指标</w:t>
      </w:r>
      <w:r>
        <w:rPr>
          <w:rFonts w:ascii="宋体" w:hAnsi="宋体"/>
          <w:szCs w:val="24"/>
          <w:highlight w:val="none"/>
        </w:rPr>
        <w:t>。</w:t>
      </w:r>
      <w:r>
        <w:rPr>
          <w:rFonts w:hint="eastAsia" w:ascii="宋体" w:hAnsi="宋体"/>
          <w:szCs w:val="24"/>
          <w:highlight w:val="none"/>
        </w:rPr>
        <w:t>药师也可在检验指标库中新增不良反应检验指标，并进行修改、删除、查询和导出等操作。</w:t>
      </w:r>
    </w:p>
    <w:p>
      <w:pPr>
        <w:pStyle w:val="5"/>
        <w:numPr>
          <w:ilvl w:val="3"/>
          <w:numId w:val="8"/>
        </w:numPr>
        <w:spacing w:line="360" w:lineRule="auto"/>
        <w:ind w:left="708"/>
        <w:rPr>
          <w:szCs w:val="24"/>
          <w:highlight w:val="none"/>
        </w:rPr>
      </w:pPr>
      <w:r>
        <w:rPr>
          <w:rFonts w:hint="eastAsia"/>
          <w:szCs w:val="24"/>
          <w:highlight w:val="none"/>
        </w:rPr>
        <w:t>监测</w:t>
      </w:r>
      <w:r>
        <w:rPr>
          <w:rFonts w:hint="eastAsia"/>
          <w:szCs w:val="24"/>
          <w:highlight w:val="none"/>
          <w:lang w:eastAsia="zh-Hans"/>
        </w:rPr>
        <w:t>事件</w:t>
      </w:r>
      <w:r>
        <w:rPr>
          <w:rFonts w:hint="eastAsia"/>
          <w:szCs w:val="24"/>
          <w:highlight w:val="none"/>
        </w:rPr>
        <w:t>管理</w:t>
      </w:r>
    </w:p>
    <w:p>
      <w:pPr>
        <w:pStyle w:val="18"/>
        <w:rPr>
          <w:rFonts w:ascii="宋体" w:hAnsi="宋体"/>
          <w:szCs w:val="24"/>
          <w:highlight w:val="none"/>
        </w:rPr>
      </w:pPr>
      <w:r>
        <w:rPr>
          <w:rFonts w:hint="eastAsia" w:ascii="宋体" w:hAnsi="宋体"/>
          <w:szCs w:val="24"/>
          <w:highlight w:val="none"/>
        </w:rPr>
        <w:t>医院可自定义监测事件，包括肝损害、肾损害、贫血事件、血小板、粒细胞减少事件、输液过敏事件等，系统根据事件规则进行扫描识别，发现疑似不良反应情况，并预警。药师可根据本院情况在事件库中新增不良反应监测事件，并进行修改、删除、查询和导出等操作。</w:t>
      </w:r>
    </w:p>
    <w:p>
      <w:pPr>
        <w:pStyle w:val="5"/>
        <w:numPr>
          <w:ilvl w:val="3"/>
          <w:numId w:val="8"/>
        </w:numPr>
        <w:spacing w:line="360" w:lineRule="auto"/>
        <w:ind w:left="708"/>
        <w:rPr>
          <w:szCs w:val="24"/>
          <w:highlight w:val="none"/>
        </w:rPr>
      </w:pPr>
      <w:r>
        <w:rPr>
          <w:rFonts w:hint="eastAsia"/>
          <w:szCs w:val="24"/>
          <w:highlight w:val="none"/>
          <w:lang w:eastAsia="zh-Hans"/>
        </w:rPr>
        <w:t>不良反应</w:t>
      </w:r>
      <w:r>
        <w:rPr>
          <w:rFonts w:hint="eastAsia"/>
          <w:szCs w:val="24"/>
          <w:highlight w:val="none"/>
        </w:rPr>
        <w:t>预警记录管理</w:t>
      </w:r>
    </w:p>
    <w:p>
      <w:pPr>
        <w:pStyle w:val="18"/>
        <w:rPr>
          <w:rFonts w:ascii="宋体" w:hAnsi="宋体"/>
          <w:szCs w:val="24"/>
          <w:highlight w:val="none"/>
        </w:rPr>
      </w:pPr>
      <w:r>
        <w:rPr>
          <w:rFonts w:hint="eastAsia" w:ascii="宋体" w:hAnsi="宋体"/>
          <w:szCs w:val="24"/>
          <w:highlight w:val="none"/>
        </w:rPr>
        <w:t>系统支持对疑似不良反应预警记录进行审核，将确认的不良反应进行记录</w:t>
      </w:r>
      <w:r>
        <w:rPr>
          <w:rFonts w:ascii="宋体" w:hAnsi="宋体"/>
          <w:szCs w:val="24"/>
          <w:highlight w:val="none"/>
        </w:rPr>
        <w:t>，</w:t>
      </w:r>
      <w:r>
        <w:rPr>
          <w:rFonts w:hint="eastAsia" w:ascii="宋体" w:hAnsi="宋体"/>
          <w:szCs w:val="24"/>
          <w:highlight w:val="none"/>
        </w:rPr>
        <w:t>并且能够支持导出。</w:t>
      </w:r>
    </w:p>
    <w:p>
      <w:pPr>
        <w:pStyle w:val="5"/>
        <w:numPr>
          <w:ilvl w:val="3"/>
          <w:numId w:val="8"/>
        </w:numPr>
        <w:spacing w:line="360" w:lineRule="auto"/>
        <w:ind w:left="708"/>
        <w:rPr>
          <w:szCs w:val="24"/>
          <w:highlight w:val="none"/>
        </w:rPr>
      </w:pPr>
      <w:r>
        <w:rPr>
          <w:rFonts w:hint="eastAsia"/>
          <w:szCs w:val="24"/>
          <w:highlight w:val="none"/>
          <w:lang w:eastAsia="zh-Hans"/>
        </w:rPr>
        <w:t>不良反应</w:t>
      </w:r>
      <w:r>
        <w:rPr>
          <w:rFonts w:hint="eastAsia"/>
          <w:szCs w:val="24"/>
          <w:highlight w:val="none"/>
        </w:rPr>
        <w:t>报告创建</w:t>
      </w:r>
    </w:p>
    <w:p>
      <w:pPr>
        <w:pStyle w:val="18"/>
        <w:rPr>
          <w:rFonts w:ascii="宋体" w:hAnsi="宋体"/>
          <w:szCs w:val="24"/>
          <w:highlight w:val="none"/>
        </w:rPr>
      </w:pPr>
      <w:r>
        <w:rPr>
          <w:rFonts w:hint="eastAsia" w:ascii="宋体" w:hAnsi="宋体"/>
          <w:szCs w:val="24"/>
          <w:highlight w:val="none"/>
        </w:rPr>
        <w:t>系统支持两种创建不良反应报告的模式，一种是从疑似记录里转为</w:t>
      </w:r>
      <w:r>
        <w:rPr>
          <w:rFonts w:ascii="宋体" w:hAnsi="宋体"/>
          <w:szCs w:val="24"/>
          <w:highlight w:val="none"/>
        </w:rPr>
        <w:t>ADR记录，系统可利用现有数据进行自动填充，包括患者基本信息、诊断信息、怀疑用药、不良反应事件过程描述、不良反应事件的结果等。一种模式为自定义创建，医生、临床药师均可创建ADR报告，ADR报告项目包括了国家药品不良反应监测系统所要求的填报内容。</w:t>
      </w:r>
      <w:r>
        <w:rPr>
          <w:rFonts w:hint="eastAsia" w:ascii="宋体" w:hAnsi="宋体"/>
          <w:szCs w:val="24"/>
          <w:highlight w:val="none"/>
        </w:rPr>
        <w:t>药师可对不良反应报告并进行修改、删除、查询、详情查看和导出等操作。</w:t>
      </w:r>
    </w:p>
    <w:p>
      <w:pPr>
        <w:pStyle w:val="5"/>
        <w:numPr>
          <w:ilvl w:val="3"/>
          <w:numId w:val="8"/>
        </w:numPr>
        <w:spacing w:line="360" w:lineRule="auto"/>
        <w:ind w:left="708"/>
        <w:rPr>
          <w:szCs w:val="24"/>
          <w:highlight w:val="none"/>
        </w:rPr>
      </w:pPr>
      <w:r>
        <w:rPr>
          <w:rFonts w:hint="eastAsia"/>
          <w:szCs w:val="24"/>
          <w:highlight w:val="none"/>
          <w:lang w:eastAsia="zh-Hans"/>
        </w:rPr>
        <w:t>不良反应</w:t>
      </w:r>
      <w:r>
        <w:rPr>
          <w:rFonts w:hint="eastAsia"/>
          <w:szCs w:val="24"/>
          <w:highlight w:val="none"/>
        </w:rPr>
        <w:t>报告审核</w:t>
      </w:r>
    </w:p>
    <w:p>
      <w:pPr>
        <w:pStyle w:val="18"/>
        <w:rPr>
          <w:rFonts w:ascii="宋体" w:hAnsi="宋体"/>
          <w:szCs w:val="24"/>
          <w:highlight w:val="none"/>
        </w:rPr>
      </w:pPr>
      <w:r>
        <w:rPr>
          <w:rFonts w:hint="eastAsia" w:ascii="宋体" w:hAnsi="宋体"/>
          <w:szCs w:val="24"/>
          <w:highlight w:val="none"/>
        </w:rPr>
        <w:t>系统为具有审核权限的药师提供</w:t>
      </w:r>
      <w:r>
        <w:rPr>
          <w:rFonts w:ascii="宋体" w:hAnsi="宋体"/>
          <w:szCs w:val="24"/>
          <w:highlight w:val="none"/>
        </w:rPr>
        <w:t>DR报告审核</w:t>
      </w:r>
      <w:r>
        <w:rPr>
          <w:rFonts w:hint="eastAsia" w:ascii="宋体" w:hAnsi="宋体"/>
          <w:szCs w:val="24"/>
          <w:highlight w:val="none"/>
        </w:rPr>
        <w:t>功能</w:t>
      </w:r>
      <w:r>
        <w:rPr>
          <w:rFonts w:ascii="宋体" w:hAnsi="宋体"/>
          <w:szCs w:val="24"/>
          <w:highlight w:val="none"/>
        </w:rPr>
        <w:t>，审核通过的报告能被归档，未通过审核的ADR报告可以返回到提交报告的医生进行修改。</w:t>
      </w:r>
    </w:p>
    <w:p>
      <w:pPr>
        <w:pStyle w:val="4"/>
        <w:numPr>
          <w:ilvl w:val="2"/>
          <w:numId w:val="8"/>
        </w:numPr>
        <w:spacing w:line="360" w:lineRule="auto"/>
        <w:ind w:left="567"/>
        <w:rPr>
          <w:szCs w:val="24"/>
          <w:highlight w:val="none"/>
        </w:rPr>
      </w:pPr>
      <w:bookmarkStart w:id="57" w:name="_Toc154688549"/>
      <w:r>
        <w:rPr>
          <w:rFonts w:hint="eastAsia"/>
          <w:szCs w:val="24"/>
          <w:highlight w:val="none"/>
        </w:rPr>
        <w:t>药学查房</w:t>
      </w:r>
      <w:bookmarkEnd w:id="57"/>
    </w:p>
    <w:p>
      <w:pPr>
        <w:pStyle w:val="5"/>
        <w:numPr>
          <w:ilvl w:val="3"/>
          <w:numId w:val="8"/>
        </w:numPr>
        <w:spacing w:line="360" w:lineRule="auto"/>
        <w:ind w:left="708"/>
        <w:rPr>
          <w:szCs w:val="24"/>
          <w:highlight w:val="none"/>
        </w:rPr>
      </w:pPr>
      <w:r>
        <w:rPr>
          <w:rFonts w:hint="eastAsia"/>
          <w:szCs w:val="24"/>
          <w:highlight w:val="none"/>
        </w:rPr>
        <w:t>查房计划</w:t>
      </w:r>
    </w:p>
    <w:p>
      <w:pPr>
        <w:pStyle w:val="18"/>
        <w:rPr>
          <w:rFonts w:ascii="宋体" w:hAnsi="宋体"/>
          <w:szCs w:val="24"/>
          <w:highlight w:val="none"/>
        </w:rPr>
      </w:pPr>
      <w:r>
        <w:rPr>
          <w:rFonts w:hint="eastAsia" w:ascii="宋体" w:hAnsi="宋体"/>
          <w:szCs w:val="24"/>
          <w:highlight w:val="none"/>
        </w:rPr>
        <w:t>药师可以为自己关注的患者设置查房计划，按频次或按天设置。支持计划修改、编辑等功能。通过查房计划，药师可以快速了解自己的工作任务。药师可对查房计划进行修改、删除和查看等操作。</w:t>
      </w:r>
    </w:p>
    <w:p>
      <w:pPr>
        <w:pStyle w:val="5"/>
        <w:numPr>
          <w:ilvl w:val="3"/>
          <w:numId w:val="8"/>
        </w:numPr>
        <w:spacing w:line="360" w:lineRule="auto"/>
        <w:ind w:left="708"/>
        <w:rPr>
          <w:szCs w:val="24"/>
          <w:highlight w:val="none"/>
          <w:lang w:eastAsia="zh-Hans"/>
        </w:rPr>
      </w:pPr>
      <w:r>
        <w:rPr>
          <w:rFonts w:hint="eastAsia"/>
          <w:szCs w:val="24"/>
          <w:highlight w:val="none"/>
          <w:lang w:eastAsia="zh-Hans"/>
        </w:rPr>
        <w:t>查房</w:t>
      </w:r>
      <w:r>
        <w:rPr>
          <w:rFonts w:hint="eastAsia"/>
          <w:szCs w:val="24"/>
          <w:highlight w:val="none"/>
        </w:rPr>
        <w:t>日志</w:t>
      </w:r>
    </w:p>
    <w:p>
      <w:pPr>
        <w:pStyle w:val="18"/>
        <w:rPr>
          <w:rFonts w:ascii="宋体" w:hAnsi="宋体"/>
          <w:szCs w:val="24"/>
          <w:highlight w:val="none"/>
        </w:rPr>
      </w:pPr>
      <w:r>
        <w:rPr>
          <w:rFonts w:hint="eastAsia" w:ascii="宋体" w:hAnsi="宋体"/>
          <w:szCs w:val="24"/>
          <w:highlight w:val="none"/>
        </w:rPr>
        <w:t>药师查房之后可以撰写查房日志（系统可自动生成查房日志、监护记录、带教内容等），日志内容包括查房时间、查房内容、患者情况描述、查房药师等信息。在新增查房日志记录时</w:t>
      </w:r>
      <w:r>
        <w:rPr>
          <w:rFonts w:ascii="宋体" w:hAnsi="宋体"/>
          <w:szCs w:val="24"/>
          <w:highlight w:val="none"/>
        </w:rPr>
        <w:t>，</w:t>
      </w:r>
      <w:r>
        <w:rPr>
          <w:rFonts w:hint="eastAsia" w:ascii="宋体" w:hAnsi="宋体"/>
          <w:szCs w:val="24"/>
          <w:highlight w:val="none"/>
        </w:rPr>
        <w:t>药师可以引入患者的检验信息和医嘱信息</w:t>
      </w:r>
      <w:r>
        <w:rPr>
          <w:rFonts w:ascii="宋体" w:hAnsi="宋体"/>
          <w:szCs w:val="24"/>
          <w:highlight w:val="none"/>
        </w:rPr>
        <w:t>。</w:t>
      </w:r>
      <w:r>
        <w:rPr>
          <w:rFonts w:hint="eastAsia" w:ascii="宋体" w:hAnsi="宋体"/>
          <w:szCs w:val="24"/>
          <w:highlight w:val="none"/>
        </w:rPr>
        <w:t>药师可对查房日志进行修改、删除、查询、详情查看等操作。</w:t>
      </w:r>
    </w:p>
    <w:p>
      <w:pPr>
        <w:pStyle w:val="5"/>
        <w:numPr>
          <w:ilvl w:val="3"/>
          <w:numId w:val="8"/>
        </w:numPr>
        <w:spacing w:line="360" w:lineRule="auto"/>
        <w:ind w:left="708"/>
        <w:rPr>
          <w:szCs w:val="24"/>
          <w:highlight w:val="none"/>
          <w:lang w:eastAsia="zh-Hans"/>
        </w:rPr>
      </w:pPr>
      <w:r>
        <w:rPr>
          <w:rFonts w:hint="eastAsia"/>
          <w:szCs w:val="24"/>
          <w:highlight w:val="none"/>
          <w:lang w:eastAsia="zh-Hans"/>
        </w:rPr>
        <w:t>查房</w:t>
      </w:r>
      <w:r>
        <w:rPr>
          <w:rFonts w:hint="eastAsia"/>
          <w:szCs w:val="24"/>
          <w:highlight w:val="none"/>
        </w:rPr>
        <w:t>提醒</w:t>
      </w:r>
    </w:p>
    <w:p>
      <w:pPr>
        <w:pStyle w:val="18"/>
        <w:rPr>
          <w:rFonts w:ascii="宋体" w:hAnsi="宋体"/>
          <w:szCs w:val="24"/>
          <w:highlight w:val="none"/>
        </w:rPr>
      </w:pPr>
      <w:r>
        <w:rPr>
          <w:rFonts w:hint="eastAsia" w:ascii="宋体" w:hAnsi="宋体"/>
          <w:szCs w:val="24"/>
          <w:highlight w:val="none"/>
        </w:rPr>
        <w:t>系统根据查房计划的设置，用“完成”标签表示出未完成处方的患者，提醒药师。</w:t>
      </w:r>
    </w:p>
    <w:p>
      <w:pPr>
        <w:pStyle w:val="5"/>
        <w:numPr>
          <w:ilvl w:val="3"/>
          <w:numId w:val="8"/>
        </w:numPr>
        <w:spacing w:line="360" w:lineRule="auto"/>
        <w:ind w:left="708"/>
        <w:rPr>
          <w:szCs w:val="24"/>
          <w:highlight w:val="none"/>
          <w:lang w:eastAsia="zh-Hans"/>
        </w:rPr>
      </w:pPr>
      <w:r>
        <w:rPr>
          <w:rFonts w:hint="eastAsia"/>
          <w:szCs w:val="24"/>
          <w:highlight w:val="none"/>
          <w:lang w:eastAsia="zh-Hans"/>
        </w:rPr>
        <w:t>查房内容</w:t>
      </w:r>
      <w:r>
        <w:rPr>
          <w:rFonts w:hint="eastAsia"/>
          <w:szCs w:val="24"/>
          <w:highlight w:val="none"/>
        </w:rPr>
        <w:t>模板</w:t>
      </w:r>
    </w:p>
    <w:p>
      <w:pPr>
        <w:pStyle w:val="18"/>
        <w:rPr>
          <w:rFonts w:ascii="宋体" w:hAnsi="宋体"/>
          <w:szCs w:val="24"/>
          <w:highlight w:val="none"/>
        </w:rPr>
      </w:pPr>
      <w:r>
        <w:rPr>
          <w:rFonts w:hint="eastAsia" w:ascii="宋体" w:hAnsi="宋体"/>
          <w:szCs w:val="24"/>
          <w:highlight w:val="none"/>
        </w:rPr>
        <w:t>支持设置内容通用模板，也支持设置科室查房模板。支持药师自定义查房模板</w:t>
      </w:r>
    </w:p>
    <w:p>
      <w:pPr>
        <w:pStyle w:val="5"/>
        <w:numPr>
          <w:ilvl w:val="3"/>
          <w:numId w:val="8"/>
        </w:numPr>
        <w:spacing w:line="360" w:lineRule="auto"/>
        <w:ind w:left="708"/>
        <w:rPr>
          <w:szCs w:val="24"/>
          <w:highlight w:val="none"/>
          <w:lang w:eastAsia="zh-Hans"/>
        </w:rPr>
      </w:pPr>
      <w:r>
        <w:rPr>
          <w:rFonts w:hint="eastAsia"/>
          <w:szCs w:val="24"/>
          <w:highlight w:val="none"/>
          <w:lang w:eastAsia="zh-Hans"/>
        </w:rPr>
        <w:t>移动查房P</w:t>
      </w:r>
      <w:r>
        <w:rPr>
          <w:szCs w:val="24"/>
          <w:highlight w:val="none"/>
          <w:lang w:eastAsia="zh-Hans"/>
        </w:rPr>
        <w:t>AD</w:t>
      </w:r>
    </w:p>
    <w:p>
      <w:pPr>
        <w:pStyle w:val="18"/>
        <w:rPr>
          <w:rFonts w:ascii="宋体" w:hAnsi="宋体"/>
          <w:szCs w:val="24"/>
          <w:highlight w:val="none"/>
        </w:rPr>
      </w:pPr>
      <w:r>
        <w:rPr>
          <w:rFonts w:hint="eastAsia" w:ascii="宋体" w:hAnsi="宋体"/>
          <w:szCs w:val="24"/>
          <w:highlight w:val="none"/>
        </w:rPr>
        <w:t>移动查房除了上述查房功能之外，还嵌入了以下功能模块：</w:t>
      </w:r>
    </w:p>
    <w:p>
      <w:pPr>
        <w:pStyle w:val="6"/>
        <w:numPr>
          <w:ilvl w:val="4"/>
          <w:numId w:val="8"/>
        </w:numPr>
        <w:spacing w:line="360" w:lineRule="auto"/>
        <w:ind w:left="851"/>
        <w:rPr>
          <w:szCs w:val="24"/>
          <w:highlight w:val="none"/>
        </w:rPr>
      </w:pPr>
      <w:bookmarkStart w:id="58" w:name="_Toc78461170"/>
      <w:r>
        <w:rPr>
          <w:rFonts w:hint="eastAsia"/>
          <w:szCs w:val="24"/>
          <w:highlight w:val="none"/>
        </w:rPr>
        <w:t>患者管理</w:t>
      </w:r>
      <w:bookmarkEnd w:id="58"/>
      <w:r>
        <w:rPr>
          <w:rFonts w:hint="eastAsia"/>
          <w:szCs w:val="24"/>
          <w:highlight w:val="none"/>
        </w:rPr>
        <w:t>（嵌入移动查房）</w:t>
      </w:r>
    </w:p>
    <w:p>
      <w:pPr>
        <w:pStyle w:val="18"/>
        <w:rPr>
          <w:rFonts w:ascii="宋体" w:hAnsi="宋体"/>
          <w:szCs w:val="24"/>
          <w:highlight w:val="none"/>
        </w:rPr>
      </w:pPr>
      <w:r>
        <w:rPr>
          <w:rFonts w:hint="eastAsia" w:ascii="宋体" w:hAnsi="宋体"/>
          <w:szCs w:val="24"/>
          <w:highlight w:val="none"/>
        </w:rPr>
        <w:t>临床药师可根据患者的情况，对患者进行关注度调整。也可取消关注。可以分标签查看全院患者和我的关注患者。</w:t>
      </w:r>
    </w:p>
    <w:p>
      <w:pPr>
        <w:pStyle w:val="6"/>
        <w:numPr>
          <w:ilvl w:val="4"/>
          <w:numId w:val="8"/>
        </w:numPr>
        <w:spacing w:line="360" w:lineRule="auto"/>
        <w:ind w:left="851"/>
        <w:rPr>
          <w:szCs w:val="24"/>
          <w:highlight w:val="none"/>
          <w:lang w:eastAsia="zh-Hans"/>
        </w:rPr>
      </w:pPr>
      <w:r>
        <w:rPr>
          <w:rFonts w:hint="eastAsia"/>
          <w:szCs w:val="24"/>
          <w:highlight w:val="none"/>
          <w:lang w:eastAsia="zh-Hans"/>
        </w:rPr>
        <w:t>医嘱重整录入（嵌入移动查房）</w:t>
      </w:r>
    </w:p>
    <w:p>
      <w:pPr>
        <w:pStyle w:val="18"/>
        <w:rPr>
          <w:rFonts w:ascii="宋体" w:hAnsi="宋体"/>
          <w:szCs w:val="24"/>
          <w:highlight w:val="none"/>
        </w:rPr>
      </w:pPr>
      <w:r>
        <w:rPr>
          <w:rFonts w:hint="eastAsia" w:ascii="宋体" w:hAnsi="宋体"/>
          <w:szCs w:val="24"/>
          <w:highlight w:val="none"/>
        </w:rPr>
        <w:t>支持导入医嘱，进行医嘱重整。重整之后生成新的用药清单，医嘱重整不修改原有医嘱内容。</w:t>
      </w:r>
    </w:p>
    <w:p>
      <w:pPr>
        <w:pStyle w:val="6"/>
        <w:numPr>
          <w:ilvl w:val="4"/>
          <w:numId w:val="8"/>
        </w:numPr>
        <w:spacing w:line="360" w:lineRule="auto"/>
        <w:ind w:left="851"/>
        <w:rPr>
          <w:szCs w:val="24"/>
          <w:highlight w:val="none"/>
          <w:lang w:eastAsia="zh-Hans"/>
        </w:rPr>
      </w:pPr>
      <w:r>
        <w:rPr>
          <w:rFonts w:hint="eastAsia"/>
          <w:szCs w:val="24"/>
          <w:highlight w:val="none"/>
          <w:lang w:eastAsia="zh-Hans"/>
        </w:rPr>
        <w:t>药学建议录入（嵌入移动查房）</w:t>
      </w:r>
    </w:p>
    <w:p>
      <w:pPr>
        <w:pStyle w:val="18"/>
        <w:rPr>
          <w:rFonts w:ascii="宋体" w:hAnsi="宋体"/>
          <w:szCs w:val="24"/>
          <w:highlight w:val="none"/>
        </w:rPr>
      </w:pPr>
      <w:r>
        <w:rPr>
          <w:rFonts w:hint="eastAsia" w:ascii="宋体" w:hAnsi="宋体"/>
          <w:szCs w:val="24"/>
          <w:highlight w:val="none"/>
        </w:rPr>
        <w:t>药师可以手动输入药学建议，支持现场录音、拍照、插入图片、加粗、下划线等操作。</w:t>
      </w:r>
    </w:p>
    <w:p>
      <w:pPr>
        <w:pStyle w:val="6"/>
        <w:numPr>
          <w:ilvl w:val="4"/>
          <w:numId w:val="8"/>
        </w:numPr>
        <w:spacing w:line="360" w:lineRule="auto"/>
        <w:ind w:left="851"/>
        <w:rPr>
          <w:szCs w:val="24"/>
          <w:highlight w:val="none"/>
          <w:lang w:eastAsia="zh-Hans"/>
        </w:rPr>
      </w:pPr>
      <w:r>
        <w:rPr>
          <w:rFonts w:hint="eastAsia"/>
          <w:szCs w:val="24"/>
          <w:highlight w:val="none"/>
          <w:lang w:eastAsia="zh-Hans"/>
        </w:rPr>
        <w:t>不良反应记录（嵌入移动查房）</w:t>
      </w:r>
    </w:p>
    <w:p>
      <w:pPr>
        <w:pStyle w:val="18"/>
        <w:rPr>
          <w:rFonts w:ascii="宋体" w:hAnsi="宋体"/>
          <w:szCs w:val="24"/>
          <w:highlight w:val="none"/>
        </w:rPr>
      </w:pPr>
      <w:r>
        <w:rPr>
          <w:rFonts w:hint="eastAsia" w:ascii="宋体" w:hAnsi="宋体"/>
          <w:szCs w:val="24"/>
          <w:highlight w:val="none"/>
        </w:rPr>
        <w:t>如果发现患者有不良反应，药师可在查房日志里增加不良反应记录。支持不良反应记录的修改、删除。</w:t>
      </w:r>
    </w:p>
    <w:p>
      <w:pPr>
        <w:pStyle w:val="6"/>
        <w:numPr>
          <w:ilvl w:val="4"/>
          <w:numId w:val="8"/>
        </w:numPr>
        <w:spacing w:line="360" w:lineRule="auto"/>
        <w:ind w:left="851"/>
        <w:rPr>
          <w:szCs w:val="24"/>
          <w:highlight w:val="none"/>
          <w:lang w:eastAsia="zh-Hans"/>
        </w:rPr>
      </w:pPr>
      <w:r>
        <w:rPr>
          <w:rFonts w:hint="eastAsia"/>
          <w:szCs w:val="24"/>
          <w:highlight w:val="none"/>
          <w:lang w:eastAsia="zh-Hans"/>
        </w:rPr>
        <w:t>用药教育内容制作（嵌入移动查房）</w:t>
      </w:r>
    </w:p>
    <w:p>
      <w:pPr>
        <w:pStyle w:val="18"/>
        <w:rPr>
          <w:rFonts w:ascii="宋体" w:hAnsi="宋体"/>
          <w:szCs w:val="24"/>
          <w:highlight w:val="none"/>
        </w:rPr>
      </w:pPr>
      <w:r>
        <w:rPr>
          <w:rFonts w:hint="eastAsia" w:ascii="宋体" w:hAnsi="宋体"/>
          <w:szCs w:val="24"/>
          <w:highlight w:val="none"/>
        </w:rPr>
        <w:t>药师可以调取说明书的相关内容，组成患者用药教育的指导内容，生成PDF并打印成纸质文本拿给患者，患者在线查看。</w:t>
      </w:r>
    </w:p>
    <w:p>
      <w:pPr>
        <w:pStyle w:val="6"/>
        <w:numPr>
          <w:ilvl w:val="4"/>
          <w:numId w:val="8"/>
        </w:numPr>
        <w:spacing w:line="360" w:lineRule="auto"/>
        <w:ind w:left="851"/>
        <w:rPr>
          <w:szCs w:val="24"/>
          <w:highlight w:val="none"/>
          <w:lang w:eastAsia="zh-Hans"/>
        </w:rPr>
      </w:pPr>
      <w:r>
        <w:rPr>
          <w:rFonts w:hint="eastAsia"/>
          <w:szCs w:val="24"/>
          <w:highlight w:val="none"/>
          <w:lang w:eastAsia="zh-Hans"/>
        </w:rPr>
        <w:t>患者信息集（移动查房）</w:t>
      </w:r>
    </w:p>
    <w:p>
      <w:pPr>
        <w:pStyle w:val="18"/>
        <w:rPr>
          <w:rFonts w:ascii="宋体" w:hAnsi="宋体"/>
          <w:szCs w:val="24"/>
          <w:highlight w:val="none"/>
        </w:rPr>
      </w:pPr>
      <w:r>
        <w:rPr>
          <w:rFonts w:hint="eastAsia" w:ascii="宋体" w:hAnsi="宋体"/>
          <w:szCs w:val="24"/>
          <w:highlight w:val="none"/>
        </w:rPr>
        <w:t>为方便临床药师查房时对患者信息的查询与浏览，系统以自动弹出和收缩的方式展示患者就诊信息，包含医嘱、检验、检查、电子病历信息等。</w:t>
      </w:r>
    </w:p>
    <w:p>
      <w:pPr>
        <w:pStyle w:val="6"/>
        <w:numPr>
          <w:ilvl w:val="4"/>
          <w:numId w:val="8"/>
        </w:numPr>
        <w:spacing w:line="360" w:lineRule="auto"/>
        <w:ind w:left="851"/>
        <w:rPr>
          <w:szCs w:val="24"/>
          <w:highlight w:val="none"/>
          <w:lang w:eastAsia="zh-Hans"/>
        </w:rPr>
      </w:pPr>
      <w:r>
        <w:rPr>
          <w:rFonts w:hint="eastAsia"/>
          <w:szCs w:val="24"/>
          <w:highlight w:val="none"/>
          <w:lang w:eastAsia="zh-Hans"/>
        </w:rPr>
        <w:t>快捷录入功能（移动查房）</w:t>
      </w:r>
    </w:p>
    <w:p>
      <w:pPr>
        <w:pStyle w:val="18"/>
        <w:rPr>
          <w:rFonts w:ascii="宋体" w:hAnsi="宋体"/>
          <w:szCs w:val="24"/>
          <w:highlight w:val="none"/>
        </w:rPr>
      </w:pPr>
      <w:r>
        <w:rPr>
          <w:rFonts w:hint="eastAsia" w:ascii="宋体" w:hAnsi="宋体"/>
          <w:szCs w:val="24"/>
          <w:highlight w:val="none"/>
        </w:rPr>
        <w:t>包括录音（移动端支持）、拍照插入图片、字体加粗、对齐等。</w:t>
      </w:r>
    </w:p>
    <w:p>
      <w:pPr>
        <w:pStyle w:val="4"/>
        <w:numPr>
          <w:ilvl w:val="2"/>
          <w:numId w:val="8"/>
        </w:numPr>
        <w:spacing w:line="360" w:lineRule="auto"/>
        <w:ind w:left="567"/>
        <w:rPr>
          <w:szCs w:val="24"/>
          <w:highlight w:val="none"/>
        </w:rPr>
      </w:pPr>
      <w:bookmarkStart w:id="59" w:name="_Toc154688550"/>
      <w:r>
        <w:rPr>
          <w:rFonts w:hint="eastAsia"/>
          <w:szCs w:val="24"/>
          <w:highlight w:val="none"/>
        </w:rPr>
        <w:t>药物重整</w:t>
      </w:r>
      <w:bookmarkEnd w:id="59"/>
    </w:p>
    <w:p>
      <w:pPr>
        <w:pStyle w:val="18"/>
        <w:rPr>
          <w:highlight w:val="none"/>
        </w:rPr>
      </w:pPr>
      <w:r>
        <w:rPr>
          <w:rFonts w:hint="eastAsia" w:ascii="宋体" w:hAnsi="宋体"/>
          <w:szCs w:val="24"/>
          <w:highlight w:val="none"/>
        </w:rPr>
        <w:t>依据国家对临床药学服务的要求，药师需要为入院、出院、转科的患者提供药物重整服务，通过重整，发现其用药存在的问题，提醒医生进行调整，从而减少用药风险，提高用药安全。</w:t>
      </w:r>
      <w:r>
        <w:rPr>
          <w:rFonts w:hint="eastAsia"/>
          <w:highlight w:val="none"/>
        </w:rPr>
        <w:t>药物重整记录表（参考下图），支持药师自定义重整记录表格。</w:t>
      </w:r>
    </w:p>
    <w:p>
      <w:pPr>
        <w:pStyle w:val="18"/>
        <w:rPr>
          <w:rFonts w:ascii="宋体" w:hAnsi="宋体"/>
          <w:szCs w:val="24"/>
          <w:highlight w:val="none"/>
        </w:rPr>
      </w:pPr>
    </w:p>
    <w:p>
      <w:pPr>
        <w:pStyle w:val="18"/>
        <w:rPr>
          <w:highlight w:val="none"/>
        </w:rPr>
      </w:pPr>
      <w:r>
        <w:rPr>
          <w:highlight w:val="none"/>
        </w:rPr>
        <w:drawing>
          <wp:inline distT="0" distB="0" distL="114300" distR="114300">
            <wp:extent cx="3895725" cy="4772025"/>
            <wp:effectExtent l="0" t="0" r="9525"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3895725" cy="4772025"/>
                    </a:xfrm>
                    <a:prstGeom prst="rect">
                      <a:avLst/>
                    </a:prstGeom>
                    <a:noFill/>
                    <a:ln>
                      <a:noFill/>
                    </a:ln>
                  </pic:spPr>
                </pic:pic>
              </a:graphicData>
            </a:graphic>
          </wp:inline>
        </w:drawing>
      </w:r>
    </w:p>
    <w:p>
      <w:pPr>
        <w:pStyle w:val="5"/>
        <w:numPr>
          <w:ilvl w:val="3"/>
          <w:numId w:val="8"/>
        </w:numPr>
        <w:spacing w:line="360" w:lineRule="auto"/>
        <w:ind w:left="708"/>
        <w:rPr>
          <w:szCs w:val="24"/>
          <w:highlight w:val="none"/>
          <w:lang w:eastAsia="zh-Hans"/>
        </w:rPr>
      </w:pPr>
      <w:r>
        <w:rPr>
          <w:rFonts w:hint="eastAsia"/>
          <w:szCs w:val="24"/>
          <w:highlight w:val="none"/>
          <w:lang w:eastAsia="zh-Hans"/>
        </w:rPr>
        <w:t>入院药物重整</w:t>
      </w:r>
    </w:p>
    <w:p>
      <w:pPr>
        <w:pStyle w:val="18"/>
        <w:rPr>
          <w:rFonts w:ascii="宋体" w:hAnsi="宋体"/>
          <w:szCs w:val="24"/>
          <w:highlight w:val="none"/>
        </w:rPr>
      </w:pPr>
      <w:r>
        <w:rPr>
          <w:rFonts w:hint="eastAsia" w:ascii="宋体" w:hAnsi="宋体"/>
          <w:szCs w:val="24"/>
          <w:highlight w:val="none"/>
        </w:rPr>
        <w:t>系统提供入院药物重整功能，该功能流程包括患者面谈、重整清单、医生确认、患者宣教、归档五个环节。药师可以发起药物重整，生成一条入院药物重整记录，新增完药物重整清单后</w:t>
      </w:r>
      <w:r>
        <w:rPr>
          <w:rFonts w:ascii="宋体" w:hAnsi="宋体"/>
          <w:szCs w:val="24"/>
          <w:highlight w:val="none"/>
        </w:rPr>
        <w:t>，</w:t>
      </w:r>
      <w:r>
        <w:rPr>
          <w:rFonts w:hint="eastAsia" w:ascii="宋体" w:hAnsi="宋体"/>
          <w:szCs w:val="24"/>
          <w:highlight w:val="none"/>
        </w:rPr>
        <w:t>将清单发送给医生进行确认</w:t>
      </w:r>
      <w:r>
        <w:rPr>
          <w:rFonts w:ascii="宋体" w:hAnsi="宋体"/>
          <w:szCs w:val="24"/>
          <w:highlight w:val="none"/>
        </w:rPr>
        <w:t>，</w:t>
      </w:r>
      <w:r>
        <w:rPr>
          <w:rFonts w:hint="eastAsia" w:ascii="宋体" w:hAnsi="宋体"/>
          <w:szCs w:val="24"/>
          <w:highlight w:val="none"/>
        </w:rPr>
        <w:t>医生确认后</w:t>
      </w:r>
      <w:r>
        <w:rPr>
          <w:rFonts w:ascii="宋体" w:hAnsi="宋体"/>
          <w:szCs w:val="24"/>
          <w:highlight w:val="none"/>
        </w:rPr>
        <w:t>，</w:t>
      </w:r>
      <w:r>
        <w:rPr>
          <w:rFonts w:hint="eastAsia" w:ascii="宋体" w:hAnsi="宋体"/>
          <w:szCs w:val="24"/>
          <w:highlight w:val="none"/>
        </w:rPr>
        <w:t>需要将重整记录发送给患者进行确认，最终归档。药师可对重整记录的部分内容进行修改、删除、查询、详情查看及导出等操作。</w:t>
      </w:r>
    </w:p>
    <w:p>
      <w:pPr>
        <w:pStyle w:val="5"/>
        <w:numPr>
          <w:ilvl w:val="3"/>
          <w:numId w:val="8"/>
        </w:numPr>
        <w:spacing w:line="360" w:lineRule="auto"/>
        <w:ind w:left="708"/>
        <w:rPr>
          <w:szCs w:val="24"/>
          <w:highlight w:val="none"/>
          <w:lang w:eastAsia="zh-Hans"/>
        </w:rPr>
      </w:pPr>
      <w:r>
        <w:rPr>
          <w:rFonts w:hint="eastAsia"/>
          <w:szCs w:val="24"/>
          <w:highlight w:val="none"/>
          <w:lang w:eastAsia="zh-Hans"/>
        </w:rPr>
        <w:t>转科药物重整</w:t>
      </w:r>
    </w:p>
    <w:p>
      <w:pPr>
        <w:pStyle w:val="18"/>
        <w:rPr>
          <w:rFonts w:ascii="宋体" w:hAnsi="宋体"/>
          <w:szCs w:val="24"/>
          <w:highlight w:val="none"/>
        </w:rPr>
      </w:pPr>
      <w:r>
        <w:rPr>
          <w:rFonts w:hint="eastAsia" w:ascii="宋体" w:hAnsi="宋体"/>
          <w:szCs w:val="24"/>
          <w:highlight w:val="none"/>
        </w:rPr>
        <w:t>系统提供转科药物重整功能，该功能流程包括转科患者面谈、重整清单、医生确认、患者宣教、归档五个环节。药师可以发起药物重整，生成一条转科药物重整记录，新增完药物重整清单后</w:t>
      </w:r>
      <w:r>
        <w:rPr>
          <w:rFonts w:ascii="宋体" w:hAnsi="宋体"/>
          <w:szCs w:val="24"/>
          <w:highlight w:val="none"/>
        </w:rPr>
        <w:t>，</w:t>
      </w:r>
      <w:r>
        <w:rPr>
          <w:rFonts w:hint="eastAsia" w:ascii="宋体" w:hAnsi="宋体"/>
          <w:szCs w:val="24"/>
          <w:highlight w:val="none"/>
        </w:rPr>
        <w:t>将清单发送给医生进行确认</w:t>
      </w:r>
      <w:r>
        <w:rPr>
          <w:rFonts w:ascii="宋体" w:hAnsi="宋体"/>
          <w:szCs w:val="24"/>
          <w:highlight w:val="none"/>
        </w:rPr>
        <w:t>，</w:t>
      </w:r>
      <w:r>
        <w:rPr>
          <w:rFonts w:hint="eastAsia" w:ascii="宋体" w:hAnsi="宋体"/>
          <w:szCs w:val="24"/>
          <w:highlight w:val="none"/>
        </w:rPr>
        <w:t>医生确认后</w:t>
      </w:r>
      <w:r>
        <w:rPr>
          <w:rFonts w:ascii="宋体" w:hAnsi="宋体"/>
          <w:szCs w:val="24"/>
          <w:highlight w:val="none"/>
        </w:rPr>
        <w:t>，</w:t>
      </w:r>
      <w:r>
        <w:rPr>
          <w:rFonts w:hint="eastAsia" w:ascii="宋体" w:hAnsi="宋体"/>
          <w:szCs w:val="24"/>
          <w:highlight w:val="none"/>
        </w:rPr>
        <w:t>需要将重整记录发送给患者进行确认，最终归档。药师可对转科重整记录的部分内容进行修改、删除、查询、详情查看及导出等操作。</w:t>
      </w:r>
    </w:p>
    <w:p>
      <w:pPr>
        <w:pStyle w:val="5"/>
        <w:numPr>
          <w:ilvl w:val="3"/>
          <w:numId w:val="8"/>
        </w:numPr>
        <w:spacing w:line="360" w:lineRule="auto"/>
        <w:ind w:left="708"/>
        <w:rPr>
          <w:szCs w:val="24"/>
          <w:highlight w:val="none"/>
          <w:lang w:eastAsia="zh-Hans"/>
        </w:rPr>
      </w:pPr>
      <w:r>
        <w:rPr>
          <w:rFonts w:hint="eastAsia"/>
          <w:szCs w:val="24"/>
          <w:highlight w:val="none"/>
          <w:lang w:eastAsia="zh-Hans"/>
        </w:rPr>
        <w:t>出院药物重整</w:t>
      </w:r>
    </w:p>
    <w:p>
      <w:pPr>
        <w:pStyle w:val="18"/>
        <w:rPr>
          <w:rFonts w:ascii="宋体" w:hAnsi="宋体"/>
          <w:szCs w:val="24"/>
          <w:highlight w:val="none"/>
        </w:rPr>
      </w:pPr>
      <w:r>
        <w:rPr>
          <w:rFonts w:hint="eastAsia" w:ascii="宋体" w:hAnsi="宋体"/>
          <w:szCs w:val="24"/>
          <w:highlight w:val="none"/>
        </w:rPr>
        <w:t>系统提供出院药物重整功能，该功能流程包括出院患者面谈、重整清单、医生确认、患者宣教、归档五个环节。药师可以发起出院药物重整，生成一条出院药物重整记录，新增完药物重整清单后</w:t>
      </w:r>
      <w:r>
        <w:rPr>
          <w:rFonts w:ascii="宋体" w:hAnsi="宋体"/>
          <w:szCs w:val="24"/>
          <w:highlight w:val="none"/>
        </w:rPr>
        <w:t>，</w:t>
      </w:r>
      <w:r>
        <w:rPr>
          <w:rFonts w:hint="eastAsia" w:ascii="宋体" w:hAnsi="宋体"/>
          <w:szCs w:val="24"/>
          <w:highlight w:val="none"/>
        </w:rPr>
        <w:t>将清单发送给医生进行确认</w:t>
      </w:r>
      <w:r>
        <w:rPr>
          <w:rFonts w:ascii="宋体" w:hAnsi="宋体"/>
          <w:szCs w:val="24"/>
          <w:highlight w:val="none"/>
        </w:rPr>
        <w:t>，</w:t>
      </w:r>
      <w:r>
        <w:rPr>
          <w:rFonts w:hint="eastAsia" w:ascii="宋体" w:hAnsi="宋体"/>
          <w:szCs w:val="24"/>
          <w:highlight w:val="none"/>
        </w:rPr>
        <w:t>医生确认后</w:t>
      </w:r>
      <w:r>
        <w:rPr>
          <w:rFonts w:ascii="宋体" w:hAnsi="宋体"/>
          <w:szCs w:val="24"/>
          <w:highlight w:val="none"/>
        </w:rPr>
        <w:t>，</w:t>
      </w:r>
      <w:r>
        <w:rPr>
          <w:rFonts w:hint="eastAsia" w:ascii="宋体" w:hAnsi="宋体"/>
          <w:szCs w:val="24"/>
          <w:highlight w:val="none"/>
        </w:rPr>
        <w:t>需要将重整记录发送给患者进行确认，最终归档。药师可对出院重整记录的部分内容进行修改、删除、查询、详情查看及导出等操作。</w:t>
      </w:r>
    </w:p>
    <w:p>
      <w:pPr>
        <w:pStyle w:val="4"/>
        <w:numPr>
          <w:ilvl w:val="2"/>
          <w:numId w:val="8"/>
        </w:numPr>
        <w:spacing w:line="360" w:lineRule="auto"/>
        <w:ind w:left="567"/>
        <w:rPr>
          <w:szCs w:val="24"/>
          <w:highlight w:val="none"/>
        </w:rPr>
      </w:pPr>
      <w:bookmarkStart w:id="60" w:name="_Toc154688551"/>
      <w:r>
        <w:rPr>
          <w:rFonts w:hint="eastAsia"/>
          <w:szCs w:val="24"/>
          <w:highlight w:val="none"/>
        </w:rPr>
        <w:t>用药咨询</w:t>
      </w:r>
      <w:bookmarkEnd w:id="60"/>
    </w:p>
    <w:p>
      <w:pPr>
        <w:pStyle w:val="5"/>
        <w:numPr>
          <w:ilvl w:val="3"/>
          <w:numId w:val="8"/>
        </w:numPr>
        <w:spacing w:line="360" w:lineRule="auto"/>
        <w:ind w:left="708"/>
        <w:rPr>
          <w:szCs w:val="24"/>
          <w:highlight w:val="none"/>
          <w:lang w:eastAsia="zh-Hans"/>
        </w:rPr>
      </w:pPr>
      <w:r>
        <w:rPr>
          <w:rFonts w:hint="eastAsia"/>
          <w:szCs w:val="24"/>
          <w:highlight w:val="none"/>
          <w:lang w:eastAsia="zh-Hans"/>
        </w:rPr>
        <w:t>线下咨询</w:t>
      </w:r>
    </w:p>
    <w:p>
      <w:pPr>
        <w:pStyle w:val="18"/>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系统应支持药师</w:t>
      </w:r>
      <w:r>
        <w:rPr>
          <w:rFonts w:hint="eastAsia" w:ascii="宋体" w:hAnsi="宋体"/>
          <w:szCs w:val="24"/>
          <w:highlight w:val="none"/>
        </w:rPr>
        <w:t>记录</w:t>
      </w:r>
      <w:r>
        <w:rPr>
          <w:rFonts w:hint="eastAsia" w:ascii="宋体" w:hAnsi="宋体"/>
          <w:color w:val="000000" w:themeColor="text1"/>
          <w:szCs w:val="24"/>
          <w:highlight w:val="none"/>
          <w14:textFill>
            <w14:solidFill>
              <w14:schemeClr w14:val="tx1"/>
            </w14:solidFill>
          </w14:textFill>
        </w:rPr>
        <w:t>门诊患者、住院患者、患者亲友、医生、护士发起的线下用药咨询及药师解答，▲应支持延答复操作，方便药师查找暂未答复的问题。</w:t>
      </w:r>
    </w:p>
    <w:p>
      <w:pPr>
        <w:pStyle w:val="5"/>
        <w:numPr>
          <w:ilvl w:val="3"/>
          <w:numId w:val="8"/>
        </w:numPr>
        <w:spacing w:line="360" w:lineRule="auto"/>
        <w:ind w:left="708"/>
        <w:rPr>
          <w:color w:val="000000" w:themeColor="text1"/>
          <w:szCs w:val="24"/>
          <w:highlight w:val="none"/>
          <w14:textFill>
            <w14:solidFill>
              <w14:schemeClr w14:val="tx1"/>
            </w14:solidFill>
          </w14:textFill>
        </w:rPr>
      </w:pPr>
      <w:r>
        <w:rPr>
          <w:rFonts w:hint="eastAsia"/>
          <w:szCs w:val="24"/>
          <w:highlight w:val="none"/>
          <w:lang w:eastAsia="zh-Hans"/>
        </w:rPr>
        <w:t>医生咨询</w:t>
      </w:r>
    </w:p>
    <w:p>
      <w:pPr>
        <w:pStyle w:val="18"/>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系统应支持医生在工作站向</w:t>
      </w:r>
      <w:r>
        <w:rPr>
          <w:rFonts w:hint="eastAsia" w:ascii="宋体" w:hAnsi="宋体"/>
          <w:szCs w:val="24"/>
          <w:highlight w:val="none"/>
        </w:rPr>
        <w:t>药师</w:t>
      </w:r>
      <w:r>
        <w:rPr>
          <w:rFonts w:hint="eastAsia" w:ascii="宋体" w:hAnsi="宋体"/>
          <w:color w:val="000000" w:themeColor="text1"/>
          <w:szCs w:val="24"/>
          <w:highlight w:val="none"/>
          <w14:textFill>
            <w14:solidFill>
              <w14:schemeClr w14:val="tx1"/>
            </w14:solidFill>
          </w14:textFill>
        </w:rPr>
        <w:t>发起用药咨询。</w:t>
      </w:r>
    </w:p>
    <w:p>
      <w:pPr>
        <w:pStyle w:val="5"/>
        <w:numPr>
          <w:ilvl w:val="3"/>
          <w:numId w:val="8"/>
        </w:numPr>
        <w:spacing w:line="360" w:lineRule="auto"/>
        <w:ind w:left="708"/>
        <w:rPr>
          <w:szCs w:val="24"/>
          <w:highlight w:val="none"/>
          <w:lang w:eastAsia="zh-Hans"/>
        </w:rPr>
      </w:pPr>
      <w:r>
        <w:rPr>
          <w:rFonts w:hint="eastAsia"/>
          <w:szCs w:val="24"/>
          <w:highlight w:val="none"/>
          <w:lang w:eastAsia="zh-Hans"/>
        </w:rPr>
        <w:t>患者咨询</w:t>
      </w:r>
    </w:p>
    <w:p>
      <w:pPr>
        <w:pStyle w:val="18"/>
        <w:rPr>
          <w:rFonts w:ascii="宋体" w:hAnsi="宋体"/>
          <w:szCs w:val="24"/>
          <w:highlight w:val="none"/>
        </w:rPr>
      </w:pPr>
      <w:r>
        <w:rPr>
          <w:rFonts w:hint="eastAsia" w:ascii="宋体" w:hAnsi="宋体"/>
          <w:color w:val="000000" w:themeColor="text1"/>
          <w:szCs w:val="24"/>
          <w:highlight w:val="none"/>
          <w14:textFill>
            <w14:solidFill>
              <w14:schemeClr w14:val="tx1"/>
            </w14:solidFill>
          </w14:textFill>
        </w:rPr>
        <w:t>系统应支持患者在线发起用药咨询，▲患者应可添加药品、疾病情况，录入语音、上传图片询问药师用药问题，可对药师服务进行评价。药师应能自定义在线接受咨询时间、日咨询量上限。</w:t>
      </w:r>
    </w:p>
    <w:p>
      <w:pPr>
        <w:pStyle w:val="18"/>
        <w:rPr>
          <w:rFonts w:ascii="宋体" w:hAnsi="宋体"/>
          <w:szCs w:val="24"/>
          <w:highlight w:val="none"/>
        </w:rPr>
      </w:pPr>
      <w:r>
        <w:rPr>
          <w:rFonts w:hint="eastAsia" w:ascii="宋体" w:hAnsi="宋体"/>
          <w:szCs w:val="24"/>
          <w:highlight w:val="none"/>
        </w:rPr>
        <w:t>药师可对用药咨询记录进行修改、删除、查询、详情查看及导出等操作。</w:t>
      </w:r>
    </w:p>
    <w:p>
      <w:pPr>
        <w:pStyle w:val="18"/>
        <w:rPr>
          <w:rFonts w:ascii="宋体" w:hAnsi="宋体"/>
          <w:szCs w:val="24"/>
          <w:highlight w:val="none"/>
        </w:rPr>
      </w:pPr>
      <w:r>
        <w:rPr>
          <w:highlight w:val="none"/>
        </w:rPr>
        <w:drawing>
          <wp:inline distT="0" distB="0" distL="114300" distR="114300">
            <wp:extent cx="5021580" cy="3685540"/>
            <wp:effectExtent l="0" t="0" r="7620" b="1016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5021580" cy="3685540"/>
                    </a:xfrm>
                    <a:prstGeom prst="rect">
                      <a:avLst/>
                    </a:prstGeom>
                    <a:noFill/>
                    <a:ln>
                      <a:noFill/>
                    </a:ln>
                  </pic:spPr>
                </pic:pic>
              </a:graphicData>
            </a:graphic>
          </wp:inline>
        </w:drawing>
      </w:r>
    </w:p>
    <w:p>
      <w:pPr>
        <w:pStyle w:val="4"/>
        <w:numPr>
          <w:ilvl w:val="2"/>
          <w:numId w:val="8"/>
        </w:numPr>
        <w:spacing w:line="360" w:lineRule="auto"/>
        <w:ind w:left="567"/>
        <w:rPr>
          <w:szCs w:val="24"/>
          <w:highlight w:val="none"/>
        </w:rPr>
      </w:pPr>
      <w:bookmarkStart w:id="61" w:name="_Toc154688552"/>
      <w:r>
        <w:rPr>
          <w:rFonts w:hint="eastAsia"/>
          <w:szCs w:val="24"/>
          <w:highlight w:val="none"/>
        </w:rPr>
        <w:t>病历讨论记录</w:t>
      </w:r>
      <w:bookmarkEnd w:id="61"/>
    </w:p>
    <w:p>
      <w:pPr>
        <w:pStyle w:val="18"/>
        <w:rPr>
          <w:rFonts w:ascii="宋体" w:hAnsi="宋体"/>
          <w:szCs w:val="24"/>
          <w:highlight w:val="none"/>
        </w:rPr>
      </w:pPr>
      <w:r>
        <w:rPr>
          <w:rFonts w:hint="eastAsia" w:ascii="宋体" w:hAnsi="宋体"/>
          <w:szCs w:val="24"/>
          <w:highlight w:val="none"/>
        </w:rPr>
        <w:t>临床药师需要对重点患者进行阶段性的病历讨论，并形成讨论记录。系统提供病历讨论功能，方便药师新增讨论记录。病历讨论包括患者信息、引入患者病历、讨论人、讨论时间、讨论内容等。药师可对病历讨论记录进行修改、删除、查询、详情查看及导出等操作。</w:t>
      </w:r>
    </w:p>
    <w:p>
      <w:pPr>
        <w:pStyle w:val="4"/>
        <w:numPr>
          <w:ilvl w:val="2"/>
          <w:numId w:val="8"/>
        </w:numPr>
        <w:spacing w:line="360" w:lineRule="auto"/>
        <w:ind w:left="567"/>
        <w:rPr>
          <w:szCs w:val="24"/>
          <w:highlight w:val="none"/>
        </w:rPr>
      </w:pPr>
      <w:bookmarkStart w:id="62" w:name="_Toc154688553"/>
      <w:r>
        <w:rPr>
          <w:rFonts w:hint="eastAsia"/>
          <w:szCs w:val="24"/>
          <w:highlight w:val="none"/>
        </w:rPr>
        <w:t>T</w:t>
      </w:r>
      <w:r>
        <w:rPr>
          <w:szCs w:val="24"/>
          <w:highlight w:val="none"/>
        </w:rPr>
        <w:t>DM</w:t>
      </w:r>
      <w:r>
        <w:rPr>
          <w:rFonts w:hint="eastAsia"/>
          <w:szCs w:val="24"/>
          <w:highlight w:val="none"/>
        </w:rPr>
        <w:t>血药浓度监测</w:t>
      </w:r>
      <w:bookmarkEnd w:id="62"/>
    </w:p>
    <w:p>
      <w:pPr>
        <w:pStyle w:val="5"/>
        <w:numPr>
          <w:ilvl w:val="3"/>
          <w:numId w:val="8"/>
        </w:numPr>
        <w:spacing w:line="360" w:lineRule="auto"/>
        <w:ind w:left="708"/>
        <w:rPr>
          <w:szCs w:val="24"/>
          <w:highlight w:val="none"/>
        </w:rPr>
      </w:pPr>
      <w:r>
        <w:rPr>
          <w:rFonts w:hint="eastAsia"/>
          <w:szCs w:val="24"/>
          <w:highlight w:val="none"/>
          <w:lang w:eastAsia="zh-Hans"/>
        </w:rPr>
        <w:t>T</w:t>
      </w:r>
      <w:r>
        <w:rPr>
          <w:szCs w:val="24"/>
          <w:highlight w:val="none"/>
          <w:lang w:eastAsia="zh-Hans"/>
        </w:rPr>
        <w:t>DM</w:t>
      </w:r>
      <w:r>
        <w:rPr>
          <w:szCs w:val="24"/>
          <w:highlight w:val="none"/>
        </w:rPr>
        <w:t>报告</w:t>
      </w:r>
    </w:p>
    <w:p>
      <w:pPr>
        <w:adjustRightInd w:val="0"/>
        <w:ind w:firstLine="420"/>
        <w:textAlignment w:val="baseline"/>
        <w:rPr>
          <w:rFonts w:ascii="宋体" w:hAnsi="宋体"/>
          <w:highlight w:val="none"/>
        </w:rPr>
      </w:pPr>
      <w:r>
        <w:rPr>
          <w:rFonts w:hint="eastAsia" w:ascii="宋体" w:hAnsi="宋体"/>
          <w:highlight w:val="none"/>
        </w:rPr>
        <w:t>系统从LIS中获取到患者的TDM检验报告数据，报告药师能根据检验数据及患者病历信息进行报告书写存档</w:t>
      </w:r>
      <w:r>
        <w:rPr>
          <w:rFonts w:ascii="宋体" w:hAnsi="宋体"/>
          <w:highlight w:val="none"/>
        </w:rPr>
        <w:t>。</w:t>
      </w:r>
      <w:r>
        <w:rPr>
          <w:rFonts w:hint="eastAsia" w:ascii="宋体" w:hAnsi="宋体"/>
          <w:highlight w:val="none"/>
        </w:rPr>
        <w:t>药师可对TDM报告进行查询</w:t>
      </w:r>
      <w:r>
        <w:rPr>
          <w:rFonts w:ascii="宋体" w:hAnsi="宋体"/>
          <w:highlight w:val="none"/>
        </w:rPr>
        <w:t>，</w:t>
      </w:r>
      <w:r>
        <w:rPr>
          <w:rFonts w:hint="eastAsia" w:ascii="宋体" w:hAnsi="宋体"/>
          <w:highlight w:val="none"/>
        </w:rPr>
        <w:t>也可将结果进行导出打印</w:t>
      </w:r>
      <w:r>
        <w:rPr>
          <w:rFonts w:ascii="宋体" w:hAnsi="宋体"/>
          <w:highlight w:val="none"/>
        </w:rPr>
        <w:t>。</w:t>
      </w:r>
    </w:p>
    <w:p>
      <w:pPr>
        <w:pStyle w:val="18"/>
        <w:rPr>
          <w:rFonts w:ascii="宋体" w:hAnsi="宋体"/>
          <w:szCs w:val="24"/>
          <w:highlight w:val="none"/>
        </w:rPr>
      </w:pPr>
      <w:r>
        <w:rPr>
          <w:rFonts w:hint="eastAsia" w:ascii="宋体" w:hAnsi="宋体"/>
          <w:szCs w:val="24"/>
          <w:highlight w:val="none"/>
        </w:rPr>
        <w:t>药师对患者的TDM监测报告进行分析</w:t>
      </w:r>
      <w:r>
        <w:rPr>
          <w:rFonts w:ascii="宋体" w:hAnsi="宋体"/>
          <w:szCs w:val="24"/>
          <w:highlight w:val="none"/>
        </w:rPr>
        <w:t>，</w:t>
      </w:r>
      <w:r>
        <w:rPr>
          <w:rFonts w:hint="eastAsia" w:ascii="宋体" w:hAnsi="宋体"/>
          <w:szCs w:val="24"/>
          <w:highlight w:val="none"/>
        </w:rPr>
        <w:t>对患者的用药情况</w:t>
      </w:r>
      <w:r>
        <w:rPr>
          <w:rFonts w:ascii="宋体" w:hAnsi="宋体"/>
          <w:szCs w:val="24"/>
          <w:highlight w:val="none"/>
        </w:rPr>
        <w:t>、</w:t>
      </w:r>
      <w:r>
        <w:rPr>
          <w:rFonts w:hint="eastAsia" w:ascii="宋体" w:hAnsi="宋体"/>
          <w:szCs w:val="24"/>
          <w:highlight w:val="none"/>
        </w:rPr>
        <w:t>检测结果进行分析维护，书写分析报告</w:t>
      </w:r>
      <w:r>
        <w:rPr>
          <w:rFonts w:ascii="宋体" w:hAnsi="宋体"/>
          <w:szCs w:val="24"/>
          <w:highlight w:val="none"/>
        </w:rPr>
        <w:t>，</w:t>
      </w:r>
      <w:r>
        <w:rPr>
          <w:rFonts w:hint="eastAsia" w:ascii="宋体" w:hAnsi="宋体"/>
          <w:szCs w:val="24"/>
          <w:highlight w:val="none"/>
        </w:rPr>
        <w:t>形成用药追踪记录</w:t>
      </w:r>
      <w:r>
        <w:rPr>
          <w:rFonts w:ascii="宋体" w:hAnsi="宋体"/>
          <w:szCs w:val="24"/>
          <w:highlight w:val="none"/>
        </w:rPr>
        <w:t>，</w:t>
      </w:r>
      <w:r>
        <w:rPr>
          <w:rFonts w:hint="eastAsia" w:ascii="宋体" w:hAnsi="宋体"/>
          <w:szCs w:val="24"/>
          <w:highlight w:val="none"/>
        </w:rPr>
        <w:t>并将报告分析结果打印并发送给医生</w:t>
      </w:r>
      <w:r>
        <w:rPr>
          <w:rFonts w:ascii="宋体" w:hAnsi="宋体"/>
          <w:szCs w:val="24"/>
          <w:highlight w:val="none"/>
        </w:rPr>
        <w:t>。</w:t>
      </w:r>
      <w:r>
        <w:rPr>
          <w:rFonts w:hint="eastAsia" w:ascii="宋体" w:hAnsi="宋体"/>
          <w:szCs w:val="24"/>
          <w:highlight w:val="none"/>
        </w:rPr>
        <w:t>系统应能根据患者已有血药浓度结果提醒药师制定个体化用药方案。▲应提供单室模型静脉注射药动学公式协助药师调整用量。</w:t>
      </w:r>
    </w:p>
    <w:p>
      <w:pPr>
        <w:pStyle w:val="5"/>
        <w:numPr>
          <w:ilvl w:val="3"/>
          <w:numId w:val="8"/>
        </w:numPr>
        <w:spacing w:line="360" w:lineRule="auto"/>
        <w:ind w:left="708"/>
        <w:rPr>
          <w:szCs w:val="24"/>
          <w:highlight w:val="none"/>
        </w:rPr>
      </w:pPr>
      <w:r>
        <w:rPr>
          <w:szCs w:val="24"/>
          <w:highlight w:val="none"/>
        </w:rPr>
        <w:t>TDM</w:t>
      </w:r>
      <w:r>
        <w:rPr>
          <w:rFonts w:hint="eastAsia"/>
          <w:szCs w:val="24"/>
          <w:highlight w:val="none"/>
        </w:rPr>
        <w:t>报</w:t>
      </w:r>
      <w:r>
        <w:rPr>
          <w:szCs w:val="24"/>
          <w:highlight w:val="none"/>
        </w:rPr>
        <w:t>表</w:t>
      </w:r>
    </w:p>
    <w:p>
      <w:pPr>
        <w:pStyle w:val="18"/>
        <w:rPr>
          <w:rFonts w:ascii="宋体" w:hAnsi="宋体"/>
          <w:szCs w:val="24"/>
          <w:highlight w:val="none"/>
        </w:rPr>
      </w:pPr>
      <w:r>
        <w:rPr>
          <w:rFonts w:hint="eastAsia" w:ascii="宋体" w:hAnsi="宋体"/>
          <w:szCs w:val="24"/>
          <w:highlight w:val="none"/>
        </w:rPr>
        <w:t>系统支持对</w:t>
      </w:r>
      <w:r>
        <w:rPr>
          <w:rFonts w:ascii="宋体" w:hAnsi="宋体"/>
          <w:szCs w:val="24"/>
          <w:highlight w:val="none"/>
        </w:rPr>
        <w:t>TDM</w:t>
      </w:r>
      <w:r>
        <w:rPr>
          <w:rFonts w:hint="eastAsia" w:ascii="宋体" w:hAnsi="宋体"/>
          <w:szCs w:val="24"/>
          <w:highlight w:val="none"/>
        </w:rPr>
        <w:t>的内容进行报表统计</w:t>
      </w:r>
      <w:r>
        <w:rPr>
          <w:rFonts w:ascii="宋体" w:hAnsi="宋体"/>
          <w:szCs w:val="24"/>
          <w:highlight w:val="none"/>
        </w:rPr>
        <w:t>，</w:t>
      </w:r>
      <w:r>
        <w:rPr>
          <w:rFonts w:hint="eastAsia" w:ascii="宋体" w:hAnsi="宋体"/>
          <w:szCs w:val="24"/>
          <w:highlight w:val="none"/>
        </w:rPr>
        <w:t>支持查询和导出</w:t>
      </w:r>
      <w:r>
        <w:rPr>
          <w:rFonts w:ascii="宋体" w:hAnsi="宋体"/>
          <w:szCs w:val="24"/>
          <w:highlight w:val="none"/>
        </w:rPr>
        <w:t>。包含</w:t>
      </w:r>
      <w:r>
        <w:rPr>
          <w:rFonts w:hint="eastAsia" w:ascii="宋体" w:hAnsi="宋体"/>
          <w:szCs w:val="24"/>
          <w:highlight w:val="none"/>
        </w:rPr>
        <w:t>门诊和住院数、医生开单数</w:t>
      </w:r>
      <w:r>
        <w:rPr>
          <w:rFonts w:ascii="宋体" w:hAnsi="宋体"/>
          <w:szCs w:val="24"/>
          <w:highlight w:val="none"/>
        </w:rPr>
        <w:t>（</w:t>
      </w:r>
      <w:r>
        <w:rPr>
          <w:rFonts w:hint="eastAsia" w:ascii="宋体" w:hAnsi="宋体"/>
          <w:szCs w:val="24"/>
          <w:highlight w:val="none"/>
        </w:rPr>
        <w:t>门诊</w:t>
      </w:r>
      <w:r>
        <w:rPr>
          <w:rFonts w:ascii="宋体" w:hAnsi="宋体"/>
          <w:szCs w:val="24"/>
          <w:highlight w:val="none"/>
        </w:rPr>
        <w:t>/</w:t>
      </w:r>
      <w:r>
        <w:rPr>
          <w:rFonts w:hint="eastAsia" w:ascii="宋体" w:hAnsi="宋体"/>
          <w:szCs w:val="24"/>
          <w:highlight w:val="none"/>
        </w:rPr>
        <w:t>住院</w:t>
      </w:r>
      <w:r>
        <w:rPr>
          <w:rFonts w:ascii="宋体" w:hAnsi="宋体"/>
          <w:szCs w:val="24"/>
          <w:highlight w:val="none"/>
        </w:rPr>
        <w:t>）</w:t>
      </w:r>
      <w:r>
        <w:rPr>
          <w:rFonts w:hint="eastAsia" w:ascii="宋体" w:hAnsi="宋体"/>
          <w:szCs w:val="24"/>
          <w:highlight w:val="none"/>
        </w:rPr>
        <w:t>、科室开单数</w:t>
      </w:r>
      <w:r>
        <w:rPr>
          <w:rFonts w:ascii="宋体" w:hAnsi="宋体"/>
          <w:szCs w:val="24"/>
          <w:highlight w:val="none"/>
        </w:rPr>
        <w:t>（</w:t>
      </w:r>
      <w:r>
        <w:rPr>
          <w:rFonts w:hint="eastAsia" w:ascii="宋体" w:hAnsi="宋体"/>
          <w:szCs w:val="24"/>
          <w:highlight w:val="none"/>
        </w:rPr>
        <w:t>门诊</w:t>
      </w:r>
      <w:r>
        <w:rPr>
          <w:rFonts w:ascii="宋体" w:hAnsi="宋体"/>
          <w:szCs w:val="24"/>
          <w:highlight w:val="none"/>
        </w:rPr>
        <w:t>/</w:t>
      </w:r>
      <w:r>
        <w:rPr>
          <w:rFonts w:hint="eastAsia" w:ascii="宋体" w:hAnsi="宋体"/>
          <w:szCs w:val="24"/>
          <w:highlight w:val="none"/>
        </w:rPr>
        <w:t>住院</w:t>
      </w:r>
      <w:r>
        <w:rPr>
          <w:rFonts w:ascii="宋体" w:hAnsi="宋体"/>
          <w:szCs w:val="24"/>
          <w:highlight w:val="none"/>
        </w:rPr>
        <w:t>）</w:t>
      </w:r>
      <w:r>
        <w:rPr>
          <w:rFonts w:hint="eastAsia" w:ascii="宋体" w:hAnsi="宋体"/>
          <w:szCs w:val="24"/>
          <w:highlight w:val="none"/>
        </w:rPr>
        <w:t>、TDM项目监测数</w:t>
      </w:r>
      <w:r>
        <w:rPr>
          <w:rFonts w:ascii="宋体" w:hAnsi="宋体"/>
          <w:szCs w:val="24"/>
          <w:highlight w:val="none"/>
        </w:rPr>
        <w:t>（</w:t>
      </w:r>
      <w:r>
        <w:rPr>
          <w:rFonts w:hint="eastAsia" w:ascii="宋体" w:hAnsi="宋体"/>
          <w:szCs w:val="24"/>
          <w:highlight w:val="none"/>
        </w:rPr>
        <w:t>门诊</w:t>
      </w:r>
      <w:r>
        <w:rPr>
          <w:rFonts w:ascii="宋体" w:hAnsi="宋体"/>
          <w:szCs w:val="24"/>
          <w:highlight w:val="none"/>
        </w:rPr>
        <w:t>/</w:t>
      </w:r>
      <w:r>
        <w:rPr>
          <w:rFonts w:hint="eastAsia" w:ascii="宋体" w:hAnsi="宋体"/>
          <w:szCs w:val="24"/>
          <w:highlight w:val="none"/>
        </w:rPr>
        <w:t>住院</w:t>
      </w:r>
      <w:r>
        <w:rPr>
          <w:rFonts w:ascii="宋体" w:hAnsi="宋体"/>
          <w:szCs w:val="24"/>
          <w:highlight w:val="none"/>
        </w:rPr>
        <w:t>）、</w:t>
      </w:r>
      <w:r>
        <w:rPr>
          <w:rFonts w:hint="eastAsia" w:ascii="宋体" w:hAnsi="宋体"/>
          <w:szCs w:val="24"/>
          <w:highlight w:val="none"/>
        </w:rPr>
        <w:t>TDM药师分析数</w:t>
      </w:r>
      <w:r>
        <w:rPr>
          <w:rFonts w:ascii="宋体" w:hAnsi="宋体"/>
          <w:szCs w:val="24"/>
          <w:highlight w:val="none"/>
        </w:rPr>
        <w:t>（</w:t>
      </w:r>
      <w:r>
        <w:rPr>
          <w:rFonts w:hint="eastAsia" w:ascii="宋体" w:hAnsi="宋体"/>
          <w:szCs w:val="24"/>
          <w:highlight w:val="none"/>
        </w:rPr>
        <w:t>门诊</w:t>
      </w:r>
      <w:r>
        <w:rPr>
          <w:rFonts w:ascii="宋体" w:hAnsi="宋体"/>
          <w:szCs w:val="24"/>
          <w:highlight w:val="none"/>
        </w:rPr>
        <w:t>/</w:t>
      </w:r>
      <w:r>
        <w:rPr>
          <w:rFonts w:hint="eastAsia" w:ascii="宋体" w:hAnsi="宋体"/>
          <w:szCs w:val="24"/>
          <w:highlight w:val="none"/>
        </w:rPr>
        <w:t>住院</w:t>
      </w:r>
      <w:r>
        <w:rPr>
          <w:rFonts w:ascii="宋体" w:hAnsi="宋体"/>
          <w:szCs w:val="24"/>
          <w:highlight w:val="none"/>
        </w:rPr>
        <w:t>）、</w:t>
      </w:r>
      <w:r>
        <w:rPr>
          <w:rFonts w:hint="eastAsia" w:ascii="宋体" w:hAnsi="宋体"/>
          <w:szCs w:val="24"/>
          <w:highlight w:val="none"/>
        </w:rPr>
        <w:t>临床药师建议数</w:t>
      </w:r>
      <w:r>
        <w:rPr>
          <w:rFonts w:ascii="宋体" w:hAnsi="宋体"/>
          <w:szCs w:val="24"/>
          <w:highlight w:val="none"/>
        </w:rPr>
        <w:t>（</w:t>
      </w:r>
      <w:r>
        <w:rPr>
          <w:rFonts w:hint="eastAsia" w:ascii="宋体" w:hAnsi="宋体"/>
          <w:szCs w:val="24"/>
          <w:highlight w:val="none"/>
        </w:rPr>
        <w:t>门诊</w:t>
      </w:r>
      <w:r>
        <w:rPr>
          <w:rFonts w:ascii="宋体" w:hAnsi="宋体"/>
          <w:szCs w:val="24"/>
          <w:highlight w:val="none"/>
        </w:rPr>
        <w:t>/</w:t>
      </w:r>
      <w:r>
        <w:rPr>
          <w:rFonts w:hint="eastAsia" w:ascii="宋体" w:hAnsi="宋体"/>
          <w:szCs w:val="24"/>
          <w:highlight w:val="none"/>
        </w:rPr>
        <w:t>住院</w:t>
      </w:r>
      <w:r>
        <w:rPr>
          <w:rFonts w:ascii="宋体" w:hAnsi="宋体"/>
          <w:szCs w:val="24"/>
          <w:highlight w:val="none"/>
        </w:rPr>
        <w:t>）。</w:t>
      </w:r>
    </w:p>
    <w:p>
      <w:pPr>
        <w:pStyle w:val="4"/>
        <w:numPr>
          <w:ilvl w:val="2"/>
          <w:numId w:val="8"/>
        </w:numPr>
        <w:spacing w:line="360" w:lineRule="auto"/>
        <w:ind w:left="567"/>
        <w:rPr>
          <w:szCs w:val="24"/>
          <w:highlight w:val="none"/>
        </w:rPr>
      </w:pPr>
      <w:bookmarkStart w:id="63" w:name="_Toc154688554"/>
      <w:r>
        <w:rPr>
          <w:rFonts w:hint="eastAsia"/>
          <w:szCs w:val="24"/>
          <w:highlight w:val="none"/>
        </w:rPr>
        <w:t>基因检测报告分析</w:t>
      </w:r>
      <w:bookmarkEnd w:id="63"/>
    </w:p>
    <w:p>
      <w:pPr>
        <w:pStyle w:val="18"/>
        <w:rPr>
          <w:rFonts w:ascii="宋体" w:hAnsi="宋体"/>
          <w:szCs w:val="24"/>
          <w:highlight w:val="none"/>
        </w:rPr>
      </w:pPr>
      <w:r>
        <w:rPr>
          <w:rFonts w:hint="eastAsia" w:ascii="宋体" w:hAnsi="宋体"/>
          <w:szCs w:val="24"/>
          <w:highlight w:val="none"/>
        </w:rPr>
        <w:t>系统从LIS中获取到患者的基因检测报告数据，药师能根据检测数据及患者病历信息进行报告书写存档</w:t>
      </w:r>
      <w:r>
        <w:rPr>
          <w:rFonts w:ascii="宋体" w:hAnsi="宋体"/>
          <w:szCs w:val="24"/>
          <w:highlight w:val="none"/>
        </w:rPr>
        <w:t>。</w:t>
      </w:r>
      <w:r>
        <w:rPr>
          <w:rFonts w:hint="eastAsia" w:ascii="宋体" w:hAnsi="宋体"/>
          <w:szCs w:val="24"/>
          <w:highlight w:val="none"/>
        </w:rPr>
        <w:t>药师可对基因检测报告进行查询</w:t>
      </w:r>
      <w:r>
        <w:rPr>
          <w:rFonts w:ascii="宋体" w:hAnsi="宋体"/>
          <w:szCs w:val="24"/>
          <w:highlight w:val="none"/>
        </w:rPr>
        <w:t>，</w:t>
      </w:r>
      <w:r>
        <w:rPr>
          <w:rFonts w:hint="eastAsia" w:ascii="宋体" w:hAnsi="宋体"/>
          <w:szCs w:val="24"/>
          <w:highlight w:val="none"/>
        </w:rPr>
        <w:t>也可将结果进行导出打印</w:t>
      </w:r>
      <w:r>
        <w:rPr>
          <w:rFonts w:ascii="宋体" w:hAnsi="宋体"/>
          <w:szCs w:val="24"/>
          <w:highlight w:val="none"/>
        </w:rPr>
        <w:t>。</w:t>
      </w:r>
    </w:p>
    <w:p>
      <w:pPr>
        <w:pStyle w:val="18"/>
        <w:rPr>
          <w:rFonts w:ascii="宋体" w:hAnsi="宋体"/>
          <w:szCs w:val="24"/>
          <w:highlight w:val="none"/>
        </w:rPr>
      </w:pPr>
      <w:r>
        <w:rPr>
          <w:rFonts w:hint="eastAsia" w:ascii="宋体" w:hAnsi="宋体"/>
          <w:szCs w:val="24"/>
          <w:highlight w:val="none"/>
        </w:rPr>
        <w:t>药师对患者的基因检测报告进行分析</w:t>
      </w:r>
      <w:r>
        <w:rPr>
          <w:rFonts w:ascii="宋体" w:hAnsi="宋体"/>
          <w:szCs w:val="24"/>
          <w:highlight w:val="none"/>
        </w:rPr>
        <w:t>，</w:t>
      </w:r>
      <w:r>
        <w:rPr>
          <w:rFonts w:hint="eastAsia" w:ascii="宋体" w:hAnsi="宋体"/>
          <w:szCs w:val="24"/>
          <w:highlight w:val="none"/>
        </w:rPr>
        <w:t>对患者的用药情况</w:t>
      </w:r>
      <w:r>
        <w:rPr>
          <w:rFonts w:ascii="宋体" w:hAnsi="宋体"/>
          <w:szCs w:val="24"/>
          <w:highlight w:val="none"/>
        </w:rPr>
        <w:t>、</w:t>
      </w:r>
      <w:r>
        <w:rPr>
          <w:rFonts w:hint="eastAsia" w:ascii="宋体" w:hAnsi="宋体"/>
          <w:szCs w:val="24"/>
          <w:highlight w:val="none"/>
        </w:rPr>
        <w:t>检测结果进行分析维护，书写分析报告</w:t>
      </w:r>
      <w:r>
        <w:rPr>
          <w:rFonts w:ascii="宋体" w:hAnsi="宋体"/>
          <w:szCs w:val="24"/>
          <w:highlight w:val="none"/>
        </w:rPr>
        <w:t>，</w:t>
      </w:r>
      <w:r>
        <w:rPr>
          <w:rFonts w:hint="eastAsia" w:ascii="宋体" w:hAnsi="宋体"/>
          <w:szCs w:val="24"/>
          <w:highlight w:val="none"/>
        </w:rPr>
        <w:t>形成用药追踪记录</w:t>
      </w:r>
      <w:r>
        <w:rPr>
          <w:rFonts w:ascii="宋体" w:hAnsi="宋体"/>
          <w:szCs w:val="24"/>
          <w:highlight w:val="none"/>
        </w:rPr>
        <w:t>，</w:t>
      </w:r>
      <w:r>
        <w:rPr>
          <w:rFonts w:hint="eastAsia" w:ascii="宋体" w:hAnsi="宋体"/>
          <w:szCs w:val="24"/>
          <w:highlight w:val="none"/>
        </w:rPr>
        <w:t>并将报告分析结果打印并发送给医生</w:t>
      </w:r>
      <w:r>
        <w:rPr>
          <w:rFonts w:ascii="宋体" w:hAnsi="宋体"/>
          <w:szCs w:val="24"/>
          <w:highlight w:val="none"/>
        </w:rPr>
        <w:t>。</w:t>
      </w:r>
      <w:r>
        <w:rPr>
          <w:rFonts w:hint="eastAsia" w:ascii="宋体" w:hAnsi="宋体"/>
          <w:szCs w:val="24"/>
          <w:highlight w:val="none"/>
        </w:rPr>
        <w:t>系统应能根据患者已有基因检测结果提醒药师制定个体化用药方案。</w:t>
      </w:r>
    </w:p>
    <w:p>
      <w:pPr>
        <w:pStyle w:val="4"/>
        <w:numPr>
          <w:ilvl w:val="2"/>
          <w:numId w:val="8"/>
        </w:numPr>
        <w:spacing w:line="360" w:lineRule="auto"/>
        <w:ind w:left="567"/>
        <w:rPr>
          <w:szCs w:val="24"/>
          <w:highlight w:val="none"/>
        </w:rPr>
      </w:pPr>
      <w:bookmarkStart w:id="64" w:name="_Toc154688555"/>
      <w:r>
        <w:rPr>
          <w:rFonts w:hint="eastAsia"/>
          <w:szCs w:val="24"/>
          <w:highlight w:val="none"/>
        </w:rPr>
        <w:t>药学评估</w:t>
      </w:r>
      <w:bookmarkEnd w:id="64"/>
    </w:p>
    <w:p>
      <w:pPr>
        <w:pStyle w:val="18"/>
        <w:rPr>
          <w:rFonts w:ascii="宋体" w:hAnsi="宋体"/>
          <w:szCs w:val="24"/>
          <w:highlight w:val="none"/>
        </w:rPr>
      </w:pPr>
      <w:r>
        <w:rPr>
          <w:rFonts w:hint="eastAsia" w:ascii="宋体" w:hAnsi="宋体"/>
          <w:szCs w:val="24"/>
          <w:highlight w:val="none"/>
        </w:rPr>
        <w:t>药学评估系统是方便临床医生和药师能快速对患者用药相关的病理生理状态、身体机能等进行评估的一套支持工具，工具内置相关的国际国内的行业标准量表公式，录入相关指标后，系统能自动计算出评估结果。系统支持评估结果的部分指标的导入、结果自动计算、评估结果的新增/保存/修改/删除、发送给临床。</w:t>
      </w:r>
    </w:p>
    <w:p>
      <w:pPr>
        <w:pStyle w:val="5"/>
        <w:numPr>
          <w:ilvl w:val="3"/>
          <w:numId w:val="8"/>
        </w:numPr>
        <w:spacing w:line="360" w:lineRule="auto"/>
        <w:ind w:left="708"/>
        <w:rPr>
          <w:szCs w:val="24"/>
          <w:highlight w:val="none"/>
        </w:rPr>
      </w:pPr>
      <w:r>
        <w:rPr>
          <w:rFonts w:hint="eastAsia"/>
          <w:szCs w:val="24"/>
          <w:highlight w:val="none"/>
          <w:lang w:eastAsia="zh-Hans"/>
        </w:rPr>
        <w:t>肝功能评估</w:t>
      </w:r>
    </w:p>
    <w:p>
      <w:pPr>
        <w:pStyle w:val="18"/>
        <w:rPr>
          <w:rFonts w:ascii="宋体" w:hAnsi="宋体"/>
          <w:szCs w:val="24"/>
          <w:highlight w:val="none"/>
        </w:rPr>
      </w:pPr>
      <w:r>
        <w:rPr>
          <w:rFonts w:hint="eastAsia" w:ascii="宋体" w:hAnsi="宋体"/>
          <w:szCs w:val="24"/>
          <w:highlight w:val="none"/>
        </w:rPr>
        <w:t>药师在患者肝功能评估表中详细记录患者的具体情况并形成评估报告</w:t>
      </w:r>
      <w:r>
        <w:rPr>
          <w:rFonts w:ascii="宋体" w:hAnsi="宋体"/>
          <w:szCs w:val="24"/>
          <w:highlight w:val="none"/>
        </w:rPr>
        <w:t>，</w:t>
      </w:r>
      <w:r>
        <w:rPr>
          <w:rFonts w:hint="eastAsia" w:ascii="宋体" w:hAnsi="宋体"/>
          <w:szCs w:val="24"/>
          <w:highlight w:val="none"/>
        </w:rPr>
        <w:t>作为药师进行药学监护的重要依据并提供给医生进行查看</w:t>
      </w:r>
      <w:r>
        <w:rPr>
          <w:rFonts w:ascii="宋体" w:hAnsi="宋体"/>
          <w:szCs w:val="24"/>
          <w:highlight w:val="none"/>
        </w:rPr>
        <w:t>；</w:t>
      </w:r>
      <w:r>
        <w:rPr>
          <w:rFonts w:ascii="宋体" w:hAnsi="宋体"/>
          <w:szCs w:val="24"/>
          <w:highlight w:val="none"/>
          <w:shd w:val="clear" w:color="auto" w:fill="FFFF00"/>
        </w:rPr>
        <w:t>系统能根据检验结果给出肝功能情况的评估意见</w:t>
      </w:r>
      <w:r>
        <w:rPr>
          <w:rFonts w:hint="eastAsia" w:ascii="宋体" w:hAnsi="宋体"/>
          <w:szCs w:val="24"/>
          <w:highlight w:val="none"/>
          <w:shd w:val="clear" w:color="auto" w:fill="FFFF00"/>
        </w:rPr>
        <w:t>（能提供不同适用公式区分儿童和成人患者肝功能评估）</w:t>
      </w:r>
      <w:r>
        <w:rPr>
          <w:rFonts w:ascii="宋体" w:hAnsi="宋体"/>
          <w:szCs w:val="24"/>
          <w:highlight w:val="none"/>
        </w:rPr>
        <w:t>，</w:t>
      </w:r>
      <w:r>
        <w:rPr>
          <w:rFonts w:hint="eastAsia" w:ascii="宋体" w:hAnsi="宋体"/>
          <w:szCs w:val="24"/>
          <w:highlight w:val="none"/>
        </w:rPr>
        <w:t>肝功能评估了肝损伤程度以及肝功能child</w:t>
      </w:r>
      <w:r>
        <w:rPr>
          <w:rFonts w:ascii="宋体" w:hAnsi="宋体"/>
          <w:szCs w:val="24"/>
          <w:highlight w:val="none"/>
        </w:rPr>
        <w:t>-</w:t>
      </w:r>
      <w:r>
        <w:rPr>
          <w:rFonts w:hint="eastAsia" w:ascii="宋体" w:hAnsi="宋体"/>
          <w:szCs w:val="24"/>
          <w:highlight w:val="none"/>
        </w:rPr>
        <w:t>pugh分级</w:t>
      </w:r>
      <w:r>
        <w:rPr>
          <w:rFonts w:ascii="宋体" w:hAnsi="宋体"/>
          <w:szCs w:val="24"/>
          <w:highlight w:val="none"/>
        </w:rPr>
        <w:t>。</w:t>
      </w:r>
      <w:r>
        <w:rPr>
          <w:rFonts w:hint="eastAsia" w:ascii="宋体" w:hAnsi="宋体"/>
          <w:szCs w:val="24"/>
          <w:highlight w:val="none"/>
        </w:rPr>
        <w:t>药师可对肝功能评估记录进行修改、删除、查询、详情查看及导出打印等操作。</w:t>
      </w:r>
    </w:p>
    <w:p>
      <w:pPr>
        <w:pStyle w:val="5"/>
        <w:numPr>
          <w:ilvl w:val="3"/>
          <w:numId w:val="8"/>
        </w:numPr>
        <w:spacing w:line="360" w:lineRule="auto"/>
        <w:ind w:left="708"/>
        <w:rPr>
          <w:szCs w:val="24"/>
          <w:highlight w:val="none"/>
        </w:rPr>
      </w:pPr>
      <w:r>
        <w:rPr>
          <w:rFonts w:hint="eastAsia"/>
          <w:szCs w:val="24"/>
          <w:highlight w:val="none"/>
        </w:rPr>
        <w:t>肾功能</w:t>
      </w:r>
      <w:r>
        <w:rPr>
          <w:rFonts w:hint="eastAsia"/>
          <w:szCs w:val="24"/>
          <w:highlight w:val="none"/>
          <w:lang w:eastAsia="zh-Hans"/>
        </w:rPr>
        <w:t>评估</w:t>
      </w:r>
    </w:p>
    <w:p>
      <w:pPr>
        <w:pStyle w:val="18"/>
        <w:rPr>
          <w:rFonts w:ascii="宋体" w:hAnsi="宋体"/>
          <w:szCs w:val="24"/>
          <w:highlight w:val="none"/>
        </w:rPr>
      </w:pPr>
      <w:r>
        <w:rPr>
          <w:rFonts w:hint="eastAsia" w:ascii="宋体" w:hAnsi="宋体"/>
          <w:szCs w:val="24"/>
          <w:highlight w:val="none"/>
        </w:rPr>
        <w:t>药师在患者肾功能评估表中详细记录患者的具体情况并形成评估报告</w:t>
      </w:r>
      <w:r>
        <w:rPr>
          <w:rFonts w:ascii="宋体" w:hAnsi="宋体"/>
          <w:szCs w:val="24"/>
          <w:highlight w:val="none"/>
        </w:rPr>
        <w:t>，</w:t>
      </w:r>
      <w:r>
        <w:rPr>
          <w:rFonts w:hint="eastAsia" w:ascii="宋体" w:hAnsi="宋体"/>
          <w:szCs w:val="24"/>
          <w:highlight w:val="none"/>
        </w:rPr>
        <w:t>作为药师进行药学监护的重要依据并提供给医生进行查看；</w:t>
      </w:r>
      <w:r>
        <w:rPr>
          <w:rFonts w:hint="eastAsia" w:ascii="宋体" w:hAnsi="宋体"/>
          <w:szCs w:val="24"/>
          <w:highlight w:val="none"/>
          <w:shd w:val="clear" w:color="auto" w:fill="FFFF00"/>
        </w:rPr>
        <w:t>系统能根据检验结果给出肾功能情况的评估意见（能提供不同适用公式区分儿童和成人患者肾功能评估）</w:t>
      </w:r>
      <w:r>
        <w:rPr>
          <w:rFonts w:hint="eastAsia" w:ascii="宋体" w:hAnsi="宋体"/>
          <w:szCs w:val="24"/>
          <w:highlight w:val="none"/>
        </w:rPr>
        <w:t>，肾功能评估了肌酐清除率以及肾功能不全分级</w:t>
      </w:r>
      <w:r>
        <w:rPr>
          <w:rFonts w:ascii="宋体" w:hAnsi="宋体"/>
          <w:szCs w:val="24"/>
          <w:highlight w:val="none"/>
        </w:rPr>
        <w:t>。</w:t>
      </w:r>
      <w:r>
        <w:rPr>
          <w:rFonts w:hint="eastAsia" w:ascii="宋体" w:hAnsi="宋体"/>
          <w:szCs w:val="24"/>
          <w:highlight w:val="none"/>
        </w:rPr>
        <w:t>药师可对肾功能评估记录进行修改、删除、查询、详情查看及导出打印等操作。</w:t>
      </w:r>
    </w:p>
    <w:p>
      <w:pPr>
        <w:pStyle w:val="5"/>
        <w:numPr>
          <w:ilvl w:val="3"/>
          <w:numId w:val="8"/>
        </w:numPr>
        <w:spacing w:line="360" w:lineRule="auto"/>
        <w:ind w:left="708"/>
        <w:rPr>
          <w:szCs w:val="24"/>
          <w:highlight w:val="none"/>
        </w:rPr>
      </w:pPr>
      <w:r>
        <w:rPr>
          <w:rFonts w:hint="eastAsia"/>
          <w:szCs w:val="24"/>
          <w:highlight w:val="none"/>
          <w:lang w:eastAsia="zh-Hans"/>
        </w:rPr>
        <w:t>骨髓</w:t>
      </w:r>
      <w:r>
        <w:rPr>
          <w:rFonts w:hint="eastAsia"/>
          <w:szCs w:val="24"/>
          <w:highlight w:val="none"/>
        </w:rPr>
        <w:t>抑制评估</w:t>
      </w:r>
    </w:p>
    <w:p>
      <w:pPr>
        <w:pStyle w:val="18"/>
        <w:rPr>
          <w:rFonts w:ascii="宋体" w:hAnsi="宋体"/>
          <w:szCs w:val="24"/>
          <w:highlight w:val="none"/>
        </w:rPr>
      </w:pPr>
      <w:r>
        <w:rPr>
          <w:rFonts w:hint="eastAsia" w:ascii="宋体" w:hAnsi="宋体"/>
          <w:szCs w:val="24"/>
          <w:highlight w:val="none"/>
        </w:rPr>
        <w:t>药师在患者骨髓抑制评估表中详细记录患者的具体情况并形成评估报告</w:t>
      </w:r>
      <w:r>
        <w:rPr>
          <w:rFonts w:ascii="宋体" w:hAnsi="宋体"/>
          <w:szCs w:val="24"/>
          <w:highlight w:val="none"/>
        </w:rPr>
        <w:t>，</w:t>
      </w:r>
      <w:r>
        <w:rPr>
          <w:rFonts w:hint="eastAsia" w:ascii="宋体" w:hAnsi="宋体"/>
          <w:szCs w:val="24"/>
          <w:highlight w:val="none"/>
        </w:rPr>
        <w:t>作为药师进行药学监护的重要依据并提供给医生进行查看</w:t>
      </w:r>
      <w:r>
        <w:rPr>
          <w:rFonts w:ascii="宋体" w:hAnsi="宋体"/>
          <w:szCs w:val="24"/>
          <w:highlight w:val="none"/>
        </w:rPr>
        <w:t>；</w:t>
      </w:r>
      <w:r>
        <w:rPr>
          <w:rFonts w:hint="eastAsia" w:ascii="宋体" w:hAnsi="宋体"/>
          <w:szCs w:val="24"/>
          <w:highlight w:val="none"/>
        </w:rPr>
        <w:t>骨髓抑制评估按照骨髓抑制分度作为评级标准</w:t>
      </w:r>
      <w:r>
        <w:rPr>
          <w:rFonts w:ascii="宋体" w:hAnsi="宋体"/>
          <w:szCs w:val="24"/>
          <w:highlight w:val="none"/>
        </w:rPr>
        <w:t>。</w:t>
      </w:r>
      <w:r>
        <w:rPr>
          <w:rFonts w:hint="eastAsia" w:ascii="宋体" w:hAnsi="宋体"/>
          <w:szCs w:val="24"/>
          <w:highlight w:val="none"/>
        </w:rPr>
        <w:t>药师可对骨髓抑制评估记录进行修改、删除、查询、详情查看及导出打印等操作。</w:t>
      </w:r>
    </w:p>
    <w:p>
      <w:pPr>
        <w:pStyle w:val="5"/>
        <w:numPr>
          <w:ilvl w:val="3"/>
          <w:numId w:val="8"/>
        </w:numPr>
        <w:spacing w:line="360" w:lineRule="auto"/>
        <w:ind w:left="708"/>
        <w:rPr>
          <w:szCs w:val="24"/>
          <w:highlight w:val="none"/>
        </w:rPr>
      </w:pPr>
      <w:r>
        <w:rPr>
          <w:rFonts w:hint="eastAsia"/>
          <w:szCs w:val="24"/>
          <w:highlight w:val="none"/>
        </w:rPr>
        <w:t>体能</w:t>
      </w:r>
      <w:r>
        <w:rPr>
          <w:rFonts w:hint="eastAsia"/>
          <w:szCs w:val="24"/>
          <w:highlight w:val="none"/>
          <w:lang w:eastAsia="zh-Hans"/>
        </w:rPr>
        <w:t>评估</w:t>
      </w:r>
    </w:p>
    <w:p>
      <w:pPr>
        <w:pStyle w:val="18"/>
        <w:rPr>
          <w:rFonts w:ascii="宋体" w:hAnsi="宋体"/>
          <w:szCs w:val="24"/>
          <w:highlight w:val="none"/>
        </w:rPr>
      </w:pPr>
      <w:r>
        <w:rPr>
          <w:rFonts w:hint="eastAsia" w:ascii="宋体" w:hAnsi="宋体"/>
          <w:szCs w:val="24"/>
          <w:highlight w:val="none"/>
        </w:rPr>
        <w:t>药师在患者体能评估表中详细记录患者的具体情况并形成评估报告</w:t>
      </w:r>
      <w:r>
        <w:rPr>
          <w:rFonts w:ascii="宋体" w:hAnsi="宋体"/>
          <w:szCs w:val="24"/>
          <w:highlight w:val="none"/>
        </w:rPr>
        <w:t>，</w:t>
      </w:r>
      <w:r>
        <w:rPr>
          <w:rFonts w:hint="eastAsia" w:ascii="宋体" w:hAnsi="宋体"/>
          <w:szCs w:val="24"/>
          <w:highlight w:val="none"/>
        </w:rPr>
        <w:t>作为药师进行药学监护的重要依据并提供给医生进行查看</w:t>
      </w:r>
      <w:r>
        <w:rPr>
          <w:rFonts w:ascii="宋体" w:hAnsi="宋体"/>
          <w:szCs w:val="24"/>
          <w:highlight w:val="none"/>
        </w:rPr>
        <w:t>；</w:t>
      </w:r>
      <w:r>
        <w:rPr>
          <w:rFonts w:hint="eastAsia" w:ascii="宋体" w:hAnsi="宋体"/>
          <w:szCs w:val="24"/>
          <w:highlight w:val="none"/>
        </w:rPr>
        <w:t>化疗患者体能评估按照KPS功能状态评分和ECOG量表分级作为评级标准</w:t>
      </w:r>
      <w:r>
        <w:rPr>
          <w:rFonts w:ascii="宋体" w:hAnsi="宋体"/>
          <w:szCs w:val="24"/>
          <w:highlight w:val="none"/>
        </w:rPr>
        <w:t>。</w:t>
      </w:r>
      <w:r>
        <w:rPr>
          <w:rFonts w:hint="eastAsia" w:ascii="宋体" w:hAnsi="宋体"/>
          <w:szCs w:val="24"/>
          <w:highlight w:val="none"/>
        </w:rPr>
        <w:t>药师可对体能评估记录进行修改、删除、查询、详情查看及导出打印等操作。</w:t>
      </w:r>
    </w:p>
    <w:p>
      <w:pPr>
        <w:pStyle w:val="5"/>
        <w:numPr>
          <w:ilvl w:val="3"/>
          <w:numId w:val="8"/>
        </w:numPr>
        <w:spacing w:line="360" w:lineRule="auto"/>
        <w:ind w:left="708"/>
        <w:rPr>
          <w:szCs w:val="24"/>
          <w:highlight w:val="none"/>
        </w:rPr>
      </w:pPr>
      <w:r>
        <w:rPr>
          <w:rFonts w:hint="eastAsia"/>
          <w:szCs w:val="24"/>
          <w:highlight w:val="none"/>
        </w:rPr>
        <w:t>疼痛</w:t>
      </w:r>
      <w:r>
        <w:rPr>
          <w:rFonts w:hint="eastAsia"/>
          <w:szCs w:val="24"/>
          <w:highlight w:val="none"/>
          <w:lang w:eastAsia="zh-Hans"/>
        </w:rPr>
        <w:t>评估</w:t>
      </w:r>
    </w:p>
    <w:p>
      <w:pPr>
        <w:pStyle w:val="18"/>
        <w:rPr>
          <w:rFonts w:ascii="宋体" w:hAnsi="宋体"/>
          <w:szCs w:val="24"/>
          <w:highlight w:val="none"/>
        </w:rPr>
      </w:pPr>
      <w:r>
        <w:rPr>
          <w:rFonts w:hint="eastAsia" w:ascii="宋体" w:hAnsi="宋体"/>
          <w:szCs w:val="24"/>
          <w:highlight w:val="none"/>
        </w:rPr>
        <w:t>药师在患者疼痛评估表中详细记录患者的具体情况并形成评估报告</w:t>
      </w:r>
      <w:r>
        <w:rPr>
          <w:rFonts w:ascii="宋体" w:hAnsi="宋体"/>
          <w:szCs w:val="24"/>
          <w:highlight w:val="none"/>
        </w:rPr>
        <w:t>，</w:t>
      </w:r>
      <w:r>
        <w:rPr>
          <w:rFonts w:hint="eastAsia" w:ascii="宋体" w:hAnsi="宋体"/>
          <w:szCs w:val="24"/>
          <w:highlight w:val="none"/>
        </w:rPr>
        <w:t>作为药师进行药学监护的重要依据并提供给医生进行查看</w:t>
      </w:r>
      <w:r>
        <w:rPr>
          <w:rFonts w:ascii="宋体" w:hAnsi="宋体"/>
          <w:szCs w:val="24"/>
          <w:highlight w:val="none"/>
        </w:rPr>
        <w:t>；</w:t>
      </w:r>
      <w:r>
        <w:rPr>
          <w:rFonts w:hint="eastAsia" w:ascii="宋体" w:hAnsi="宋体"/>
          <w:szCs w:val="24"/>
          <w:highlight w:val="none"/>
        </w:rPr>
        <w:t>药师可对疼痛评估记录进行修改、删除、查询、详情查看及导出打印等操作。</w:t>
      </w:r>
    </w:p>
    <w:p>
      <w:pPr>
        <w:pStyle w:val="4"/>
        <w:numPr>
          <w:ilvl w:val="2"/>
          <w:numId w:val="8"/>
        </w:numPr>
        <w:spacing w:line="360" w:lineRule="auto"/>
        <w:ind w:left="567"/>
        <w:rPr>
          <w:szCs w:val="24"/>
          <w:highlight w:val="none"/>
        </w:rPr>
      </w:pPr>
      <w:bookmarkStart w:id="65" w:name="_Toc154688556"/>
      <w:r>
        <w:rPr>
          <w:rFonts w:hint="eastAsia"/>
          <w:szCs w:val="24"/>
          <w:highlight w:val="none"/>
        </w:rPr>
        <w:t>电子药历</w:t>
      </w:r>
      <w:bookmarkEnd w:id="65"/>
    </w:p>
    <w:p>
      <w:pPr>
        <w:pStyle w:val="18"/>
        <w:rPr>
          <w:rFonts w:ascii="宋体" w:hAnsi="宋体"/>
          <w:szCs w:val="24"/>
          <w:highlight w:val="none"/>
        </w:rPr>
      </w:pPr>
      <w:r>
        <w:rPr>
          <w:rFonts w:hint="eastAsia" w:ascii="宋体" w:hAnsi="宋体"/>
          <w:szCs w:val="24"/>
          <w:highlight w:val="none"/>
        </w:rPr>
        <w:t>电子药历作为临床药师在住院患者的药学服务工作的过程记录文档，包括建档、配置模板、导入各类病历数据、编写工作日志等。</w:t>
      </w:r>
    </w:p>
    <w:p>
      <w:pPr>
        <w:pStyle w:val="18"/>
        <w:rPr>
          <w:rFonts w:ascii="宋体" w:hAnsi="宋体"/>
          <w:szCs w:val="24"/>
          <w:highlight w:val="none"/>
        </w:rPr>
      </w:pPr>
      <w:r>
        <w:rPr>
          <w:rFonts w:hint="eastAsia" w:ascii="宋体" w:hAnsi="宋体"/>
          <w:szCs w:val="24"/>
          <w:highlight w:val="none"/>
        </w:rPr>
        <w:t>提供专门的药历编辑器自定义制作药历模板，支持直接调用患者信息到电子药历，提供可配置的药历模板，支持结构化电子药历。药学日志支持图片、表格等数据插入。支持对药历模版的配置，支持进电子病历等系统中自动抓取患者诊疗信息和相关字段；系统能自动重整患者的药学服务信息，自动纳入病史及用药史、入院检查、诊断、并发症及用药、不良反应等信息，减少临床药师的二次输入。</w:t>
      </w:r>
    </w:p>
    <w:p>
      <w:pPr>
        <w:pStyle w:val="5"/>
        <w:numPr>
          <w:ilvl w:val="3"/>
          <w:numId w:val="8"/>
        </w:numPr>
        <w:spacing w:line="360" w:lineRule="auto"/>
        <w:ind w:left="708"/>
        <w:rPr>
          <w:szCs w:val="24"/>
          <w:highlight w:val="none"/>
        </w:rPr>
      </w:pPr>
      <w:r>
        <w:rPr>
          <w:rFonts w:hint="eastAsia"/>
          <w:szCs w:val="24"/>
          <w:highlight w:val="none"/>
        </w:rPr>
        <w:t>病史及用药史</w:t>
      </w:r>
    </w:p>
    <w:p>
      <w:pPr>
        <w:pStyle w:val="18"/>
        <w:rPr>
          <w:rFonts w:ascii="宋体" w:hAnsi="宋体"/>
          <w:szCs w:val="24"/>
          <w:highlight w:val="none"/>
        </w:rPr>
      </w:pPr>
      <w:r>
        <w:rPr>
          <w:rFonts w:hint="eastAsia" w:ascii="宋体" w:hAnsi="宋体"/>
          <w:szCs w:val="24"/>
          <w:highlight w:val="none"/>
        </w:rPr>
        <w:t>支持从电子病历中自动导入患者的病史数据及相关用药史数据</w:t>
      </w:r>
      <w:r>
        <w:rPr>
          <w:rFonts w:ascii="宋体" w:hAnsi="宋体"/>
          <w:szCs w:val="24"/>
          <w:highlight w:val="none"/>
        </w:rPr>
        <w:t>，</w:t>
      </w:r>
      <w:r>
        <w:rPr>
          <w:rFonts w:hint="eastAsia" w:ascii="宋体" w:hAnsi="宋体"/>
          <w:szCs w:val="24"/>
          <w:highlight w:val="none"/>
        </w:rPr>
        <w:t>可对数据进行维护和导出</w:t>
      </w:r>
      <w:r>
        <w:rPr>
          <w:rFonts w:ascii="宋体" w:hAnsi="宋体"/>
          <w:szCs w:val="24"/>
          <w:highlight w:val="none"/>
        </w:rPr>
        <w:t>。</w:t>
      </w:r>
    </w:p>
    <w:p>
      <w:pPr>
        <w:pStyle w:val="5"/>
        <w:numPr>
          <w:ilvl w:val="3"/>
          <w:numId w:val="8"/>
        </w:numPr>
        <w:spacing w:line="360" w:lineRule="auto"/>
        <w:ind w:left="708"/>
        <w:rPr>
          <w:szCs w:val="24"/>
          <w:highlight w:val="none"/>
        </w:rPr>
      </w:pPr>
      <w:r>
        <w:rPr>
          <w:rFonts w:hint="eastAsia"/>
          <w:szCs w:val="24"/>
          <w:highlight w:val="none"/>
          <w:lang w:eastAsia="zh-Hans"/>
        </w:rPr>
        <w:t>入院检查</w:t>
      </w:r>
    </w:p>
    <w:p>
      <w:pPr>
        <w:pStyle w:val="18"/>
        <w:rPr>
          <w:rFonts w:ascii="宋体" w:hAnsi="宋体"/>
          <w:szCs w:val="24"/>
          <w:highlight w:val="none"/>
        </w:rPr>
      </w:pPr>
      <w:r>
        <w:rPr>
          <w:rFonts w:hint="eastAsia" w:ascii="宋体" w:hAnsi="宋体"/>
          <w:szCs w:val="24"/>
          <w:highlight w:val="none"/>
        </w:rPr>
        <w:t>支持从电子病历自动导入患者的入院检查数据</w:t>
      </w:r>
      <w:r>
        <w:rPr>
          <w:rFonts w:ascii="宋体" w:hAnsi="宋体"/>
          <w:szCs w:val="24"/>
          <w:highlight w:val="none"/>
        </w:rPr>
        <w:t>，</w:t>
      </w:r>
      <w:r>
        <w:rPr>
          <w:rFonts w:hint="eastAsia" w:ascii="宋体" w:hAnsi="宋体"/>
          <w:szCs w:val="24"/>
          <w:highlight w:val="none"/>
        </w:rPr>
        <w:t>可对数据进行维护和导出</w:t>
      </w:r>
      <w:r>
        <w:rPr>
          <w:rFonts w:ascii="宋体" w:hAnsi="宋体"/>
          <w:szCs w:val="24"/>
          <w:highlight w:val="none"/>
        </w:rPr>
        <w:t>。</w:t>
      </w:r>
    </w:p>
    <w:p>
      <w:pPr>
        <w:pStyle w:val="5"/>
        <w:numPr>
          <w:ilvl w:val="3"/>
          <w:numId w:val="8"/>
        </w:numPr>
        <w:spacing w:line="360" w:lineRule="auto"/>
        <w:ind w:left="708"/>
        <w:rPr>
          <w:szCs w:val="24"/>
          <w:highlight w:val="none"/>
        </w:rPr>
      </w:pPr>
      <w:r>
        <w:rPr>
          <w:rFonts w:hint="eastAsia"/>
          <w:szCs w:val="24"/>
          <w:highlight w:val="none"/>
        </w:rPr>
        <w:t>入院</w:t>
      </w:r>
      <w:r>
        <w:rPr>
          <w:rFonts w:hint="eastAsia"/>
          <w:szCs w:val="24"/>
          <w:highlight w:val="none"/>
          <w:lang w:eastAsia="zh-Hans"/>
        </w:rPr>
        <w:t>诊断</w:t>
      </w:r>
    </w:p>
    <w:p>
      <w:pPr>
        <w:pStyle w:val="18"/>
        <w:rPr>
          <w:rFonts w:ascii="宋体" w:hAnsi="宋体"/>
          <w:szCs w:val="24"/>
          <w:highlight w:val="none"/>
        </w:rPr>
      </w:pPr>
      <w:r>
        <w:rPr>
          <w:rFonts w:hint="eastAsia" w:ascii="宋体" w:hAnsi="宋体"/>
          <w:szCs w:val="24"/>
          <w:highlight w:val="none"/>
        </w:rPr>
        <w:t>支持从电子病历自动导入患者的诊断数据</w:t>
      </w:r>
      <w:r>
        <w:rPr>
          <w:rFonts w:ascii="宋体" w:hAnsi="宋体"/>
          <w:szCs w:val="24"/>
          <w:highlight w:val="none"/>
        </w:rPr>
        <w:t>，</w:t>
      </w:r>
      <w:r>
        <w:rPr>
          <w:rFonts w:hint="eastAsia" w:ascii="宋体" w:hAnsi="宋体"/>
          <w:szCs w:val="24"/>
          <w:highlight w:val="none"/>
        </w:rPr>
        <w:t>可对数据进行维护和导出</w:t>
      </w:r>
      <w:r>
        <w:rPr>
          <w:rFonts w:ascii="宋体" w:hAnsi="宋体"/>
          <w:szCs w:val="24"/>
          <w:highlight w:val="none"/>
        </w:rPr>
        <w:t>。</w:t>
      </w:r>
    </w:p>
    <w:p>
      <w:pPr>
        <w:pStyle w:val="5"/>
        <w:numPr>
          <w:ilvl w:val="3"/>
          <w:numId w:val="8"/>
        </w:numPr>
        <w:spacing w:line="360" w:lineRule="auto"/>
        <w:ind w:left="708"/>
        <w:rPr>
          <w:szCs w:val="24"/>
          <w:highlight w:val="none"/>
        </w:rPr>
      </w:pPr>
      <w:r>
        <w:rPr>
          <w:rFonts w:hint="eastAsia"/>
          <w:szCs w:val="24"/>
          <w:highlight w:val="none"/>
        </w:rPr>
        <w:t>并发症及</w:t>
      </w:r>
      <w:r>
        <w:rPr>
          <w:rFonts w:hint="eastAsia"/>
          <w:szCs w:val="24"/>
          <w:highlight w:val="none"/>
          <w:lang w:eastAsia="zh-Hans"/>
        </w:rPr>
        <w:t>用药</w:t>
      </w:r>
    </w:p>
    <w:p>
      <w:pPr>
        <w:pStyle w:val="18"/>
        <w:rPr>
          <w:rFonts w:ascii="宋体" w:hAnsi="宋体"/>
          <w:szCs w:val="24"/>
          <w:highlight w:val="none"/>
        </w:rPr>
      </w:pPr>
      <w:r>
        <w:rPr>
          <w:rFonts w:hint="eastAsia" w:ascii="宋体" w:hAnsi="宋体"/>
          <w:szCs w:val="24"/>
          <w:highlight w:val="none"/>
        </w:rPr>
        <w:t>支持从电子病历自动导入患者的并发症及用药数据</w:t>
      </w:r>
      <w:r>
        <w:rPr>
          <w:rFonts w:ascii="宋体" w:hAnsi="宋体"/>
          <w:szCs w:val="24"/>
          <w:highlight w:val="none"/>
        </w:rPr>
        <w:t>，</w:t>
      </w:r>
      <w:r>
        <w:rPr>
          <w:rFonts w:hint="eastAsia" w:ascii="宋体" w:hAnsi="宋体"/>
          <w:szCs w:val="24"/>
          <w:highlight w:val="none"/>
        </w:rPr>
        <w:t>可对数据进行维护和导出</w:t>
      </w:r>
      <w:r>
        <w:rPr>
          <w:rFonts w:ascii="宋体" w:hAnsi="宋体"/>
          <w:szCs w:val="24"/>
          <w:highlight w:val="none"/>
        </w:rPr>
        <w:t>。</w:t>
      </w:r>
    </w:p>
    <w:p>
      <w:pPr>
        <w:pStyle w:val="5"/>
        <w:numPr>
          <w:ilvl w:val="3"/>
          <w:numId w:val="8"/>
        </w:numPr>
        <w:spacing w:line="360" w:lineRule="auto"/>
        <w:ind w:left="708"/>
        <w:rPr>
          <w:szCs w:val="24"/>
          <w:highlight w:val="none"/>
        </w:rPr>
      </w:pPr>
      <w:r>
        <w:rPr>
          <w:rFonts w:hint="eastAsia"/>
          <w:szCs w:val="24"/>
          <w:highlight w:val="none"/>
          <w:lang w:eastAsia="zh-Hans"/>
        </w:rPr>
        <w:t>不良反应</w:t>
      </w:r>
    </w:p>
    <w:p>
      <w:pPr>
        <w:pStyle w:val="18"/>
        <w:rPr>
          <w:rFonts w:ascii="宋体" w:hAnsi="宋体"/>
          <w:szCs w:val="24"/>
          <w:highlight w:val="none"/>
        </w:rPr>
      </w:pPr>
      <w:r>
        <w:rPr>
          <w:rFonts w:hint="eastAsia" w:ascii="宋体" w:hAnsi="宋体"/>
          <w:szCs w:val="24"/>
          <w:highlight w:val="none"/>
        </w:rPr>
        <w:t>支持从药学监护管理系统的不良反应监测模块导入患者的不良反应数据</w:t>
      </w:r>
      <w:r>
        <w:rPr>
          <w:rFonts w:ascii="宋体" w:hAnsi="宋体"/>
          <w:szCs w:val="24"/>
          <w:highlight w:val="none"/>
        </w:rPr>
        <w:t>，</w:t>
      </w:r>
      <w:r>
        <w:rPr>
          <w:rFonts w:hint="eastAsia" w:ascii="宋体" w:hAnsi="宋体"/>
          <w:szCs w:val="24"/>
          <w:highlight w:val="none"/>
        </w:rPr>
        <w:t>可对数据进行维护和导出</w:t>
      </w:r>
      <w:r>
        <w:rPr>
          <w:rFonts w:ascii="宋体" w:hAnsi="宋体"/>
          <w:szCs w:val="24"/>
          <w:highlight w:val="none"/>
        </w:rPr>
        <w:t>。</w:t>
      </w:r>
    </w:p>
    <w:p>
      <w:pPr>
        <w:pStyle w:val="5"/>
        <w:numPr>
          <w:ilvl w:val="3"/>
          <w:numId w:val="8"/>
        </w:numPr>
        <w:spacing w:line="360" w:lineRule="auto"/>
        <w:ind w:left="708"/>
        <w:rPr>
          <w:szCs w:val="24"/>
          <w:highlight w:val="none"/>
        </w:rPr>
      </w:pPr>
      <w:r>
        <w:rPr>
          <w:rFonts w:hint="eastAsia"/>
          <w:szCs w:val="24"/>
          <w:highlight w:val="none"/>
        </w:rPr>
        <w:t>初始治疗方案与药物监护</w:t>
      </w:r>
    </w:p>
    <w:p>
      <w:pPr>
        <w:pStyle w:val="18"/>
        <w:rPr>
          <w:rFonts w:ascii="宋体" w:hAnsi="宋体"/>
          <w:szCs w:val="24"/>
          <w:highlight w:val="none"/>
        </w:rPr>
      </w:pPr>
      <w:r>
        <w:rPr>
          <w:rFonts w:hint="eastAsia" w:ascii="宋体" w:hAnsi="宋体"/>
          <w:szCs w:val="24"/>
          <w:highlight w:val="none"/>
        </w:rPr>
        <w:t>支持药师为患者撰写初始治疗方案，可导入患者的医嘱信息</w:t>
      </w:r>
      <w:r>
        <w:rPr>
          <w:rFonts w:ascii="宋体" w:hAnsi="宋体"/>
          <w:szCs w:val="24"/>
          <w:highlight w:val="none"/>
        </w:rPr>
        <w:t>，</w:t>
      </w:r>
      <w:r>
        <w:rPr>
          <w:rFonts w:hint="eastAsia" w:ascii="宋体" w:hAnsi="宋体"/>
          <w:szCs w:val="24"/>
          <w:highlight w:val="none"/>
        </w:rPr>
        <w:t>药师可对初始治疗方案进行修改、删除、详情查看等操作。</w:t>
      </w:r>
    </w:p>
    <w:p>
      <w:pPr>
        <w:pStyle w:val="5"/>
        <w:numPr>
          <w:ilvl w:val="3"/>
          <w:numId w:val="8"/>
        </w:numPr>
        <w:spacing w:line="360" w:lineRule="auto"/>
        <w:ind w:left="708"/>
        <w:rPr>
          <w:szCs w:val="24"/>
          <w:highlight w:val="none"/>
        </w:rPr>
      </w:pPr>
      <w:r>
        <w:rPr>
          <w:rFonts w:hint="eastAsia"/>
          <w:szCs w:val="24"/>
          <w:highlight w:val="none"/>
        </w:rPr>
        <w:t>其他治疗</w:t>
      </w:r>
      <w:r>
        <w:rPr>
          <w:rFonts w:hint="eastAsia"/>
          <w:szCs w:val="24"/>
          <w:highlight w:val="none"/>
          <w:lang w:eastAsia="zh-Hans"/>
        </w:rPr>
        <w:t>药物</w:t>
      </w:r>
    </w:p>
    <w:p>
      <w:pPr>
        <w:pStyle w:val="18"/>
        <w:rPr>
          <w:rFonts w:ascii="宋体" w:hAnsi="宋体"/>
          <w:szCs w:val="24"/>
          <w:highlight w:val="none"/>
        </w:rPr>
      </w:pPr>
      <w:r>
        <w:rPr>
          <w:rFonts w:hint="eastAsia" w:ascii="宋体" w:hAnsi="宋体"/>
          <w:szCs w:val="24"/>
          <w:highlight w:val="none"/>
        </w:rPr>
        <w:t>支持药师为患者撰写其他药物的治疗方案</w:t>
      </w:r>
      <w:r>
        <w:rPr>
          <w:rFonts w:ascii="宋体" w:hAnsi="宋体"/>
          <w:szCs w:val="24"/>
          <w:highlight w:val="none"/>
        </w:rPr>
        <w:t>，</w:t>
      </w:r>
      <w:r>
        <w:rPr>
          <w:rFonts w:hint="eastAsia" w:ascii="宋体" w:hAnsi="宋体"/>
          <w:szCs w:val="24"/>
          <w:highlight w:val="none"/>
        </w:rPr>
        <w:t>可导入患者的医嘱信息</w:t>
      </w:r>
      <w:r>
        <w:rPr>
          <w:rFonts w:ascii="宋体" w:hAnsi="宋体"/>
          <w:szCs w:val="24"/>
          <w:highlight w:val="none"/>
        </w:rPr>
        <w:t>，</w:t>
      </w:r>
      <w:r>
        <w:rPr>
          <w:rFonts w:hint="eastAsia" w:ascii="宋体" w:hAnsi="宋体"/>
          <w:szCs w:val="24"/>
          <w:highlight w:val="none"/>
        </w:rPr>
        <w:t>药师可对其他治疗药物方案进行修改、删除、详情查看等操作</w:t>
      </w:r>
      <w:r>
        <w:rPr>
          <w:rFonts w:ascii="宋体" w:hAnsi="宋体"/>
          <w:szCs w:val="24"/>
          <w:highlight w:val="none"/>
        </w:rPr>
        <w:t>。</w:t>
      </w:r>
    </w:p>
    <w:p>
      <w:pPr>
        <w:pStyle w:val="5"/>
        <w:numPr>
          <w:ilvl w:val="3"/>
          <w:numId w:val="8"/>
        </w:numPr>
        <w:spacing w:line="360" w:lineRule="auto"/>
        <w:ind w:left="708"/>
        <w:rPr>
          <w:szCs w:val="24"/>
          <w:highlight w:val="none"/>
        </w:rPr>
      </w:pPr>
      <w:r>
        <w:rPr>
          <w:szCs w:val="24"/>
          <w:highlight w:val="none"/>
        </w:rPr>
        <w:t>药物重整</w:t>
      </w:r>
      <w:r>
        <w:rPr>
          <w:rFonts w:hint="eastAsia"/>
          <w:szCs w:val="24"/>
          <w:highlight w:val="none"/>
        </w:rPr>
        <w:t>记录导入</w:t>
      </w:r>
    </w:p>
    <w:p>
      <w:pPr>
        <w:pStyle w:val="18"/>
        <w:rPr>
          <w:rFonts w:ascii="宋体" w:hAnsi="宋体"/>
          <w:szCs w:val="24"/>
          <w:highlight w:val="none"/>
        </w:rPr>
      </w:pPr>
      <w:r>
        <w:rPr>
          <w:rFonts w:hint="eastAsia" w:ascii="宋体" w:hAnsi="宋体"/>
          <w:szCs w:val="24"/>
          <w:highlight w:val="none"/>
        </w:rPr>
        <w:t>支持从药学监护管理系统的“药物重整”模块导入药师为患者所做的重整记录</w:t>
      </w:r>
      <w:r>
        <w:rPr>
          <w:rFonts w:ascii="宋体" w:hAnsi="宋体"/>
          <w:szCs w:val="24"/>
          <w:highlight w:val="none"/>
        </w:rPr>
        <w:t>，</w:t>
      </w:r>
      <w:r>
        <w:rPr>
          <w:rFonts w:hint="eastAsia" w:ascii="宋体" w:hAnsi="宋体"/>
          <w:szCs w:val="24"/>
          <w:highlight w:val="none"/>
        </w:rPr>
        <w:t>并对记录进行维护和导出，快速生成药物重整计划，应支持药师将重整计划反馈给临床医生并记录医生采纳情况。支持药师将不合理医嘱一键生成用药建议，反馈给临床医生并记录医生采纳情况。</w:t>
      </w:r>
    </w:p>
    <w:p>
      <w:pPr>
        <w:pStyle w:val="5"/>
        <w:numPr>
          <w:ilvl w:val="3"/>
          <w:numId w:val="8"/>
        </w:numPr>
        <w:spacing w:line="360" w:lineRule="auto"/>
        <w:ind w:left="708"/>
        <w:rPr>
          <w:szCs w:val="24"/>
          <w:highlight w:val="none"/>
        </w:rPr>
      </w:pPr>
      <w:r>
        <w:rPr>
          <w:szCs w:val="24"/>
          <w:highlight w:val="none"/>
          <w:lang w:eastAsia="zh-Hans"/>
        </w:rPr>
        <w:t>药学</w:t>
      </w:r>
      <w:r>
        <w:rPr>
          <w:szCs w:val="24"/>
          <w:highlight w:val="none"/>
        </w:rPr>
        <w:t>建议</w:t>
      </w:r>
      <w:r>
        <w:rPr>
          <w:rFonts w:hint="eastAsia"/>
          <w:szCs w:val="24"/>
          <w:highlight w:val="none"/>
        </w:rPr>
        <w:t>记录导入</w:t>
      </w:r>
    </w:p>
    <w:p>
      <w:pPr>
        <w:pStyle w:val="18"/>
        <w:rPr>
          <w:rFonts w:ascii="宋体" w:hAnsi="宋体"/>
          <w:szCs w:val="24"/>
          <w:highlight w:val="none"/>
        </w:rPr>
      </w:pPr>
      <w:r>
        <w:rPr>
          <w:rFonts w:hint="eastAsia" w:ascii="宋体" w:hAnsi="宋体"/>
          <w:szCs w:val="24"/>
          <w:highlight w:val="none"/>
        </w:rPr>
        <w:t>支持从药学监护管理系统的“药学建议”模块导入药师为患者写的用药建议记录</w:t>
      </w:r>
      <w:r>
        <w:rPr>
          <w:rFonts w:ascii="宋体" w:hAnsi="宋体"/>
          <w:szCs w:val="24"/>
          <w:highlight w:val="none"/>
        </w:rPr>
        <w:t>，</w:t>
      </w:r>
      <w:r>
        <w:rPr>
          <w:rFonts w:hint="eastAsia" w:ascii="宋体" w:hAnsi="宋体"/>
          <w:szCs w:val="24"/>
          <w:highlight w:val="none"/>
        </w:rPr>
        <w:t>并对记录进行维护和导出</w:t>
      </w:r>
      <w:r>
        <w:rPr>
          <w:rFonts w:ascii="宋体" w:hAnsi="宋体"/>
          <w:szCs w:val="24"/>
          <w:highlight w:val="none"/>
        </w:rPr>
        <w:t>。</w:t>
      </w:r>
    </w:p>
    <w:p>
      <w:pPr>
        <w:pStyle w:val="5"/>
        <w:numPr>
          <w:ilvl w:val="3"/>
          <w:numId w:val="8"/>
        </w:numPr>
        <w:spacing w:line="360" w:lineRule="auto"/>
        <w:ind w:left="708"/>
        <w:rPr>
          <w:szCs w:val="24"/>
          <w:highlight w:val="none"/>
        </w:rPr>
      </w:pPr>
      <w:r>
        <w:rPr>
          <w:szCs w:val="24"/>
          <w:highlight w:val="none"/>
        </w:rPr>
        <w:t>用药教育</w:t>
      </w:r>
      <w:r>
        <w:rPr>
          <w:rFonts w:hint="eastAsia"/>
          <w:szCs w:val="24"/>
          <w:highlight w:val="none"/>
        </w:rPr>
        <w:t>记录导入</w:t>
      </w:r>
    </w:p>
    <w:p>
      <w:pPr>
        <w:pStyle w:val="18"/>
        <w:rPr>
          <w:rFonts w:ascii="宋体" w:hAnsi="宋体"/>
          <w:szCs w:val="24"/>
          <w:highlight w:val="none"/>
        </w:rPr>
      </w:pPr>
      <w:r>
        <w:rPr>
          <w:rFonts w:hint="eastAsia" w:ascii="宋体" w:hAnsi="宋体"/>
          <w:szCs w:val="24"/>
          <w:highlight w:val="none"/>
        </w:rPr>
        <w:t>支持从药学监护管理系统的“用药教育”模块导入药师为患者制作的用药教育内容</w:t>
      </w:r>
      <w:r>
        <w:rPr>
          <w:rFonts w:ascii="宋体" w:hAnsi="宋体"/>
          <w:szCs w:val="24"/>
          <w:highlight w:val="none"/>
        </w:rPr>
        <w:t>，</w:t>
      </w:r>
      <w:r>
        <w:rPr>
          <w:rFonts w:hint="eastAsia" w:ascii="宋体" w:hAnsi="宋体"/>
          <w:szCs w:val="24"/>
          <w:highlight w:val="none"/>
        </w:rPr>
        <w:t>并对记录进行维护和导出</w:t>
      </w:r>
      <w:r>
        <w:rPr>
          <w:rFonts w:ascii="宋体" w:hAnsi="宋体"/>
          <w:szCs w:val="24"/>
          <w:highlight w:val="none"/>
        </w:rPr>
        <w:t>。</w:t>
      </w:r>
    </w:p>
    <w:p>
      <w:pPr>
        <w:pStyle w:val="5"/>
        <w:numPr>
          <w:ilvl w:val="3"/>
          <w:numId w:val="8"/>
        </w:numPr>
        <w:spacing w:line="360" w:lineRule="auto"/>
        <w:ind w:left="708"/>
        <w:rPr>
          <w:szCs w:val="24"/>
          <w:highlight w:val="none"/>
        </w:rPr>
      </w:pPr>
      <w:r>
        <w:rPr>
          <w:rFonts w:hint="eastAsia"/>
          <w:szCs w:val="24"/>
          <w:highlight w:val="none"/>
        </w:rPr>
        <w:t>药学查房记录导入</w:t>
      </w:r>
    </w:p>
    <w:p>
      <w:pPr>
        <w:pStyle w:val="18"/>
        <w:rPr>
          <w:rFonts w:ascii="宋体" w:hAnsi="宋体"/>
          <w:szCs w:val="24"/>
          <w:highlight w:val="none"/>
        </w:rPr>
      </w:pPr>
      <w:r>
        <w:rPr>
          <w:rFonts w:hint="eastAsia" w:ascii="宋体" w:hAnsi="宋体"/>
          <w:szCs w:val="24"/>
          <w:highlight w:val="none"/>
        </w:rPr>
        <w:t>支持从药学监护管理系统的“药学查房”模块导入药师为患者所做的查房记录</w:t>
      </w:r>
      <w:r>
        <w:rPr>
          <w:rFonts w:ascii="宋体" w:hAnsi="宋体"/>
          <w:szCs w:val="24"/>
          <w:highlight w:val="none"/>
        </w:rPr>
        <w:t>，</w:t>
      </w:r>
      <w:r>
        <w:rPr>
          <w:rFonts w:hint="eastAsia" w:ascii="宋体" w:hAnsi="宋体"/>
          <w:szCs w:val="24"/>
          <w:highlight w:val="none"/>
        </w:rPr>
        <w:t>并对记录进行维护和导出</w:t>
      </w:r>
      <w:r>
        <w:rPr>
          <w:rFonts w:ascii="宋体" w:hAnsi="宋体"/>
          <w:szCs w:val="24"/>
          <w:highlight w:val="none"/>
        </w:rPr>
        <w:t>。</w:t>
      </w:r>
    </w:p>
    <w:p>
      <w:pPr>
        <w:pStyle w:val="5"/>
        <w:numPr>
          <w:ilvl w:val="3"/>
          <w:numId w:val="8"/>
        </w:numPr>
        <w:spacing w:line="360" w:lineRule="auto"/>
        <w:ind w:left="708"/>
        <w:rPr>
          <w:szCs w:val="24"/>
          <w:highlight w:val="none"/>
        </w:rPr>
      </w:pPr>
      <w:r>
        <w:rPr>
          <w:rFonts w:hint="eastAsia"/>
          <w:szCs w:val="24"/>
          <w:highlight w:val="none"/>
        </w:rPr>
        <w:t>用药记录导入</w:t>
      </w:r>
    </w:p>
    <w:p>
      <w:pPr>
        <w:pStyle w:val="18"/>
        <w:rPr>
          <w:rFonts w:ascii="宋体" w:hAnsi="宋体"/>
          <w:szCs w:val="24"/>
          <w:highlight w:val="none"/>
        </w:rPr>
      </w:pPr>
      <w:r>
        <w:rPr>
          <w:rFonts w:hint="eastAsia" w:ascii="宋体" w:hAnsi="宋体"/>
          <w:szCs w:val="24"/>
          <w:highlight w:val="none"/>
        </w:rPr>
        <w:t>支持从现有合理用药系统导入患者的用药记录</w:t>
      </w:r>
      <w:r>
        <w:rPr>
          <w:rFonts w:ascii="宋体" w:hAnsi="宋体"/>
          <w:szCs w:val="24"/>
          <w:highlight w:val="none"/>
        </w:rPr>
        <w:t>，</w:t>
      </w:r>
      <w:r>
        <w:rPr>
          <w:rFonts w:hint="eastAsia" w:ascii="宋体" w:hAnsi="宋体"/>
          <w:szCs w:val="24"/>
          <w:highlight w:val="none"/>
        </w:rPr>
        <w:t>包含了门诊用药记录</w:t>
      </w:r>
      <w:r>
        <w:rPr>
          <w:rFonts w:ascii="宋体" w:hAnsi="宋体"/>
          <w:szCs w:val="24"/>
          <w:highlight w:val="none"/>
        </w:rPr>
        <w:t>、</w:t>
      </w:r>
      <w:r>
        <w:rPr>
          <w:rFonts w:hint="eastAsia" w:ascii="宋体" w:hAnsi="宋体"/>
          <w:szCs w:val="24"/>
          <w:highlight w:val="none"/>
        </w:rPr>
        <w:t>住院用药记录以及出院带药记录</w:t>
      </w:r>
      <w:r>
        <w:rPr>
          <w:rFonts w:ascii="宋体" w:hAnsi="宋体"/>
          <w:szCs w:val="24"/>
          <w:highlight w:val="none"/>
        </w:rPr>
        <w:t>。</w:t>
      </w:r>
    </w:p>
    <w:p>
      <w:pPr>
        <w:pStyle w:val="5"/>
        <w:numPr>
          <w:ilvl w:val="3"/>
          <w:numId w:val="8"/>
        </w:numPr>
        <w:spacing w:line="360" w:lineRule="auto"/>
        <w:ind w:left="708"/>
        <w:rPr>
          <w:szCs w:val="24"/>
          <w:highlight w:val="none"/>
        </w:rPr>
      </w:pPr>
      <w:r>
        <w:rPr>
          <w:rFonts w:hint="eastAsia"/>
          <w:szCs w:val="24"/>
          <w:highlight w:val="none"/>
          <w:lang w:eastAsia="zh-Hans"/>
        </w:rPr>
        <w:t>药学</w:t>
      </w:r>
      <w:r>
        <w:rPr>
          <w:rFonts w:hint="eastAsia"/>
          <w:szCs w:val="24"/>
          <w:highlight w:val="none"/>
        </w:rPr>
        <w:t>会诊记录导入</w:t>
      </w:r>
    </w:p>
    <w:p>
      <w:pPr>
        <w:pStyle w:val="18"/>
        <w:rPr>
          <w:rFonts w:ascii="宋体" w:hAnsi="宋体"/>
          <w:szCs w:val="24"/>
          <w:highlight w:val="none"/>
        </w:rPr>
      </w:pPr>
      <w:r>
        <w:rPr>
          <w:rFonts w:hint="eastAsia" w:ascii="宋体" w:hAnsi="宋体"/>
          <w:szCs w:val="24"/>
          <w:highlight w:val="none"/>
        </w:rPr>
        <w:t>支持从药学监护管理系统“药学会诊”模块导入会诊记录数据</w:t>
      </w:r>
      <w:r>
        <w:rPr>
          <w:rFonts w:ascii="宋体" w:hAnsi="宋体"/>
          <w:szCs w:val="24"/>
          <w:highlight w:val="none"/>
        </w:rPr>
        <w:t>，</w:t>
      </w:r>
      <w:r>
        <w:rPr>
          <w:rFonts w:hint="eastAsia" w:ascii="宋体" w:hAnsi="宋体"/>
          <w:szCs w:val="24"/>
          <w:highlight w:val="none"/>
        </w:rPr>
        <w:t>并对数据进行维护和导出</w:t>
      </w:r>
      <w:r>
        <w:rPr>
          <w:rFonts w:ascii="宋体" w:hAnsi="宋体"/>
          <w:szCs w:val="24"/>
          <w:highlight w:val="none"/>
        </w:rPr>
        <w:t>。</w:t>
      </w:r>
      <w:r>
        <w:rPr>
          <w:rFonts w:hint="eastAsia" w:ascii="宋体" w:hAnsi="宋体"/>
          <w:szCs w:val="24"/>
          <w:highlight w:val="none"/>
        </w:rPr>
        <w:t>或药师可在药学监护管理系统收到临床医生在电子病历系统的会诊申请，并且药师在药学监护管理系统可直接输入会诊意见，数据可同步到电子病历系统。药师还可以在药学监护管理系统进行会诊收费。</w:t>
      </w:r>
    </w:p>
    <w:p>
      <w:pPr>
        <w:pStyle w:val="5"/>
        <w:numPr>
          <w:ilvl w:val="3"/>
          <w:numId w:val="8"/>
        </w:numPr>
        <w:spacing w:line="360" w:lineRule="auto"/>
        <w:ind w:left="708"/>
        <w:rPr>
          <w:szCs w:val="24"/>
          <w:highlight w:val="none"/>
        </w:rPr>
      </w:pPr>
      <w:r>
        <w:rPr>
          <w:rFonts w:hint="eastAsia"/>
          <w:szCs w:val="24"/>
          <w:highlight w:val="none"/>
        </w:rPr>
        <w:t>药物治疗</w:t>
      </w:r>
      <w:r>
        <w:rPr>
          <w:rFonts w:hint="eastAsia"/>
          <w:szCs w:val="24"/>
          <w:highlight w:val="none"/>
          <w:lang w:eastAsia="zh-Hans"/>
        </w:rPr>
        <w:t>总结</w:t>
      </w:r>
    </w:p>
    <w:p>
      <w:pPr>
        <w:pStyle w:val="18"/>
        <w:rPr>
          <w:rFonts w:ascii="宋体" w:hAnsi="宋体"/>
          <w:szCs w:val="24"/>
          <w:highlight w:val="none"/>
        </w:rPr>
      </w:pPr>
      <w:r>
        <w:rPr>
          <w:rFonts w:hint="eastAsia" w:ascii="宋体" w:hAnsi="宋体"/>
          <w:szCs w:val="24"/>
          <w:highlight w:val="none"/>
        </w:rPr>
        <w:t>支持药师为患者撰写治疗方案总结</w:t>
      </w:r>
      <w:r>
        <w:rPr>
          <w:rFonts w:ascii="宋体" w:hAnsi="宋体"/>
          <w:szCs w:val="24"/>
          <w:highlight w:val="none"/>
        </w:rPr>
        <w:t>，</w:t>
      </w:r>
      <w:r>
        <w:rPr>
          <w:rFonts w:hint="eastAsia" w:ascii="宋体" w:hAnsi="宋体"/>
          <w:szCs w:val="24"/>
          <w:highlight w:val="none"/>
        </w:rPr>
        <w:t>药师可药物治疗总结进行修改、删除、详情查看等操作</w:t>
      </w:r>
      <w:r>
        <w:rPr>
          <w:rFonts w:ascii="宋体" w:hAnsi="宋体"/>
          <w:szCs w:val="24"/>
          <w:highlight w:val="none"/>
        </w:rPr>
        <w:t>。</w:t>
      </w:r>
    </w:p>
    <w:p>
      <w:pPr>
        <w:pStyle w:val="5"/>
        <w:numPr>
          <w:ilvl w:val="3"/>
          <w:numId w:val="8"/>
        </w:numPr>
        <w:spacing w:line="360" w:lineRule="auto"/>
        <w:ind w:left="708"/>
        <w:rPr>
          <w:szCs w:val="24"/>
          <w:highlight w:val="none"/>
        </w:rPr>
      </w:pPr>
      <w:r>
        <w:rPr>
          <w:szCs w:val="24"/>
          <w:highlight w:val="none"/>
        </w:rPr>
        <w:t>电子药历</w:t>
      </w:r>
      <w:r>
        <w:rPr>
          <w:szCs w:val="24"/>
          <w:highlight w:val="none"/>
          <w:lang w:eastAsia="zh-Hans"/>
        </w:rPr>
        <w:t>评分</w:t>
      </w:r>
    </w:p>
    <w:p>
      <w:pPr>
        <w:pStyle w:val="18"/>
        <w:rPr>
          <w:rFonts w:ascii="宋体" w:hAnsi="宋体"/>
          <w:szCs w:val="24"/>
          <w:highlight w:val="none"/>
        </w:rPr>
      </w:pPr>
      <w:r>
        <w:rPr>
          <w:rFonts w:hint="eastAsia" w:ascii="宋体" w:hAnsi="宋体"/>
          <w:szCs w:val="24"/>
          <w:highlight w:val="none"/>
        </w:rPr>
        <w:t>支持药学负责人对电子药历进行评分</w:t>
      </w:r>
      <w:r>
        <w:rPr>
          <w:rFonts w:ascii="宋体" w:hAnsi="宋体"/>
          <w:szCs w:val="24"/>
          <w:highlight w:val="none"/>
        </w:rPr>
        <w:t>，</w:t>
      </w:r>
      <w:r>
        <w:rPr>
          <w:rFonts w:hint="eastAsia" w:ascii="宋体" w:hAnsi="宋体"/>
          <w:szCs w:val="24"/>
          <w:highlight w:val="none"/>
        </w:rPr>
        <w:t>评分的结果将在电子药历中进行展示</w:t>
      </w:r>
      <w:r>
        <w:rPr>
          <w:rFonts w:ascii="宋体" w:hAnsi="宋体"/>
          <w:szCs w:val="24"/>
          <w:highlight w:val="none"/>
        </w:rPr>
        <w:t>。</w:t>
      </w:r>
      <w:r>
        <w:rPr>
          <w:rFonts w:hint="eastAsia" w:ascii="宋体" w:hAnsi="宋体"/>
          <w:szCs w:val="24"/>
          <w:highlight w:val="none"/>
        </w:rPr>
        <w:t>药学负责人可对评分记录进行修改、删除、详情查看等操作。</w:t>
      </w:r>
    </w:p>
    <w:p>
      <w:pPr>
        <w:pStyle w:val="5"/>
        <w:numPr>
          <w:ilvl w:val="3"/>
          <w:numId w:val="9"/>
        </w:numPr>
        <w:ind w:left="709"/>
        <w:rPr>
          <w:szCs w:val="24"/>
          <w:highlight w:val="none"/>
        </w:rPr>
      </w:pPr>
      <w:r>
        <w:rPr>
          <w:rFonts w:hint="eastAsia"/>
          <w:szCs w:val="24"/>
          <w:highlight w:val="none"/>
        </w:rPr>
        <w:t>带教学习功能</w:t>
      </w:r>
    </w:p>
    <w:p>
      <w:pPr>
        <w:pStyle w:val="18"/>
        <w:rPr>
          <w:highlight w:val="none"/>
        </w:rPr>
      </w:pPr>
      <w:r>
        <w:rPr>
          <w:rFonts w:hint="eastAsia" w:ascii="宋体" w:hAnsi="宋体"/>
          <w:szCs w:val="24"/>
          <w:highlight w:val="none"/>
        </w:rPr>
        <w:t>支持提供带教模块（模块需包含中华医学会、中国医院协会临床药师规范化培训所需完成内容），提供学员账号，带教老师可自定义学员权限，学员药学记录需提交老师审核、批改。</w:t>
      </w:r>
    </w:p>
    <w:p>
      <w:pPr>
        <w:pStyle w:val="5"/>
        <w:numPr>
          <w:ilvl w:val="3"/>
          <w:numId w:val="9"/>
        </w:numPr>
        <w:ind w:left="709"/>
        <w:rPr>
          <w:szCs w:val="24"/>
          <w:highlight w:val="none"/>
        </w:rPr>
      </w:pPr>
      <w:r>
        <w:rPr>
          <w:rFonts w:hint="eastAsia"/>
          <w:szCs w:val="24"/>
          <w:highlight w:val="none"/>
        </w:rPr>
        <w:t>药历</w:t>
      </w:r>
      <w:r>
        <w:rPr>
          <w:rFonts w:hint="eastAsia"/>
          <w:szCs w:val="24"/>
          <w:highlight w:val="none"/>
          <w:lang w:eastAsia="zh-Hans"/>
        </w:rPr>
        <w:t>管</w:t>
      </w:r>
      <w:r>
        <w:rPr>
          <w:szCs w:val="24"/>
          <w:highlight w:val="none"/>
          <w:lang w:eastAsia="zh-Hans"/>
        </w:rPr>
        <w:t>理</w:t>
      </w:r>
    </w:p>
    <w:p>
      <w:pPr>
        <w:pStyle w:val="18"/>
        <w:rPr>
          <w:rFonts w:ascii="宋体" w:hAnsi="宋体"/>
          <w:szCs w:val="24"/>
          <w:highlight w:val="none"/>
        </w:rPr>
      </w:pPr>
      <w:r>
        <w:rPr>
          <w:rFonts w:hint="eastAsia" w:ascii="宋体" w:hAnsi="宋体"/>
          <w:szCs w:val="24"/>
          <w:highlight w:val="none"/>
        </w:rPr>
        <w:t>系统支持对电子药历的各个节点进行配置，配置“展示”的节点可在前台看到，配置“隐藏”的节点则不显示在前台。</w:t>
      </w:r>
    </w:p>
    <w:p>
      <w:pPr>
        <w:pStyle w:val="5"/>
        <w:numPr>
          <w:ilvl w:val="3"/>
          <w:numId w:val="9"/>
        </w:numPr>
        <w:ind w:left="709"/>
        <w:rPr>
          <w:szCs w:val="24"/>
          <w:highlight w:val="none"/>
        </w:rPr>
      </w:pPr>
      <w:r>
        <w:rPr>
          <w:rFonts w:hint="eastAsia"/>
          <w:szCs w:val="24"/>
          <w:highlight w:val="none"/>
        </w:rPr>
        <w:t>药学记录</w:t>
      </w:r>
    </w:p>
    <w:p>
      <w:pPr>
        <w:pStyle w:val="18"/>
        <w:rPr>
          <w:rFonts w:ascii="宋体" w:hAnsi="宋体"/>
          <w:szCs w:val="24"/>
          <w:highlight w:val="none"/>
        </w:rPr>
      </w:pPr>
      <w:r>
        <w:rPr>
          <w:rFonts w:hint="eastAsia" w:ascii="宋体" w:hAnsi="宋体"/>
          <w:szCs w:val="24"/>
          <w:highlight w:val="none"/>
        </w:rPr>
        <w:t>系统应能自动生成我的监护病例/查房备注/带教学习、全院监护记录/发送记录/带教学习、用药建议采纳情况等药学记录供药师查询、处理。系统应支持批量生成查房备注，减少药师填写工作量。</w:t>
      </w:r>
    </w:p>
    <w:p>
      <w:pPr>
        <w:pStyle w:val="5"/>
        <w:numPr>
          <w:ilvl w:val="3"/>
          <w:numId w:val="9"/>
        </w:numPr>
        <w:ind w:left="709"/>
        <w:rPr>
          <w:szCs w:val="24"/>
          <w:highlight w:val="none"/>
        </w:rPr>
      </w:pPr>
      <w:r>
        <w:rPr>
          <w:rFonts w:hint="eastAsia"/>
          <w:szCs w:val="24"/>
          <w:highlight w:val="none"/>
        </w:rPr>
        <w:t>典型病历电子药历的创建与维护功能</w:t>
      </w:r>
    </w:p>
    <w:p>
      <w:pPr>
        <w:pStyle w:val="18"/>
        <w:rPr>
          <w:rFonts w:ascii="宋体" w:hAnsi="宋体"/>
          <w:szCs w:val="24"/>
          <w:highlight w:val="none"/>
        </w:rPr>
      </w:pPr>
      <w:r>
        <w:rPr>
          <w:rFonts w:hint="eastAsia" w:ascii="宋体" w:hAnsi="宋体" w:cs="宋体"/>
          <w:szCs w:val="24"/>
          <w:highlight w:val="none"/>
        </w:rPr>
        <w:t>支持药师在“门诊处方/住院医嘱实时审核或事后点评”的基础上，针对具备监测与研究价值的典型病例，汇集与临床用药合理性相关的各类综合信息，遵循 SOAP 工作方法，创建包涵“患者主诉+客观分析+用药评价+监护计划”的 “电子药历”，并促进管理工作心得的积累与分析，支持和优化用药合理性分析与决策。该药历支持医师通过HIS系统点击按钮查询临床药师点评记录，支持后期嵌入病历。</w:t>
      </w:r>
    </w:p>
    <w:p>
      <w:pPr>
        <w:pStyle w:val="4"/>
        <w:numPr>
          <w:ilvl w:val="2"/>
          <w:numId w:val="8"/>
        </w:numPr>
        <w:spacing w:line="360" w:lineRule="auto"/>
        <w:ind w:left="567"/>
        <w:rPr>
          <w:szCs w:val="24"/>
          <w:highlight w:val="none"/>
        </w:rPr>
      </w:pPr>
      <w:bookmarkStart w:id="66" w:name="_Toc154688557"/>
      <w:bookmarkStart w:id="67" w:name="_Hlk129013348"/>
      <w:r>
        <w:rPr>
          <w:rFonts w:hint="eastAsia"/>
          <w:szCs w:val="24"/>
          <w:highlight w:val="none"/>
        </w:rPr>
        <w:t>工作量统计</w:t>
      </w:r>
      <w:bookmarkEnd w:id="66"/>
    </w:p>
    <w:p>
      <w:pPr>
        <w:pStyle w:val="5"/>
        <w:numPr>
          <w:ilvl w:val="3"/>
          <w:numId w:val="8"/>
        </w:numPr>
        <w:spacing w:line="360" w:lineRule="auto"/>
        <w:ind w:left="708"/>
        <w:rPr>
          <w:szCs w:val="24"/>
          <w:highlight w:val="none"/>
          <w:lang w:eastAsia="zh-Hans"/>
        </w:rPr>
      </w:pPr>
      <w:r>
        <w:rPr>
          <w:rFonts w:hint="eastAsia"/>
          <w:szCs w:val="24"/>
          <w:highlight w:val="none"/>
          <w:lang w:eastAsia="zh-Hans"/>
        </w:rPr>
        <w:t>查房工作量</w:t>
      </w:r>
    </w:p>
    <w:p>
      <w:pPr>
        <w:pStyle w:val="18"/>
        <w:rPr>
          <w:rFonts w:ascii="宋体" w:hAnsi="宋体"/>
          <w:szCs w:val="24"/>
          <w:highlight w:val="none"/>
        </w:rPr>
      </w:pPr>
      <w:r>
        <w:rPr>
          <w:rFonts w:hint="eastAsia" w:ascii="宋体" w:hAnsi="宋体"/>
          <w:szCs w:val="24"/>
          <w:highlight w:val="none"/>
        </w:rPr>
        <w:t>系统支持查看药师查房次数统计</w:t>
      </w:r>
      <w:r>
        <w:rPr>
          <w:rFonts w:ascii="宋体" w:hAnsi="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药学建议工作量</w:t>
      </w:r>
    </w:p>
    <w:p>
      <w:pPr>
        <w:pStyle w:val="18"/>
        <w:rPr>
          <w:rFonts w:ascii="宋体" w:hAnsi="宋体"/>
          <w:szCs w:val="24"/>
          <w:highlight w:val="none"/>
        </w:rPr>
      </w:pPr>
      <w:r>
        <w:rPr>
          <w:rFonts w:hint="eastAsia" w:ascii="宋体" w:hAnsi="宋体"/>
          <w:szCs w:val="24"/>
          <w:highlight w:val="none"/>
        </w:rPr>
        <w:t>系统支持查看药师药学建议次数及被采纳数统计</w:t>
      </w:r>
      <w:r>
        <w:rPr>
          <w:rFonts w:ascii="宋体" w:hAnsi="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药物重整工作量</w:t>
      </w:r>
    </w:p>
    <w:p>
      <w:pPr>
        <w:pStyle w:val="18"/>
        <w:rPr>
          <w:rFonts w:ascii="宋体" w:hAnsi="宋体"/>
          <w:szCs w:val="24"/>
          <w:highlight w:val="none"/>
        </w:rPr>
      </w:pPr>
      <w:r>
        <w:rPr>
          <w:rFonts w:hint="eastAsia" w:ascii="宋体" w:hAnsi="宋体"/>
          <w:szCs w:val="24"/>
          <w:highlight w:val="none"/>
        </w:rPr>
        <w:t>系统支持查看药师入院药物重整次数、出院药物重整次数、转科药物重整次数统计</w:t>
      </w:r>
      <w:r>
        <w:rPr>
          <w:rFonts w:ascii="宋体" w:hAnsi="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用药教育工作量</w:t>
      </w:r>
    </w:p>
    <w:p>
      <w:pPr>
        <w:pStyle w:val="18"/>
        <w:rPr>
          <w:rFonts w:ascii="宋体" w:hAnsi="宋体"/>
          <w:szCs w:val="24"/>
          <w:highlight w:val="none"/>
        </w:rPr>
      </w:pPr>
      <w:r>
        <w:rPr>
          <w:rFonts w:hint="eastAsia" w:ascii="宋体" w:hAnsi="宋体"/>
          <w:szCs w:val="24"/>
          <w:highlight w:val="none"/>
        </w:rPr>
        <w:t>系统支持查看药师在院用药教育次数</w:t>
      </w:r>
      <w:r>
        <w:rPr>
          <w:rFonts w:ascii="宋体" w:hAnsi="宋体"/>
          <w:szCs w:val="24"/>
          <w:highlight w:val="none"/>
        </w:rPr>
        <w:t>、</w:t>
      </w:r>
      <w:r>
        <w:rPr>
          <w:rFonts w:hint="eastAsia" w:ascii="宋体" w:hAnsi="宋体"/>
          <w:szCs w:val="24"/>
          <w:highlight w:val="none"/>
        </w:rPr>
        <w:t>自定义用药教育次数</w:t>
      </w:r>
      <w:r>
        <w:rPr>
          <w:rFonts w:ascii="宋体" w:hAnsi="宋体"/>
          <w:szCs w:val="24"/>
          <w:highlight w:val="none"/>
        </w:rPr>
        <w:t>、</w:t>
      </w:r>
      <w:r>
        <w:rPr>
          <w:rFonts w:hint="eastAsia" w:ascii="宋体" w:hAnsi="宋体"/>
          <w:szCs w:val="24"/>
          <w:highlight w:val="none"/>
        </w:rPr>
        <w:t>专科出院用药教育次数</w:t>
      </w:r>
      <w:r>
        <w:rPr>
          <w:rFonts w:ascii="宋体" w:hAnsi="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用药咨询工作量</w:t>
      </w:r>
    </w:p>
    <w:p>
      <w:pPr>
        <w:pStyle w:val="18"/>
        <w:rPr>
          <w:rFonts w:ascii="宋体" w:hAnsi="宋体"/>
          <w:szCs w:val="24"/>
          <w:highlight w:val="none"/>
        </w:rPr>
      </w:pPr>
      <w:r>
        <w:rPr>
          <w:rFonts w:hint="eastAsia" w:ascii="宋体" w:hAnsi="宋体"/>
          <w:szCs w:val="24"/>
          <w:highlight w:val="none"/>
        </w:rPr>
        <w:t>系统支持查看药师用药咨询次数统计</w:t>
      </w:r>
      <w:r>
        <w:rPr>
          <w:rFonts w:ascii="宋体" w:hAnsi="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不良反应记录工作量</w:t>
      </w:r>
    </w:p>
    <w:p>
      <w:pPr>
        <w:pStyle w:val="18"/>
        <w:rPr>
          <w:rFonts w:ascii="宋体" w:hAnsi="宋体"/>
          <w:szCs w:val="24"/>
          <w:highlight w:val="none"/>
        </w:rPr>
      </w:pPr>
      <w:r>
        <w:rPr>
          <w:rFonts w:hint="eastAsia" w:ascii="宋体" w:hAnsi="宋体"/>
          <w:szCs w:val="24"/>
          <w:highlight w:val="none"/>
        </w:rPr>
        <w:t>系统支持查看药师不良反应记录数量统计</w:t>
      </w:r>
      <w:r>
        <w:rPr>
          <w:rFonts w:ascii="宋体" w:hAnsi="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药学会诊工作量</w:t>
      </w:r>
    </w:p>
    <w:p>
      <w:pPr>
        <w:pStyle w:val="18"/>
        <w:rPr>
          <w:rFonts w:ascii="宋体" w:hAnsi="宋体"/>
          <w:szCs w:val="24"/>
          <w:highlight w:val="none"/>
        </w:rPr>
      </w:pPr>
      <w:r>
        <w:rPr>
          <w:rFonts w:hint="eastAsia" w:ascii="宋体" w:hAnsi="宋体"/>
          <w:szCs w:val="24"/>
          <w:highlight w:val="none"/>
        </w:rPr>
        <w:t>系统支持查看药师药学会诊次数统计</w:t>
      </w:r>
      <w:r>
        <w:rPr>
          <w:rFonts w:ascii="宋体" w:hAnsi="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电子药历撰写工作量</w:t>
      </w:r>
    </w:p>
    <w:p>
      <w:pPr>
        <w:pStyle w:val="18"/>
        <w:rPr>
          <w:rFonts w:ascii="宋体" w:hAnsi="宋体"/>
          <w:szCs w:val="24"/>
          <w:highlight w:val="none"/>
        </w:rPr>
      </w:pPr>
      <w:r>
        <w:rPr>
          <w:rFonts w:hint="eastAsia" w:ascii="宋体" w:hAnsi="宋体"/>
          <w:szCs w:val="24"/>
          <w:highlight w:val="none"/>
        </w:rPr>
        <w:t>系统支持查看药师电子药历撰写份数统计</w:t>
      </w:r>
      <w:r>
        <w:rPr>
          <w:rFonts w:ascii="宋体" w:hAnsi="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病历讨论工作量</w:t>
      </w:r>
    </w:p>
    <w:p>
      <w:pPr>
        <w:pStyle w:val="18"/>
        <w:rPr>
          <w:rFonts w:ascii="宋体" w:hAnsi="宋体"/>
          <w:szCs w:val="24"/>
          <w:highlight w:val="none"/>
        </w:rPr>
      </w:pPr>
      <w:r>
        <w:rPr>
          <w:rFonts w:hint="eastAsia" w:ascii="宋体" w:hAnsi="宋体"/>
          <w:szCs w:val="24"/>
          <w:highlight w:val="none"/>
        </w:rPr>
        <w:t>系统支持查看药师药历讨论次数统计</w:t>
      </w:r>
      <w:r>
        <w:rPr>
          <w:rFonts w:ascii="宋体" w:hAnsi="宋体"/>
          <w:szCs w:val="24"/>
          <w:highlight w:val="none"/>
        </w:rPr>
        <w:t>。</w:t>
      </w:r>
      <w:bookmarkEnd w:id="67"/>
    </w:p>
    <w:p>
      <w:pPr>
        <w:pStyle w:val="5"/>
        <w:numPr>
          <w:ilvl w:val="3"/>
          <w:numId w:val="8"/>
        </w:numPr>
        <w:spacing w:line="360" w:lineRule="auto"/>
        <w:ind w:left="708"/>
        <w:rPr>
          <w:szCs w:val="24"/>
          <w:highlight w:val="none"/>
        </w:rPr>
      </w:pPr>
      <w:r>
        <w:rPr>
          <w:rFonts w:hint="eastAsia"/>
          <w:szCs w:val="24"/>
          <w:highlight w:val="none"/>
        </w:rPr>
        <w:t>能导出住院药学服务表</w:t>
      </w:r>
    </w:p>
    <w:p>
      <w:pPr>
        <w:pStyle w:val="18"/>
        <w:rPr>
          <w:rFonts w:ascii="宋体" w:hAnsi="宋体"/>
          <w:szCs w:val="24"/>
          <w:highlight w:val="none"/>
        </w:rPr>
      </w:pPr>
      <w:r>
        <w:rPr>
          <w:highlight w:val="none"/>
        </w:rPr>
        <w:drawing>
          <wp:inline distT="0" distB="0" distL="114300" distR="114300">
            <wp:extent cx="4930140" cy="5707380"/>
            <wp:effectExtent l="0" t="0" r="3810" b="762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4930140" cy="5707380"/>
                    </a:xfrm>
                    <a:prstGeom prst="rect">
                      <a:avLst/>
                    </a:prstGeom>
                    <a:noFill/>
                    <a:ln>
                      <a:noFill/>
                    </a:ln>
                  </pic:spPr>
                </pic:pic>
              </a:graphicData>
            </a:graphic>
          </wp:inline>
        </w:drawing>
      </w:r>
    </w:p>
    <w:p>
      <w:pPr>
        <w:pStyle w:val="3"/>
        <w:numPr>
          <w:ilvl w:val="1"/>
          <w:numId w:val="8"/>
        </w:numPr>
        <w:spacing w:line="360" w:lineRule="auto"/>
        <w:ind w:left="567"/>
        <w:rPr>
          <w:szCs w:val="24"/>
          <w:highlight w:val="none"/>
        </w:rPr>
      </w:pPr>
      <w:bookmarkStart w:id="68" w:name="_Toc154688558"/>
      <w:r>
        <w:rPr>
          <w:rFonts w:hint="eastAsia"/>
          <w:szCs w:val="24"/>
          <w:highlight w:val="none"/>
        </w:rPr>
        <w:t>慢病患者用药管理系统</w:t>
      </w:r>
      <w:bookmarkEnd w:id="68"/>
    </w:p>
    <w:p>
      <w:pPr>
        <w:spacing w:line="360" w:lineRule="auto"/>
        <w:ind w:firstLine="420"/>
        <w:rPr>
          <w:rFonts w:ascii="宋体" w:hAnsi="宋体" w:cs="宋体"/>
          <w:highlight w:val="none"/>
        </w:rPr>
      </w:pPr>
      <w:r>
        <w:rPr>
          <w:rFonts w:hint="eastAsia" w:ascii="宋体" w:hAnsi="宋体" w:cs="宋体"/>
          <w:highlight w:val="none"/>
        </w:rPr>
        <w:t>药学门诊作为面向患者的重要服务推出，需要一套系统性针对药学服务特性的管理系统支持其工作的开展。药学门诊管理系统基于药物治疗管理MTM模式，设计系统流程及相关表单项。</w:t>
      </w:r>
    </w:p>
    <w:p>
      <w:pPr>
        <w:spacing w:line="360" w:lineRule="auto"/>
        <w:ind w:firstLine="420"/>
        <w:rPr>
          <w:rFonts w:ascii="宋体" w:hAnsi="宋体" w:cs="宋体"/>
          <w:highlight w:val="none"/>
        </w:rPr>
      </w:pPr>
      <w:r>
        <w:rPr>
          <w:rFonts w:hint="eastAsia" w:ascii="宋体" w:hAnsi="宋体" w:cs="宋体"/>
          <w:highlight w:val="none"/>
        </w:rPr>
        <w:t>慢病患者用药管理系统既满足药师接诊流程的管理，也支持后续对患者的相关服务工作，同时，对药师的工作进行量化统计，体现其工作价值。</w:t>
      </w:r>
    </w:p>
    <w:p>
      <w:pPr>
        <w:pStyle w:val="4"/>
        <w:numPr>
          <w:ilvl w:val="2"/>
          <w:numId w:val="8"/>
        </w:numPr>
        <w:spacing w:line="360" w:lineRule="auto"/>
        <w:ind w:left="567"/>
        <w:rPr>
          <w:szCs w:val="24"/>
          <w:highlight w:val="none"/>
        </w:rPr>
      </w:pPr>
      <w:bookmarkStart w:id="69" w:name="_Toc154688559"/>
      <w:r>
        <w:rPr>
          <w:rFonts w:hint="eastAsia"/>
          <w:szCs w:val="24"/>
          <w:highlight w:val="none"/>
        </w:rPr>
        <w:t>看诊首页</w:t>
      </w:r>
      <w:bookmarkEnd w:id="69"/>
    </w:p>
    <w:p>
      <w:pPr>
        <w:pStyle w:val="5"/>
        <w:numPr>
          <w:ilvl w:val="3"/>
          <w:numId w:val="8"/>
        </w:numPr>
        <w:spacing w:line="360" w:lineRule="auto"/>
        <w:ind w:left="708"/>
        <w:rPr>
          <w:szCs w:val="24"/>
          <w:highlight w:val="none"/>
          <w:lang w:eastAsia="zh-Hans"/>
        </w:rPr>
      </w:pPr>
      <w:r>
        <w:rPr>
          <w:rFonts w:hint="eastAsia"/>
          <w:szCs w:val="24"/>
          <w:highlight w:val="none"/>
          <w:lang w:eastAsia="zh-Hans"/>
        </w:rPr>
        <w:t>叫号</w:t>
      </w:r>
    </w:p>
    <w:p>
      <w:pPr>
        <w:pStyle w:val="18"/>
        <w:rPr>
          <w:rFonts w:ascii="宋体" w:hAnsi="宋体" w:cs="宋体"/>
          <w:szCs w:val="24"/>
          <w:highlight w:val="none"/>
        </w:rPr>
      </w:pPr>
      <w:r>
        <w:rPr>
          <w:rFonts w:ascii="宋体" w:hAnsi="宋体" w:cs="宋体"/>
          <w:szCs w:val="24"/>
          <w:highlight w:val="none"/>
        </w:rPr>
        <w:t>支持与</w:t>
      </w:r>
      <w:r>
        <w:rPr>
          <w:rFonts w:hint="eastAsia" w:ascii="宋体" w:hAnsi="宋体" w:cs="宋体"/>
          <w:szCs w:val="24"/>
          <w:highlight w:val="none"/>
        </w:rPr>
        <w:t>门诊叫号系统对接，将患者基本信息、诊室信息、药师信息等回传至叫号系统。</w:t>
      </w:r>
    </w:p>
    <w:p>
      <w:pPr>
        <w:pStyle w:val="5"/>
        <w:numPr>
          <w:ilvl w:val="3"/>
          <w:numId w:val="8"/>
        </w:numPr>
        <w:spacing w:line="360" w:lineRule="auto"/>
        <w:ind w:left="708"/>
        <w:rPr>
          <w:szCs w:val="24"/>
          <w:highlight w:val="none"/>
          <w:lang w:eastAsia="zh-Hans"/>
        </w:rPr>
      </w:pPr>
      <w:r>
        <w:rPr>
          <w:rFonts w:hint="eastAsia"/>
          <w:szCs w:val="24"/>
          <w:highlight w:val="none"/>
          <w:lang w:eastAsia="zh-Hans"/>
        </w:rPr>
        <w:t>接诊</w:t>
      </w:r>
    </w:p>
    <w:p>
      <w:pPr>
        <w:pStyle w:val="18"/>
        <w:rPr>
          <w:rFonts w:ascii="宋体" w:hAnsi="宋体" w:cs="宋体"/>
          <w:szCs w:val="24"/>
          <w:highlight w:val="none"/>
        </w:rPr>
      </w:pPr>
      <w:r>
        <w:rPr>
          <w:rFonts w:hint="eastAsia" w:ascii="宋体" w:hAnsi="宋体" w:cs="宋体"/>
          <w:szCs w:val="24"/>
          <w:highlight w:val="none"/>
        </w:rPr>
        <w:t>患者到医院或者线上挂号平台挂药师门诊的号</w:t>
      </w:r>
      <w:r>
        <w:rPr>
          <w:rFonts w:ascii="宋体" w:hAnsi="宋体" w:cs="宋体"/>
          <w:szCs w:val="24"/>
          <w:highlight w:val="none"/>
        </w:rPr>
        <w:t>，</w:t>
      </w:r>
      <w:r>
        <w:rPr>
          <w:rFonts w:hint="eastAsia" w:ascii="宋体" w:hAnsi="宋体" w:cs="宋体"/>
          <w:szCs w:val="24"/>
          <w:highlight w:val="none"/>
        </w:rPr>
        <w:t>挂号的数据将同步到药学门诊首页待接诊列表中</w:t>
      </w:r>
      <w:r>
        <w:rPr>
          <w:rFonts w:ascii="宋体" w:hAnsi="宋体" w:cs="宋体"/>
          <w:szCs w:val="24"/>
          <w:highlight w:val="none"/>
        </w:rPr>
        <w:t>，</w:t>
      </w:r>
      <w:r>
        <w:rPr>
          <w:rFonts w:hint="eastAsia" w:ascii="宋体" w:hAnsi="宋体" w:cs="宋体"/>
          <w:szCs w:val="24"/>
          <w:highlight w:val="none"/>
        </w:rPr>
        <w:t>列表会展示当前挂号患者数</w:t>
      </w:r>
      <w:r>
        <w:rPr>
          <w:rFonts w:ascii="宋体" w:hAnsi="宋体" w:cs="宋体"/>
          <w:szCs w:val="24"/>
          <w:highlight w:val="none"/>
        </w:rPr>
        <w:t>，</w:t>
      </w:r>
      <w:r>
        <w:rPr>
          <w:rFonts w:hint="eastAsia" w:ascii="宋体" w:hAnsi="宋体" w:cs="宋体"/>
          <w:szCs w:val="24"/>
          <w:highlight w:val="none"/>
        </w:rPr>
        <w:t>已就诊患者数和待就诊患者数</w:t>
      </w:r>
      <w:r>
        <w:rPr>
          <w:rFonts w:ascii="宋体" w:hAnsi="宋体" w:cs="宋体"/>
          <w:szCs w:val="24"/>
          <w:highlight w:val="none"/>
        </w:rPr>
        <w:t>，</w:t>
      </w:r>
      <w:r>
        <w:rPr>
          <w:rFonts w:hint="eastAsia" w:ascii="宋体" w:hAnsi="宋体" w:cs="宋体"/>
          <w:szCs w:val="24"/>
          <w:highlight w:val="none"/>
        </w:rPr>
        <w:t>药师可在首页进行接诊</w:t>
      </w:r>
      <w:r>
        <w:rPr>
          <w:rFonts w:ascii="宋体" w:hAnsi="宋体" w:cs="宋体"/>
          <w:szCs w:val="24"/>
          <w:highlight w:val="none"/>
        </w:rPr>
        <w:t>，</w:t>
      </w:r>
      <w:r>
        <w:rPr>
          <w:rFonts w:hint="eastAsia" w:ascii="宋体" w:hAnsi="宋体" w:cs="宋体"/>
          <w:szCs w:val="24"/>
          <w:highlight w:val="none"/>
        </w:rPr>
        <w:t>接诊时能查看到患者的信息</w:t>
      </w:r>
      <w:r>
        <w:rPr>
          <w:rFonts w:ascii="宋体" w:hAnsi="宋体" w:cs="宋体"/>
          <w:szCs w:val="24"/>
          <w:highlight w:val="none"/>
        </w:rPr>
        <w:t>，</w:t>
      </w:r>
      <w:r>
        <w:rPr>
          <w:rFonts w:hint="eastAsia" w:ascii="宋体" w:hAnsi="宋体" w:cs="宋体"/>
          <w:szCs w:val="24"/>
          <w:highlight w:val="none"/>
        </w:rPr>
        <w:t>通过叫号</w:t>
      </w:r>
      <w:r>
        <w:rPr>
          <w:rFonts w:ascii="宋体" w:hAnsi="宋体" w:cs="宋体"/>
          <w:szCs w:val="24"/>
          <w:highlight w:val="none"/>
        </w:rPr>
        <w:t>，</w:t>
      </w:r>
      <w:r>
        <w:rPr>
          <w:rFonts w:hint="eastAsia" w:ascii="宋体" w:hAnsi="宋体" w:cs="宋体"/>
          <w:szCs w:val="24"/>
          <w:highlight w:val="none"/>
        </w:rPr>
        <w:t>对患者进行看诊</w:t>
      </w:r>
      <w:r>
        <w:rPr>
          <w:rFonts w:ascii="宋体" w:hAnsi="宋体" w:cs="宋体"/>
          <w:szCs w:val="24"/>
          <w:highlight w:val="none"/>
        </w:rPr>
        <w:t>。</w:t>
      </w:r>
      <w:r>
        <w:rPr>
          <w:rFonts w:hint="eastAsia" w:ascii="宋体" w:hAnsi="宋体" w:cs="宋体"/>
          <w:szCs w:val="24"/>
          <w:highlight w:val="none"/>
        </w:rPr>
        <w:t>药师还可以通过读卡</w:t>
      </w:r>
      <w:r>
        <w:rPr>
          <w:rFonts w:ascii="宋体" w:hAnsi="宋体" w:cs="宋体"/>
          <w:szCs w:val="24"/>
          <w:highlight w:val="none"/>
        </w:rPr>
        <w:t>，</w:t>
      </w:r>
      <w:r>
        <w:rPr>
          <w:rFonts w:hint="eastAsia" w:ascii="宋体" w:hAnsi="宋体" w:cs="宋体"/>
          <w:szCs w:val="24"/>
          <w:highlight w:val="none"/>
        </w:rPr>
        <w:t>获取到患者的信息以及在院的诊疗信息</w:t>
      </w:r>
      <w:r>
        <w:rPr>
          <w:rFonts w:ascii="宋体" w:hAnsi="宋体" w:cs="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加号</w:t>
      </w:r>
    </w:p>
    <w:p>
      <w:pPr>
        <w:pStyle w:val="18"/>
        <w:rPr>
          <w:rFonts w:ascii="宋体" w:hAnsi="宋体" w:cs="宋体"/>
          <w:szCs w:val="24"/>
          <w:highlight w:val="none"/>
        </w:rPr>
      </w:pPr>
      <w:r>
        <w:rPr>
          <w:rFonts w:hint="eastAsia" w:ascii="宋体" w:hAnsi="宋体" w:cs="宋体"/>
          <w:szCs w:val="24"/>
          <w:highlight w:val="none"/>
        </w:rPr>
        <w:t>如果患者并没有在医院或者线上挂号平台挂号</w:t>
      </w:r>
      <w:r>
        <w:rPr>
          <w:rFonts w:ascii="宋体" w:hAnsi="宋体" w:cs="宋体"/>
          <w:szCs w:val="24"/>
          <w:highlight w:val="none"/>
        </w:rPr>
        <w:t>，</w:t>
      </w:r>
      <w:r>
        <w:rPr>
          <w:rFonts w:hint="eastAsia" w:ascii="宋体" w:hAnsi="宋体" w:cs="宋体"/>
          <w:szCs w:val="24"/>
          <w:highlight w:val="none"/>
        </w:rPr>
        <w:t>直接到药师门诊进行就诊</w:t>
      </w:r>
      <w:r>
        <w:rPr>
          <w:rFonts w:ascii="宋体" w:hAnsi="宋体" w:cs="宋体"/>
          <w:szCs w:val="24"/>
          <w:highlight w:val="none"/>
        </w:rPr>
        <w:t>，</w:t>
      </w:r>
      <w:r>
        <w:rPr>
          <w:rFonts w:hint="eastAsia" w:ascii="宋体" w:hAnsi="宋体" w:cs="宋体"/>
          <w:szCs w:val="24"/>
          <w:highlight w:val="none"/>
        </w:rPr>
        <w:t>药师可以直接线下加号</w:t>
      </w:r>
      <w:r>
        <w:rPr>
          <w:rFonts w:ascii="宋体" w:hAnsi="宋体" w:cs="宋体"/>
          <w:szCs w:val="24"/>
          <w:highlight w:val="none"/>
        </w:rPr>
        <w:t>，</w:t>
      </w:r>
      <w:r>
        <w:rPr>
          <w:rFonts w:hint="eastAsia" w:ascii="宋体" w:hAnsi="宋体" w:cs="宋体"/>
          <w:szCs w:val="24"/>
          <w:highlight w:val="none"/>
        </w:rPr>
        <w:t>并填写好患者的基本信息</w:t>
      </w:r>
      <w:r>
        <w:rPr>
          <w:rFonts w:ascii="宋体" w:hAnsi="宋体" w:cs="宋体"/>
          <w:szCs w:val="24"/>
          <w:highlight w:val="none"/>
        </w:rPr>
        <w:t>，</w:t>
      </w:r>
      <w:r>
        <w:rPr>
          <w:rFonts w:hint="eastAsia" w:ascii="宋体" w:hAnsi="宋体" w:cs="宋体"/>
          <w:szCs w:val="24"/>
          <w:highlight w:val="none"/>
        </w:rPr>
        <w:t>对患者进行看诊</w:t>
      </w:r>
      <w:r>
        <w:rPr>
          <w:rFonts w:ascii="宋体" w:hAnsi="宋体" w:cs="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转诊</w:t>
      </w:r>
    </w:p>
    <w:p>
      <w:pPr>
        <w:pStyle w:val="18"/>
        <w:rPr>
          <w:rFonts w:ascii="宋体" w:hAnsi="宋体" w:cs="宋体"/>
          <w:szCs w:val="24"/>
          <w:highlight w:val="none"/>
        </w:rPr>
      </w:pPr>
      <w:r>
        <w:rPr>
          <w:rFonts w:hint="eastAsia" w:ascii="宋体" w:hAnsi="宋体" w:cs="宋体"/>
          <w:szCs w:val="24"/>
          <w:highlight w:val="none"/>
        </w:rPr>
        <w:t>药师查看患者基本信息后</w:t>
      </w:r>
      <w:r>
        <w:rPr>
          <w:rFonts w:ascii="宋体" w:hAnsi="宋体" w:cs="宋体"/>
          <w:szCs w:val="24"/>
          <w:highlight w:val="none"/>
        </w:rPr>
        <w:t>，</w:t>
      </w:r>
      <w:r>
        <w:rPr>
          <w:rFonts w:hint="eastAsia" w:ascii="宋体" w:hAnsi="宋体" w:cs="宋体"/>
          <w:szCs w:val="24"/>
          <w:highlight w:val="none"/>
        </w:rPr>
        <w:t>可进行转诊</w:t>
      </w:r>
      <w:r>
        <w:rPr>
          <w:rFonts w:ascii="宋体" w:hAnsi="宋体" w:cs="宋体"/>
          <w:szCs w:val="24"/>
          <w:highlight w:val="none"/>
        </w:rPr>
        <w:t>，</w:t>
      </w:r>
      <w:r>
        <w:rPr>
          <w:rFonts w:hint="eastAsia" w:ascii="宋体" w:hAnsi="宋体" w:cs="宋体"/>
          <w:szCs w:val="24"/>
          <w:highlight w:val="none"/>
        </w:rPr>
        <w:t>选择需要转诊到的其他药师进行转诊</w:t>
      </w:r>
      <w:r>
        <w:rPr>
          <w:rFonts w:ascii="宋体" w:hAnsi="宋体" w:cs="宋体"/>
          <w:szCs w:val="24"/>
          <w:highlight w:val="none"/>
        </w:rPr>
        <w:t>，</w:t>
      </w:r>
      <w:r>
        <w:rPr>
          <w:rFonts w:hint="eastAsia" w:ascii="宋体" w:hAnsi="宋体" w:cs="宋体"/>
          <w:szCs w:val="24"/>
          <w:highlight w:val="none"/>
        </w:rPr>
        <w:t>该患者的挂号记录以及个人信息将会转到选择的药师药学门诊的待接诊列表中</w:t>
      </w:r>
      <w:r>
        <w:rPr>
          <w:rFonts w:ascii="宋体" w:hAnsi="宋体" w:cs="宋体"/>
          <w:szCs w:val="24"/>
          <w:highlight w:val="none"/>
        </w:rPr>
        <w:t>。</w:t>
      </w:r>
    </w:p>
    <w:p>
      <w:pPr>
        <w:pStyle w:val="4"/>
        <w:numPr>
          <w:ilvl w:val="2"/>
          <w:numId w:val="8"/>
        </w:numPr>
        <w:spacing w:line="360" w:lineRule="auto"/>
        <w:ind w:left="567"/>
        <w:rPr>
          <w:szCs w:val="24"/>
          <w:highlight w:val="none"/>
        </w:rPr>
      </w:pPr>
      <w:bookmarkStart w:id="70" w:name="_Toc154688560"/>
      <w:r>
        <w:rPr>
          <w:rFonts w:hint="eastAsia"/>
          <w:szCs w:val="24"/>
          <w:highlight w:val="none"/>
        </w:rPr>
        <w:t>接诊</w:t>
      </w:r>
      <w:bookmarkEnd w:id="70"/>
    </w:p>
    <w:p>
      <w:pPr>
        <w:pStyle w:val="18"/>
        <w:rPr>
          <w:rFonts w:ascii="宋体" w:hAnsi="宋体" w:cs="宋体"/>
          <w:szCs w:val="24"/>
          <w:highlight w:val="none"/>
        </w:rPr>
      </w:pPr>
      <w:r>
        <w:rPr>
          <w:rFonts w:hint="eastAsia" w:ascii="宋体" w:hAnsi="宋体" w:cs="宋体"/>
          <w:szCs w:val="24"/>
          <w:highlight w:val="none"/>
        </w:rPr>
        <w:t>药师进行接诊后</w:t>
      </w:r>
      <w:r>
        <w:rPr>
          <w:rFonts w:ascii="宋体" w:hAnsi="宋体" w:cs="宋体"/>
          <w:szCs w:val="24"/>
          <w:highlight w:val="none"/>
        </w:rPr>
        <w:t>，</w:t>
      </w:r>
      <w:r>
        <w:rPr>
          <w:rFonts w:hint="eastAsia" w:ascii="宋体" w:hAnsi="宋体" w:cs="宋体"/>
          <w:szCs w:val="24"/>
          <w:highlight w:val="none"/>
        </w:rPr>
        <w:t>根据患者的情况</w:t>
      </w:r>
      <w:r>
        <w:rPr>
          <w:rFonts w:ascii="宋体" w:hAnsi="宋体" w:cs="宋体"/>
          <w:szCs w:val="24"/>
          <w:highlight w:val="none"/>
        </w:rPr>
        <w:t>，</w:t>
      </w:r>
      <w:r>
        <w:rPr>
          <w:rFonts w:hint="eastAsia" w:ascii="宋体" w:hAnsi="宋体" w:cs="宋体"/>
          <w:szCs w:val="24"/>
          <w:highlight w:val="none"/>
        </w:rPr>
        <w:t>可以选择一个适合的模版</w:t>
      </w:r>
      <w:r>
        <w:rPr>
          <w:rFonts w:ascii="宋体" w:hAnsi="宋体" w:cs="宋体"/>
          <w:szCs w:val="24"/>
          <w:highlight w:val="none"/>
        </w:rPr>
        <w:t>，</w:t>
      </w:r>
      <w:r>
        <w:rPr>
          <w:rFonts w:hint="eastAsia" w:ascii="宋体" w:hAnsi="宋体" w:cs="宋体"/>
          <w:szCs w:val="24"/>
          <w:highlight w:val="none"/>
        </w:rPr>
        <w:t>目前提供四个模版供药师选择</w:t>
      </w:r>
      <w:r>
        <w:rPr>
          <w:rFonts w:ascii="宋体" w:hAnsi="宋体" w:cs="宋体"/>
          <w:szCs w:val="24"/>
          <w:highlight w:val="none"/>
        </w:rPr>
        <w:t>：</w:t>
      </w:r>
    </w:p>
    <w:p>
      <w:pPr>
        <w:pStyle w:val="32"/>
        <w:numPr>
          <w:ilvl w:val="0"/>
          <w:numId w:val="11"/>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普通患者模版</w:t>
      </w:r>
    </w:p>
    <w:p>
      <w:pPr>
        <w:pStyle w:val="32"/>
        <w:numPr>
          <w:ilvl w:val="0"/>
          <w:numId w:val="11"/>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孕妇模版</w:t>
      </w:r>
    </w:p>
    <w:p>
      <w:pPr>
        <w:pStyle w:val="32"/>
        <w:numPr>
          <w:ilvl w:val="0"/>
          <w:numId w:val="11"/>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慢病患者模版</w:t>
      </w:r>
    </w:p>
    <w:p>
      <w:pPr>
        <w:pStyle w:val="32"/>
        <w:numPr>
          <w:ilvl w:val="0"/>
          <w:numId w:val="11"/>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吸入装置模版</w:t>
      </w:r>
    </w:p>
    <w:p>
      <w:pPr>
        <w:pStyle w:val="18"/>
        <w:rPr>
          <w:rFonts w:ascii="宋体" w:hAnsi="宋体"/>
          <w:szCs w:val="24"/>
          <w:highlight w:val="none"/>
        </w:rPr>
      </w:pPr>
      <w:r>
        <w:rPr>
          <w:rFonts w:hint="eastAsia" w:ascii="宋体" w:hAnsi="宋体"/>
          <w:szCs w:val="24"/>
          <w:highlight w:val="none"/>
        </w:rPr>
        <w:t>不同的模版会有特定的针对性的内容。</w:t>
      </w:r>
    </w:p>
    <w:p>
      <w:pPr>
        <w:pStyle w:val="18"/>
        <w:rPr>
          <w:rFonts w:ascii="宋体" w:hAnsi="宋体" w:cs="宋体"/>
          <w:szCs w:val="24"/>
          <w:highlight w:val="none"/>
        </w:rPr>
      </w:pPr>
      <w:r>
        <w:rPr>
          <w:rFonts w:hint="eastAsia" w:ascii="宋体" w:hAnsi="宋体" w:cs="宋体"/>
          <w:szCs w:val="24"/>
          <w:highlight w:val="none"/>
        </w:rPr>
        <w:t>选择模版后，如果是通过线下加号看诊的患者，需要填写患者的基本信息，如果是通过线上挂号的患者</w:t>
      </w:r>
      <w:r>
        <w:rPr>
          <w:rFonts w:ascii="宋体" w:hAnsi="宋体" w:cs="宋体"/>
          <w:szCs w:val="24"/>
          <w:highlight w:val="none"/>
        </w:rPr>
        <w:t>，</w:t>
      </w:r>
      <w:r>
        <w:rPr>
          <w:rFonts w:hint="eastAsia" w:ascii="宋体" w:hAnsi="宋体" w:cs="宋体"/>
          <w:szCs w:val="24"/>
          <w:highlight w:val="none"/>
        </w:rPr>
        <w:t>会自动带出患者的基本信息</w:t>
      </w:r>
      <w:r>
        <w:rPr>
          <w:rFonts w:ascii="宋体" w:hAnsi="宋体" w:cs="宋体"/>
          <w:szCs w:val="24"/>
          <w:highlight w:val="none"/>
        </w:rPr>
        <w:t>，</w:t>
      </w:r>
      <w:r>
        <w:rPr>
          <w:rFonts w:hint="eastAsia" w:ascii="宋体" w:hAnsi="宋体" w:cs="宋体"/>
          <w:szCs w:val="24"/>
          <w:highlight w:val="none"/>
        </w:rPr>
        <w:t>不需要药师手动填写</w:t>
      </w:r>
      <w:r>
        <w:rPr>
          <w:rFonts w:ascii="宋体" w:hAnsi="宋体" w:cs="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患者健康与病史评估</w:t>
      </w:r>
    </w:p>
    <w:p>
      <w:pPr>
        <w:pStyle w:val="18"/>
        <w:rPr>
          <w:rFonts w:ascii="宋体" w:hAnsi="宋体" w:cs="宋体"/>
          <w:szCs w:val="24"/>
          <w:highlight w:val="none"/>
        </w:rPr>
      </w:pPr>
      <w:r>
        <w:rPr>
          <w:rFonts w:hint="eastAsia" w:ascii="宋体" w:hAnsi="宋体" w:cs="宋体"/>
          <w:szCs w:val="24"/>
          <w:highlight w:val="none"/>
        </w:rPr>
        <w:t>药师可以在该模块查看患者的基础信息</w:t>
      </w:r>
      <w:r>
        <w:rPr>
          <w:rFonts w:ascii="宋体" w:hAnsi="宋体" w:cs="宋体"/>
          <w:szCs w:val="24"/>
          <w:highlight w:val="none"/>
        </w:rPr>
        <w:t>，</w:t>
      </w:r>
      <w:r>
        <w:rPr>
          <w:rFonts w:hint="eastAsia" w:ascii="宋体" w:hAnsi="宋体" w:cs="宋体"/>
          <w:szCs w:val="24"/>
          <w:highlight w:val="none"/>
        </w:rPr>
        <w:t>家族史</w:t>
      </w:r>
      <w:r>
        <w:rPr>
          <w:rFonts w:ascii="宋体" w:hAnsi="宋体" w:cs="宋体"/>
          <w:szCs w:val="24"/>
          <w:highlight w:val="none"/>
        </w:rPr>
        <w:t>、</w:t>
      </w:r>
      <w:r>
        <w:rPr>
          <w:rFonts w:hint="eastAsia" w:ascii="宋体" w:hAnsi="宋体" w:cs="宋体"/>
          <w:szCs w:val="24"/>
          <w:highlight w:val="none"/>
        </w:rPr>
        <w:t>既往史</w:t>
      </w:r>
      <w:r>
        <w:rPr>
          <w:rFonts w:ascii="宋体" w:hAnsi="宋体" w:cs="宋体"/>
          <w:szCs w:val="24"/>
          <w:highlight w:val="none"/>
        </w:rPr>
        <w:t>、</w:t>
      </w:r>
      <w:r>
        <w:rPr>
          <w:rFonts w:hint="eastAsia" w:ascii="宋体" w:hAnsi="宋体" w:cs="宋体"/>
          <w:szCs w:val="24"/>
          <w:highlight w:val="none"/>
        </w:rPr>
        <w:t>当前症状评估</w:t>
      </w:r>
      <w:r>
        <w:rPr>
          <w:rFonts w:ascii="宋体" w:hAnsi="宋体" w:cs="宋体"/>
          <w:szCs w:val="24"/>
          <w:highlight w:val="none"/>
        </w:rPr>
        <w:t>、</w:t>
      </w:r>
      <w:r>
        <w:rPr>
          <w:rFonts w:hint="eastAsia" w:ascii="宋体" w:hAnsi="宋体" w:cs="宋体"/>
          <w:szCs w:val="24"/>
          <w:highlight w:val="none"/>
        </w:rPr>
        <w:t>生活状况</w:t>
      </w:r>
      <w:r>
        <w:rPr>
          <w:rFonts w:ascii="宋体" w:hAnsi="宋体" w:cs="宋体"/>
          <w:szCs w:val="24"/>
          <w:highlight w:val="none"/>
        </w:rPr>
        <w:t>、</w:t>
      </w:r>
      <w:r>
        <w:rPr>
          <w:rFonts w:hint="eastAsia" w:ascii="宋体" w:hAnsi="宋体" w:cs="宋体"/>
          <w:szCs w:val="24"/>
          <w:highlight w:val="none"/>
        </w:rPr>
        <w:t>免疫接种情况以及就诊目的</w:t>
      </w:r>
      <w:r>
        <w:rPr>
          <w:rFonts w:ascii="宋体" w:hAnsi="宋体" w:cs="宋体"/>
          <w:szCs w:val="24"/>
          <w:highlight w:val="none"/>
        </w:rPr>
        <w:t>。</w:t>
      </w:r>
      <w:r>
        <w:rPr>
          <w:rFonts w:hint="eastAsia" w:ascii="宋体" w:hAnsi="宋体" w:cs="宋体"/>
          <w:szCs w:val="24"/>
          <w:highlight w:val="none"/>
        </w:rPr>
        <w:t>对患者的这些信息可以就行编辑和保存</w:t>
      </w:r>
      <w:r>
        <w:rPr>
          <w:rFonts w:ascii="宋体" w:hAnsi="宋体" w:cs="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个人用药记录（PMR）</w:t>
      </w:r>
    </w:p>
    <w:p>
      <w:pPr>
        <w:pStyle w:val="18"/>
        <w:rPr>
          <w:rFonts w:ascii="宋体" w:hAnsi="宋体" w:cs="宋体"/>
          <w:szCs w:val="24"/>
          <w:highlight w:val="none"/>
        </w:rPr>
      </w:pPr>
      <w:r>
        <w:rPr>
          <w:rFonts w:hint="eastAsia" w:ascii="宋体" w:hAnsi="宋体" w:cs="宋体"/>
          <w:szCs w:val="24"/>
          <w:highlight w:val="none"/>
        </w:rPr>
        <w:t>药师在该模块添加患者的用药记录</w:t>
      </w:r>
      <w:r>
        <w:rPr>
          <w:rFonts w:ascii="宋体" w:hAnsi="宋体" w:cs="宋体"/>
          <w:szCs w:val="24"/>
          <w:highlight w:val="none"/>
        </w:rPr>
        <w:t>。</w:t>
      </w:r>
      <w:r>
        <w:rPr>
          <w:rFonts w:hint="eastAsia" w:ascii="宋体" w:hAnsi="宋体" w:cs="宋体"/>
          <w:szCs w:val="24"/>
          <w:highlight w:val="none"/>
        </w:rPr>
        <w:t>也可以查看到患者的历史用药记录</w:t>
      </w:r>
      <w:r>
        <w:rPr>
          <w:rFonts w:ascii="宋体" w:hAnsi="宋体" w:cs="宋体"/>
          <w:szCs w:val="24"/>
          <w:highlight w:val="none"/>
        </w:rPr>
        <w:t>，</w:t>
      </w:r>
      <w:r>
        <w:rPr>
          <w:rFonts w:hint="eastAsia" w:ascii="宋体" w:hAnsi="宋体" w:cs="宋体"/>
          <w:szCs w:val="24"/>
          <w:highlight w:val="none"/>
        </w:rPr>
        <w:t>并将历史用药记录引用到本次用药记录中</w:t>
      </w:r>
      <w:r>
        <w:rPr>
          <w:rFonts w:ascii="宋体" w:hAnsi="宋体" w:cs="宋体"/>
          <w:szCs w:val="24"/>
          <w:highlight w:val="none"/>
        </w:rPr>
        <w:t>，</w:t>
      </w:r>
      <w:r>
        <w:rPr>
          <w:rFonts w:hint="eastAsia" w:ascii="宋体" w:hAnsi="宋体" w:cs="宋体"/>
          <w:szCs w:val="24"/>
          <w:highlight w:val="none"/>
        </w:rPr>
        <w:t>添加时可以引入患者的历史医嘱</w:t>
      </w:r>
      <w:r>
        <w:rPr>
          <w:rFonts w:ascii="宋体" w:hAnsi="宋体" w:cs="宋体"/>
          <w:szCs w:val="24"/>
          <w:highlight w:val="none"/>
        </w:rPr>
        <w:t>，</w:t>
      </w:r>
      <w:r>
        <w:rPr>
          <w:rFonts w:hint="eastAsia" w:ascii="宋体" w:hAnsi="宋体" w:cs="宋体"/>
          <w:szCs w:val="24"/>
          <w:highlight w:val="none"/>
        </w:rPr>
        <w:t>也可以手动添加自带药品信息</w:t>
      </w:r>
      <w:r>
        <w:rPr>
          <w:rFonts w:ascii="宋体" w:hAnsi="宋体" w:cs="宋体"/>
          <w:szCs w:val="24"/>
          <w:highlight w:val="none"/>
        </w:rPr>
        <w:t>。</w:t>
      </w:r>
      <w:r>
        <w:rPr>
          <w:rFonts w:hint="eastAsia" w:ascii="宋体" w:hAnsi="宋体" w:cs="宋体"/>
          <w:szCs w:val="24"/>
          <w:highlight w:val="none"/>
        </w:rPr>
        <w:t>用药记录可以支持导出打印</w:t>
      </w:r>
      <w:r>
        <w:rPr>
          <w:rFonts w:ascii="宋体" w:hAnsi="宋体" w:cs="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药物治疗评估表（MTR）</w:t>
      </w:r>
    </w:p>
    <w:p>
      <w:pPr>
        <w:pStyle w:val="18"/>
        <w:rPr>
          <w:rFonts w:ascii="宋体" w:hAnsi="宋体" w:cs="宋体"/>
          <w:szCs w:val="24"/>
          <w:highlight w:val="none"/>
        </w:rPr>
      </w:pPr>
      <w:r>
        <w:rPr>
          <w:rFonts w:hint="eastAsia" w:ascii="宋体" w:hAnsi="宋体" w:cs="宋体"/>
          <w:szCs w:val="24"/>
          <w:highlight w:val="none"/>
        </w:rPr>
        <w:t>药师针对患者的用药记录</w:t>
      </w:r>
      <w:r>
        <w:rPr>
          <w:rFonts w:ascii="宋体" w:hAnsi="宋体" w:cs="宋体"/>
          <w:szCs w:val="24"/>
          <w:highlight w:val="none"/>
        </w:rPr>
        <w:t>，</w:t>
      </w:r>
      <w:r>
        <w:rPr>
          <w:rFonts w:hint="eastAsia" w:ascii="宋体" w:hAnsi="宋体" w:cs="宋体"/>
          <w:szCs w:val="24"/>
          <w:highlight w:val="none"/>
        </w:rPr>
        <w:t>对药物的治疗效果进行评估</w:t>
      </w:r>
      <w:r>
        <w:rPr>
          <w:rFonts w:ascii="宋体" w:hAnsi="宋体" w:cs="宋体"/>
          <w:szCs w:val="24"/>
          <w:highlight w:val="none"/>
        </w:rPr>
        <w:t>，</w:t>
      </w:r>
      <w:r>
        <w:rPr>
          <w:rFonts w:hint="eastAsia" w:ascii="宋体" w:hAnsi="宋体" w:cs="宋体"/>
          <w:szCs w:val="24"/>
          <w:highlight w:val="none"/>
        </w:rPr>
        <w:t>了解患者的服药情况</w:t>
      </w:r>
      <w:r>
        <w:rPr>
          <w:rFonts w:ascii="宋体" w:hAnsi="宋体" w:cs="宋体"/>
          <w:szCs w:val="24"/>
          <w:highlight w:val="none"/>
        </w:rPr>
        <w:t>，</w:t>
      </w:r>
      <w:r>
        <w:rPr>
          <w:rFonts w:hint="eastAsia" w:ascii="宋体" w:hAnsi="宋体" w:cs="宋体"/>
          <w:szCs w:val="24"/>
          <w:highlight w:val="none"/>
        </w:rPr>
        <w:t>对药物的理解以及服药依从性等</w:t>
      </w:r>
      <w:r>
        <w:rPr>
          <w:rFonts w:ascii="宋体" w:hAnsi="宋体" w:cs="宋体"/>
          <w:szCs w:val="24"/>
          <w:highlight w:val="none"/>
        </w:rPr>
        <w:t>，</w:t>
      </w:r>
      <w:r>
        <w:rPr>
          <w:rFonts w:hint="eastAsia" w:ascii="宋体" w:hAnsi="宋体" w:cs="宋体"/>
          <w:szCs w:val="24"/>
          <w:highlight w:val="none"/>
        </w:rPr>
        <w:t>药师可以导入患者的个人用药记录</w:t>
      </w:r>
      <w:r>
        <w:rPr>
          <w:rFonts w:ascii="宋体" w:hAnsi="宋体" w:cs="宋体"/>
          <w:szCs w:val="24"/>
          <w:highlight w:val="none"/>
        </w:rPr>
        <w:t>，</w:t>
      </w:r>
      <w:r>
        <w:rPr>
          <w:rFonts w:hint="eastAsia" w:ascii="宋体" w:hAnsi="宋体" w:cs="宋体"/>
          <w:szCs w:val="24"/>
          <w:highlight w:val="none"/>
        </w:rPr>
        <w:t>也可以手动添加自带药品信息</w:t>
      </w:r>
      <w:r>
        <w:rPr>
          <w:rFonts w:ascii="宋体" w:hAnsi="宋体" w:cs="宋体"/>
          <w:szCs w:val="24"/>
          <w:highlight w:val="none"/>
        </w:rPr>
        <w:t>。</w:t>
      </w:r>
    </w:p>
    <w:p>
      <w:pPr>
        <w:pStyle w:val="4"/>
        <w:numPr>
          <w:ilvl w:val="2"/>
          <w:numId w:val="8"/>
        </w:numPr>
        <w:spacing w:line="360" w:lineRule="auto"/>
        <w:ind w:left="567"/>
        <w:rPr>
          <w:szCs w:val="24"/>
          <w:highlight w:val="none"/>
        </w:rPr>
      </w:pPr>
      <w:bookmarkStart w:id="71" w:name="_Toc154688561"/>
      <w:r>
        <w:rPr>
          <w:szCs w:val="24"/>
          <w:highlight w:val="none"/>
        </w:rPr>
        <w:t>开单</w:t>
      </w:r>
      <w:bookmarkEnd w:id="71"/>
    </w:p>
    <w:p>
      <w:pPr>
        <w:pStyle w:val="5"/>
        <w:numPr>
          <w:ilvl w:val="3"/>
          <w:numId w:val="8"/>
        </w:numPr>
        <w:spacing w:line="360" w:lineRule="auto"/>
        <w:ind w:left="708"/>
        <w:rPr>
          <w:szCs w:val="24"/>
          <w:highlight w:val="none"/>
          <w:lang w:eastAsia="zh-Hans"/>
        </w:rPr>
      </w:pPr>
      <w:r>
        <w:rPr>
          <w:rFonts w:hint="eastAsia"/>
          <w:szCs w:val="24"/>
          <w:highlight w:val="none"/>
          <w:lang w:eastAsia="zh-Hans"/>
        </w:rPr>
        <w:t>药物治疗计划表（MAP）</w:t>
      </w:r>
    </w:p>
    <w:p>
      <w:pPr>
        <w:pStyle w:val="18"/>
        <w:rPr>
          <w:rFonts w:ascii="宋体" w:hAnsi="宋体" w:cs="宋体"/>
          <w:szCs w:val="24"/>
          <w:highlight w:val="none"/>
        </w:rPr>
      </w:pPr>
      <w:r>
        <w:rPr>
          <w:rFonts w:hint="eastAsia" w:ascii="宋体" w:hAnsi="宋体" w:cs="宋体"/>
          <w:szCs w:val="24"/>
          <w:highlight w:val="none"/>
        </w:rPr>
        <w:t>药师根据患者的用药情况进行药物治疗计划的拟定</w:t>
      </w:r>
      <w:r>
        <w:rPr>
          <w:rFonts w:ascii="宋体" w:hAnsi="宋体" w:cs="宋体"/>
          <w:szCs w:val="24"/>
          <w:highlight w:val="none"/>
        </w:rPr>
        <w:t>，</w:t>
      </w:r>
      <w:r>
        <w:rPr>
          <w:rFonts w:hint="eastAsia" w:ascii="宋体" w:hAnsi="宋体" w:cs="宋体"/>
          <w:szCs w:val="24"/>
          <w:highlight w:val="none"/>
        </w:rPr>
        <w:t>可以查看到历史的治疗计划</w:t>
      </w:r>
      <w:r>
        <w:rPr>
          <w:rFonts w:ascii="宋体" w:hAnsi="宋体" w:cs="宋体"/>
          <w:szCs w:val="24"/>
          <w:highlight w:val="none"/>
        </w:rPr>
        <w:t>，</w:t>
      </w:r>
      <w:r>
        <w:rPr>
          <w:rFonts w:hint="eastAsia" w:ascii="宋体" w:hAnsi="宋体" w:cs="宋体"/>
          <w:szCs w:val="24"/>
          <w:highlight w:val="none"/>
        </w:rPr>
        <w:t>也可新增药物治疗计划</w:t>
      </w:r>
      <w:r>
        <w:rPr>
          <w:rFonts w:ascii="宋体" w:hAnsi="宋体" w:cs="宋体"/>
          <w:szCs w:val="24"/>
          <w:highlight w:val="none"/>
        </w:rPr>
        <w:t>，</w:t>
      </w:r>
      <w:r>
        <w:rPr>
          <w:rFonts w:hint="eastAsia" w:ascii="宋体" w:hAnsi="宋体" w:cs="宋体"/>
          <w:szCs w:val="24"/>
          <w:highlight w:val="none"/>
        </w:rPr>
        <w:t>支持查询患者的检验报告结果进行参考</w:t>
      </w:r>
      <w:r>
        <w:rPr>
          <w:rFonts w:ascii="宋体" w:hAnsi="宋体" w:cs="宋体"/>
          <w:szCs w:val="24"/>
          <w:highlight w:val="none"/>
        </w:rPr>
        <w:t>，</w:t>
      </w:r>
      <w:r>
        <w:rPr>
          <w:rFonts w:hint="eastAsia" w:ascii="宋体" w:hAnsi="宋体" w:cs="宋体"/>
          <w:szCs w:val="24"/>
          <w:highlight w:val="none"/>
        </w:rPr>
        <w:t>对药品的服用时间周期</w:t>
      </w:r>
      <w:r>
        <w:rPr>
          <w:rFonts w:ascii="宋体" w:hAnsi="宋体" w:cs="宋体"/>
          <w:szCs w:val="24"/>
          <w:highlight w:val="none"/>
        </w:rPr>
        <w:t>、</w:t>
      </w:r>
      <w:r>
        <w:rPr>
          <w:rFonts w:hint="eastAsia" w:ascii="宋体" w:hAnsi="宋体" w:cs="宋体"/>
          <w:szCs w:val="24"/>
          <w:highlight w:val="none"/>
        </w:rPr>
        <w:t>药品的服用时间节点以及药师对于药品服用的建议</w:t>
      </w:r>
      <w:r>
        <w:rPr>
          <w:rFonts w:ascii="宋体" w:hAnsi="宋体" w:cs="宋体"/>
          <w:szCs w:val="24"/>
          <w:highlight w:val="none"/>
        </w:rPr>
        <w:t>。</w:t>
      </w:r>
      <w:r>
        <w:rPr>
          <w:rFonts w:hint="eastAsia" w:ascii="宋体" w:hAnsi="宋体" w:cs="宋体"/>
          <w:szCs w:val="24"/>
          <w:highlight w:val="none"/>
        </w:rPr>
        <w:t>支持导出打印</w:t>
      </w:r>
      <w:r>
        <w:rPr>
          <w:rFonts w:ascii="宋体" w:hAnsi="宋体" w:cs="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随访评估表（follow-up）</w:t>
      </w:r>
    </w:p>
    <w:p>
      <w:pPr>
        <w:pStyle w:val="18"/>
        <w:rPr>
          <w:rFonts w:ascii="宋体" w:hAnsi="宋体" w:cs="宋体"/>
          <w:szCs w:val="24"/>
          <w:highlight w:val="none"/>
        </w:rPr>
      </w:pPr>
      <w:r>
        <w:rPr>
          <w:rFonts w:hint="eastAsia" w:ascii="宋体" w:hAnsi="宋体" w:cs="宋体"/>
          <w:szCs w:val="24"/>
          <w:highlight w:val="none"/>
        </w:rPr>
        <w:t>药师查看患者的历史随访评估记录</w:t>
      </w:r>
      <w:r>
        <w:rPr>
          <w:rFonts w:ascii="宋体" w:hAnsi="宋体" w:cs="宋体"/>
          <w:szCs w:val="24"/>
          <w:highlight w:val="none"/>
        </w:rPr>
        <w:t>，</w:t>
      </w:r>
      <w:r>
        <w:rPr>
          <w:rFonts w:hint="eastAsia" w:ascii="宋体" w:hAnsi="宋体" w:cs="宋体"/>
          <w:szCs w:val="24"/>
          <w:highlight w:val="none"/>
        </w:rPr>
        <w:t>也可新增随访评估记录</w:t>
      </w:r>
      <w:r>
        <w:rPr>
          <w:rFonts w:ascii="宋体" w:hAnsi="宋体" w:cs="宋体"/>
          <w:szCs w:val="24"/>
          <w:highlight w:val="none"/>
        </w:rPr>
        <w:t>，</w:t>
      </w:r>
      <w:r>
        <w:rPr>
          <w:rFonts w:hint="eastAsia" w:ascii="宋体" w:hAnsi="宋体" w:cs="宋体"/>
          <w:szCs w:val="24"/>
          <w:highlight w:val="none"/>
        </w:rPr>
        <w:t>针对患者的症状</w:t>
      </w:r>
      <w:r>
        <w:rPr>
          <w:rFonts w:ascii="宋体" w:hAnsi="宋体" w:cs="宋体"/>
          <w:szCs w:val="24"/>
          <w:highlight w:val="none"/>
        </w:rPr>
        <w:t>/</w:t>
      </w:r>
      <w:r>
        <w:rPr>
          <w:rFonts w:hint="eastAsia" w:ascii="宋体" w:hAnsi="宋体" w:cs="宋体"/>
          <w:szCs w:val="24"/>
          <w:highlight w:val="none"/>
        </w:rPr>
        <w:t>体征</w:t>
      </w:r>
      <w:r>
        <w:rPr>
          <w:rFonts w:ascii="宋体" w:hAnsi="宋体" w:cs="宋体"/>
          <w:szCs w:val="24"/>
          <w:highlight w:val="none"/>
        </w:rPr>
        <w:t>、</w:t>
      </w:r>
      <w:r>
        <w:rPr>
          <w:rFonts w:hint="eastAsia" w:ascii="宋体" w:hAnsi="宋体" w:cs="宋体"/>
          <w:szCs w:val="24"/>
          <w:highlight w:val="none"/>
        </w:rPr>
        <w:t>实验室检查</w:t>
      </w:r>
      <w:r>
        <w:rPr>
          <w:rFonts w:ascii="宋体" w:hAnsi="宋体" w:cs="宋体"/>
          <w:szCs w:val="24"/>
          <w:highlight w:val="none"/>
        </w:rPr>
        <w:t>、</w:t>
      </w:r>
      <w:r>
        <w:rPr>
          <w:rFonts w:hint="eastAsia" w:ascii="宋体" w:hAnsi="宋体" w:cs="宋体"/>
          <w:szCs w:val="24"/>
          <w:highlight w:val="none"/>
        </w:rPr>
        <w:t>药物治疗问题</w:t>
      </w:r>
      <w:r>
        <w:rPr>
          <w:rFonts w:ascii="宋体" w:hAnsi="宋体" w:cs="宋体"/>
          <w:szCs w:val="24"/>
          <w:highlight w:val="none"/>
        </w:rPr>
        <w:t>，</w:t>
      </w:r>
      <w:r>
        <w:rPr>
          <w:rFonts w:hint="eastAsia" w:ascii="宋体" w:hAnsi="宋体" w:cs="宋体"/>
          <w:szCs w:val="24"/>
          <w:highlight w:val="none"/>
        </w:rPr>
        <w:t>随访计划安排进行评价和打分</w:t>
      </w:r>
      <w:r>
        <w:rPr>
          <w:rFonts w:ascii="宋体" w:hAnsi="宋体" w:cs="宋体"/>
          <w:szCs w:val="24"/>
          <w:highlight w:val="none"/>
        </w:rPr>
        <w:t>，</w:t>
      </w:r>
      <w:r>
        <w:rPr>
          <w:rFonts w:hint="eastAsia" w:ascii="宋体" w:hAnsi="宋体" w:cs="宋体"/>
          <w:szCs w:val="24"/>
          <w:highlight w:val="none"/>
        </w:rPr>
        <w:t>支持查询患者的检验报告结果进行参考</w:t>
      </w:r>
      <w:r>
        <w:rPr>
          <w:rFonts w:ascii="宋体" w:hAnsi="宋体" w:cs="宋体"/>
          <w:szCs w:val="24"/>
          <w:highlight w:val="none"/>
        </w:rPr>
        <w:t>。</w:t>
      </w:r>
      <w:r>
        <w:rPr>
          <w:rFonts w:hint="eastAsia" w:ascii="宋体" w:hAnsi="宋体" w:cs="宋体"/>
          <w:szCs w:val="24"/>
          <w:highlight w:val="none"/>
        </w:rPr>
        <w:t>支持导出打印</w:t>
      </w:r>
      <w:r>
        <w:rPr>
          <w:rFonts w:ascii="宋体" w:hAnsi="宋体" w:cs="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监护计划</w:t>
      </w:r>
    </w:p>
    <w:p>
      <w:pPr>
        <w:pStyle w:val="18"/>
        <w:rPr>
          <w:rFonts w:ascii="宋体" w:hAnsi="宋体" w:cs="宋体"/>
          <w:szCs w:val="24"/>
          <w:highlight w:val="none"/>
        </w:rPr>
      </w:pPr>
      <w:r>
        <w:rPr>
          <w:rFonts w:hint="eastAsia" w:ascii="宋体" w:hAnsi="宋体" w:cs="宋体"/>
          <w:szCs w:val="24"/>
          <w:highlight w:val="none"/>
        </w:rPr>
        <w:t>药师查看患者的监护计划记录</w:t>
      </w:r>
      <w:r>
        <w:rPr>
          <w:rFonts w:ascii="宋体" w:hAnsi="宋体" w:cs="宋体"/>
          <w:szCs w:val="24"/>
          <w:highlight w:val="none"/>
        </w:rPr>
        <w:t>，</w:t>
      </w:r>
      <w:r>
        <w:rPr>
          <w:rFonts w:hint="eastAsia" w:ascii="宋体" w:hAnsi="宋体" w:cs="宋体"/>
          <w:szCs w:val="24"/>
          <w:highlight w:val="none"/>
        </w:rPr>
        <w:t>也可新增监护计划</w:t>
      </w:r>
      <w:r>
        <w:rPr>
          <w:rFonts w:ascii="宋体" w:hAnsi="宋体" w:cs="宋体"/>
          <w:szCs w:val="24"/>
          <w:highlight w:val="none"/>
        </w:rPr>
        <w:t>，</w:t>
      </w:r>
      <w:r>
        <w:rPr>
          <w:rFonts w:hint="eastAsia" w:ascii="宋体" w:hAnsi="宋体" w:cs="宋体"/>
          <w:szCs w:val="24"/>
          <w:highlight w:val="none"/>
        </w:rPr>
        <w:t>针对患者的适应症</w:t>
      </w:r>
      <w:r>
        <w:rPr>
          <w:rFonts w:ascii="宋体" w:hAnsi="宋体" w:cs="宋体"/>
          <w:szCs w:val="24"/>
          <w:highlight w:val="none"/>
        </w:rPr>
        <w:t>、</w:t>
      </w:r>
      <w:r>
        <w:rPr>
          <w:rFonts w:hint="eastAsia" w:ascii="宋体" w:hAnsi="宋体" w:cs="宋体"/>
          <w:szCs w:val="24"/>
          <w:highlight w:val="none"/>
        </w:rPr>
        <w:t>治疗目标</w:t>
      </w:r>
      <w:r>
        <w:rPr>
          <w:rFonts w:ascii="宋体" w:hAnsi="宋体" w:cs="宋体"/>
          <w:szCs w:val="24"/>
          <w:highlight w:val="none"/>
        </w:rPr>
        <w:t>、</w:t>
      </w:r>
      <w:r>
        <w:rPr>
          <w:rFonts w:hint="eastAsia" w:ascii="宋体" w:hAnsi="宋体" w:cs="宋体"/>
          <w:szCs w:val="24"/>
          <w:highlight w:val="none"/>
        </w:rPr>
        <w:t>需要解决的药物治疗问题进行填写</w:t>
      </w:r>
      <w:r>
        <w:rPr>
          <w:rFonts w:ascii="宋体" w:hAnsi="宋体" w:cs="宋体"/>
          <w:szCs w:val="24"/>
          <w:highlight w:val="none"/>
        </w:rPr>
        <w:t>，</w:t>
      </w:r>
      <w:r>
        <w:rPr>
          <w:rFonts w:hint="eastAsia" w:ascii="宋体" w:hAnsi="宋体" w:cs="宋体"/>
          <w:szCs w:val="24"/>
          <w:highlight w:val="none"/>
        </w:rPr>
        <w:t>支持查询患者的检验报告结果进行参考</w:t>
      </w:r>
      <w:r>
        <w:rPr>
          <w:rFonts w:ascii="宋体" w:hAnsi="宋体" w:cs="宋体"/>
          <w:szCs w:val="24"/>
          <w:highlight w:val="none"/>
        </w:rPr>
        <w:t>。</w:t>
      </w:r>
      <w:r>
        <w:rPr>
          <w:rFonts w:hint="eastAsia" w:ascii="宋体" w:hAnsi="宋体" w:cs="宋体"/>
          <w:szCs w:val="24"/>
          <w:highlight w:val="none"/>
        </w:rPr>
        <w:t>支持导出打印</w:t>
      </w:r>
      <w:r>
        <w:rPr>
          <w:rFonts w:ascii="宋体" w:hAnsi="宋体" w:cs="宋体"/>
          <w:szCs w:val="24"/>
          <w:highlight w:val="none"/>
        </w:rPr>
        <w:t>。</w:t>
      </w:r>
    </w:p>
    <w:p>
      <w:pPr>
        <w:pStyle w:val="5"/>
        <w:numPr>
          <w:ilvl w:val="3"/>
          <w:numId w:val="8"/>
        </w:numPr>
        <w:spacing w:line="360" w:lineRule="auto"/>
        <w:ind w:left="708"/>
        <w:rPr>
          <w:szCs w:val="24"/>
          <w:highlight w:val="none"/>
          <w:lang w:eastAsia="zh-Hans"/>
        </w:rPr>
      </w:pPr>
      <w:r>
        <w:rPr>
          <w:rFonts w:hint="eastAsia"/>
          <w:szCs w:val="24"/>
          <w:highlight w:val="none"/>
          <w:lang w:eastAsia="zh-Hans"/>
        </w:rPr>
        <w:t>药师干预计划</w:t>
      </w:r>
    </w:p>
    <w:p>
      <w:pPr>
        <w:pStyle w:val="18"/>
        <w:rPr>
          <w:rFonts w:ascii="宋体" w:hAnsi="宋体" w:cs="宋体"/>
          <w:szCs w:val="24"/>
          <w:highlight w:val="none"/>
        </w:rPr>
      </w:pPr>
      <w:r>
        <w:rPr>
          <w:rFonts w:hint="eastAsia" w:ascii="宋体" w:hAnsi="宋体" w:cs="宋体"/>
          <w:szCs w:val="24"/>
          <w:highlight w:val="none"/>
        </w:rPr>
        <w:t>药师查看患者的干预计划记录</w:t>
      </w:r>
      <w:r>
        <w:rPr>
          <w:rFonts w:ascii="宋体" w:hAnsi="宋体" w:cs="宋体"/>
          <w:szCs w:val="24"/>
          <w:highlight w:val="none"/>
        </w:rPr>
        <w:t>，</w:t>
      </w:r>
      <w:r>
        <w:rPr>
          <w:rFonts w:hint="eastAsia" w:ascii="宋体" w:hAnsi="宋体" w:cs="宋体"/>
          <w:szCs w:val="24"/>
          <w:highlight w:val="none"/>
        </w:rPr>
        <w:t>也可新增干预计划</w:t>
      </w:r>
      <w:r>
        <w:rPr>
          <w:rFonts w:ascii="宋体" w:hAnsi="宋体" w:cs="宋体"/>
          <w:szCs w:val="24"/>
          <w:highlight w:val="none"/>
        </w:rPr>
        <w:t>，</w:t>
      </w:r>
      <w:r>
        <w:rPr>
          <w:rFonts w:hint="eastAsia" w:ascii="宋体" w:hAnsi="宋体" w:cs="宋体"/>
          <w:szCs w:val="24"/>
          <w:highlight w:val="none"/>
        </w:rPr>
        <w:t>填写需要干预的药品</w:t>
      </w:r>
      <w:r>
        <w:rPr>
          <w:rFonts w:ascii="宋体" w:hAnsi="宋体" w:cs="宋体"/>
          <w:szCs w:val="24"/>
          <w:highlight w:val="none"/>
        </w:rPr>
        <w:t>、</w:t>
      </w:r>
      <w:r>
        <w:rPr>
          <w:rFonts w:hint="eastAsia" w:ascii="宋体" w:hAnsi="宋体" w:cs="宋体"/>
          <w:szCs w:val="24"/>
          <w:highlight w:val="none"/>
        </w:rPr>
        <w:t>药品的问题以及干预措施</w:t>
      </w:r>
      <w:r>
        <w:rPr>
          <w:rFonts w:ascii="宋体" w:hAnsi="宋体" w:cs="宋体"/>
          <w:szCs w:val="24"/>
          <w:highlight w:val="none"/>
        </w:rPr>
        <w:t>，</w:t>
      </w:r>
      <w:r>
        <w:rPr>
          <w:rFonts w:hint="eastAsia" w:ascii="宋体" w:hAnsi="宋体" w:cs="宋体"/>
          <w:szCs w:val="24"/>
          <w:highlight w:val="none"/>
        </w:rPr>
        <w:t>支持查询患者的检验报告结果进行参考</w:t>
      </w:r>
      <w:r>
        <w:rPr>
          <w:rFonts w:ascii="宋体" w:hAnsi="宋体" w:cs="宋体"/>
          <w:szCs w:val="24"/>
          <w:highlight w:val="none"/>
        </w:rPr>
        <w:t>。</w:t>
      </w:r>
      <w:r>
        <w:rPr>
          <w:rFonts w:hint="eastAsia" w:ascii="宋体" w:hAnsi="宋体" w:cs="宋体"/>
          <w:szCs w:val="24"/>
          <w:highlight w:val="none"/>
        </w:rPr>
        <w:t>支持导出打印</w:t>
      </w:r>
      <w:r>
        <w:rPr>
          <w:rFonts w:ascii="宋体" w:hAnsi="宋体" w:cs="宋体"/>
          <w:szCs w:val="24"/>
          <w:highlight w:val="none"/>
        </w:rPr>
        <w:t>。</w:t>
      </w:r>
    </w:p>
    <w:p>
      <w:pPr>
        <w:pStyle w:val="5"/>
        <w:numPr>
          <w:ilvl w:val="3"/>
          <w:numId w:val="9"/>
        </w:numPr>
        <w:ind w:left="709"/>
        <w:rPr>
          <w:szCs w:val="24"/>
          <w:highlight w:val="none"/>
        </w:rPr>
      </w:pPr>
      <w:r>
        <w:rPr>
          <w:rFonts w:hint="eastAsia"/>
          <w:szCs w:val="24"/>
          <w:highlight w:val="none"/>
        </w:rPr>
        <w:t>门诊指导建议</w:t>
      </w:r>
    </w:p>
    <w:p>
      <w:pPr>
        <w:pStyle w:val="18"/>
        <w:rPr>
          <w:rFonts w:ascii="宋体" w:hAnsi="宋体" w:cs="宋体"/>
          <w:szCs w:val="24"/>
          <w:highlight w:val="none"/>
        </w:rPr>
      </w:pPr>
      <w:r>
        <w:rPr>
          <w:rFonts w:hint="eastAsia" w:ascii="宋体" w:hAnsi="宋体" w:cs="宋体"/>
          <w:szCs w:val="24"/>
          <w:highlight w:val="none"/>
        </w:rPr>
        <w:t>药师对于本次的就诊结果</w:t>
      </w:r>
      <w:r>
        <w:rPr>
          <w:rFonts w:ascii="宋体" w:hAnsi="宋体" w:cs="宋体"/>
          <w:szCs w:val="24"/>
          <w:highlight w:val="none"/>
        </w:rPr>
        <w:t>，</w:t>
      </w:r>
      <w:r>
        <w:rPr>
          <w:rFonts w:hint="eastAsia" w:ascii="宋体" w:hAnsi="宋体" w:cs="宋体"/>
          <w:szCs w:val="24"/>
          <w:highlight w:val="none"/>
        </w:rPr>
        <w:t>在此形成最终的指导建议</w:t>
      </w:r>
      <w:r>
        <w:rPr>
          <w:rFonts w:ascii="宋体" w:hAnsi="宋体" w:cs="宋体"/>
          <w:szCs w:val="24"/>
          <w:highlight w:val="none"/>
        </w:rPr>
        <w:t>。</w:t>
      </w:r>
      <w:r>
        <w:rPr>
          <w:rFonts w:hint="eastAsia" w:ascii="宋体" w:hAnsi="宋体" w:cs="宋体"/>
          <w:szCs w:val="24"/>
          <w:highlight w:val="none"/>
        </w:rPr>
        <w:t>可以查看历史的指导建议</w:t>
      </w:r>
      <w:r>
        <w:rPr>
          <w:rFonts w:ascii="宋体" w:hAnsi="宋体" w:cs="宋体"/>
          <w:szCs w:val="24"/>
          <w:highlight w:val="none"/>
        </w:rPr>
        <w:t>，</w:t>
      </w:r>
      <w:r>
        <w:rPr>
          <w:rFonts w:hint="eastAsia" w:ascii="宋体" w:hAnsi="宋体" w:cs="宋体"/>
          <w:szCs w:val="24"/>
          <w:highlight w:val="none"/>
        </w:rPr>
        <w:t>也可新建本次的指导建议</w:t>
      </w:r>
      <w:r>
        <w:rPr>
          <w:rFonts w:ascii="宋体" w:hAnsi="宋体" w:cs="宋体"/>
          <w:szCs w:val="24"/>
          <w:highlight w:val="none"/>
        </w:rPr>
        <w:t>，</w:t>
      </w:r>
      <w:r>
        <w:rPr>
          <w:rFonts w:hint="eastAsia" w:ascii="宋体" w:hAnsi="宋体" w:cs="宋体"/>
          <w:szCs w:val="24"/>
          <w:highlight w:val="none"/>
        </w:rPr>
        <w:t>填写用药建议和其他建议</w:t>
      </w:r>
      <w:r>
        <w:rPr>
          <w:rFonts w:ascii="宋体" w:hAnsi="宋体" w:cs="宋体"/>
          <w:szCs w:val="24"/>
          <w:highlight w:val="none"/>
        </w:rPr>
        <w:t>，</w:t>
      </w:r>
      <w:r>
        <w:rPr>
          <w:rFonts w:hint="eastAsia" w:ascii="宋体" w:hAnsi="宋体" w:cs="宋体"/>
          <w:szCs w:val="24"/>
          <w:highlight w:val="none"/>
        </w:rPr>
        <w:t>填写时可调用配置好的模版</w:t>
      </w:r>
      <w:r>
        <w:rPr>
          <w:rFonts w:ascii="宋体" w:hAnsi="宋体" w:cs="宋体"/>
          <w:szCs w:val="24"/>
          <w:highlight w:val="none"/>
        </w:rPr>
        <w:t>。</w:t>
      </w:r>
      <w:r>
        <w:rPr>
          <w:rFonts w:hint="eastAsia" w:ascii="宋体" w:hAnsi="宋体" w:cs="宋体"/>
          <w:szCs w:val="24"/>
          <w:highlight w:val="none"/>
        </w:rPr>
        <w:t>支持导出打印给到患者</w:t>
      </w:r>
      <w:r>
        <w:rPr>
          <w:rFonts w:ascii="宋体" w:hAnsi="宋体" w:cs="宋体"/>
          <w:szCs w:val="24"/>
          <w:highlight w:val="none"/>
        </w:rPr>
        <w:t>。</w:t>
      </w:r>
    </w:p>
    <w:p>
      <w:pPr>
        <w:pStyle w:val="4"/>
        <w:numPr>
          <w:ilvl w:val="2"/>
          <w:numId w:val="8"/>
        </w:numPr>
        <w:spacing w:line="360" w:lineRule="auto"/>
        <w:ind w:left="567"/>
        <w:rPr>
          <w:szCs w:val="24"/>
          <w:highlight w:val="none"/>
        </w:rPr>
      </w:pPr>
      <w:bookmarkStart w:id="72" w:name="_Toc154688562"/>
      <w:r>
        <w:rPr>
          <w:rFonts w:hint="eastAsia"/>
          <w:szCs w:val="24"/>
          <w:highlight w:val="none"/>
        </w:rPr>
        <w:t>调阅信息</w:t>
      </w:r>
      <w:bookmarkEnd w:id="72"/>
    </w:p>
    <w:p>
      <w:pPr>
        <w:pStyle w:val="18"/>
        <w:rPr>
          <w:rFonts w:ascii="宋体" w:hAnsi="宋体" w:cs="宋体"/>
          <w:szCs w:val="24"/>
          <w:highlight w:val="none"/>
        </w:rPr>
      </w:pPr>
      <w:r>
        <w:rPr>
          <w:rFonts w:hint="eastAsia" w:ascii="宋体" w:hAnsi="宋体" w:cs="宋体"/>
          <w:szCs w:val="24"/>
          <w:highlight w:val="none"/>
        </w:rPr>
        <w:t>1、电子病历调阅</w:t>
      </w:r>
    </w:p>
    <w:p>
      <w:pPr>
        <w:pStyle w:val="18"/>
        <w:rPr>
          <w:rFonts w:ascii="宋体" w:hAnsi="宋体" w:cs="宋体"/>
          <w:szCs w:val="24"/>
          <w:highlight w:val="none"/>
        </w:rPr>
      </w:pPr>
      <w:r>
        <w:rPr>
          <w:rFonts w:hint="eastAsia" w:ascii="宋体" w:hAnsi="宋体" w:cs="宋体"/>
          <w:szCs w:val="24"/>
          <w:highlight w:val="none"/>
        </w:rPr>
        <w:t>药师在接诊过程中，可以调阅患者的电子病历。</w:t>
      </w:r>
    </w:p>
    <w:p>
      <w:pPr>
        <w:pStyle w:val="18"/>
        <w:rPr>
          <w:rFonts w:ascii="宋体" w:hAnsi="宋体" w:cs="宋体"/>
          <w:szCs w:val="24"/>
          <w:highlight w:val="none"/>
        </w:rPr>
      </w:pPr>
      <w:r>
        <w:rPr>
          <w:rFonts w:hint="eastAsia" w:ascii="宋体" w:hAnsi="宋体" w:cs="宋体"/>
          <w:szCs w:val="24"/>
          <w:highlight w:val="none"/>
        </w:rPr>
        <w:t>点击按钮之后，跳转至电子病历系统对应该患者的病历页面。</w:t>
      </w:r>
    </w:p>
    <w:p>
      <w:pPr>
        <w:pStyle w:val="18"/>
        <w:rPr>
          <w:rFonts w:ascii="宋体" w:hAnsi="宋体" w:cs="宋体"/>
          <w:szCs w:val="24"/>
          <w:highlight w:val="none"/>
        </w:rPr>
      </w:pPr>
      <w:r>
        <w:rPr>
          <w:rFonts w:hint="eastAsia" w:ascii="宋体" w:hAnsi="宋体" w:cs="宋体"/>
          <w:szCs w:val="24"/>
          <w:highlight w:val="none"/>
        </w:rPr>
        <w:t>2、医嘱调阅</w:t>
      </w:r>
    </w:p>
    <w:p>
      <w:pPr>
        <w:pStyle w:val="18"/>
        <w:rPr>
          <w:rFonts w:ascii="宋体" w:hAnsi="宋体" w:cs="宋体"/>
          <w:szCs w:val="24"/>
          <w:highlight w:val="none"/>
        </w:rPr>
      </w:pPr>
      <w:r>
        <w:rPr>
          <w:rFonts w:hint="eastAsia" w:ascii="宋体" w:hAnsi="宋体" w:cs="宋体"/>
          <w:szCs w:val="24"/>
          <w:highlight w:val="none"/>
        </w:rPr>
        <w:t>药师在接诊过程中，可以调阅患者的历史医嘱。</w:t>
      </w:r>
    </w:p>
    <w:p>
      <w:pPr>
        <w:pStyle w:val="18"/>
        <w:rPr>
          <w:rFonts w:ascii="宋体" w:hAnsi="宋体" w:cs="宋体"/>
          <w:szCs w:val="24"/>
          <w:highlight w:val="none"/>
        </w:rPr>
      </w:pPr>
      <w:r>
        <w:rPr>
          <w:rFonts w:hint="eastAsia" w:ascii="宋体" w:hAnsi="宋体" w:cs="宋体"/>
          <w:szCs w:val="24"/>
          <w:highlight w:val="none"/>
        </w:rPr>
        <w:t>点击按钮之后</w:t>
      </w:r>
      <w:r>
        <w:rPr>
          <w:rFonts w:ascii="宋体" w:hAnsi="宋体" w:cs="宋体"/>
          <w:szCs w:val="24"/>
          <w:highlight w:val="none"/>
        </w:rPr>
        <w:t>，</w:t>
      </w:r>
      <w:r>
        <w:rPr>
          <w:rFonts w:hint="eastAsia" w:ascii="宋体" w:hAnsi="宋体" w:cs="宋体"/>
          <w:szCs w:val="24"/>
          <w:highlight w:val="none"/>
        </w:rPr>
        <w:t>将患者的历史用药医嘱信息读取出来。</w:t>
      </w:r>
    </w:p>
    <w:p>
      <w:pPr>
        <w:pStyle w:val="18"/>
        <w:rPr>
          <w:rFonts w:ascii="宋体" w:hAnsi="宋体" w:cs="宋体"/>
          <w:szCs w:val="24"/>
          <w:highlight w:val="none"/>
        </w:rPr>
      </w:pPr>
      <w:r>
        <w:rPr>
          <w:rFonts w:hint="eastAsia" w:ascii="宋体" w:hAnsi="宋体" w:cs="宋体"/>
          <w:szCs w:val="24"/>
          <w:highlight w:val="none"/>
        </w:rPr>
        <w:t>3、电子药历调阅</w:t>
      </w:r>
    </w:p>
    <w:p>
      <w:pPr>
        <w:pStyle w:val="18"/>
        <w:rPr>
          <w:rFonts w:ascii="宋体" w:hAnsi="宋体" w:cs="宋体"/>
          <w:szCs w:val="24"/>
          <w:highlight w:val="none"/>
        </w:rPr>
      </w:pPr>
      <w:r>
        <w:rPr>
          <w:rFonts w:hint="eastAsia" w:ascii="宋体" w:hAnsi="宋体" w:cs="宋体"/>
          <w:szCs w:val="24"/>
          <w:highlight w:val="none"/>
        </w:rPr>
        <w:t>药师在接诊过程中，可以调阅患者的电子药历信息。</w:t>
      </w:r>
    </w:p>
    <w:p>
      <w:pPr>
        <w:pStyle w:val="18"/>
        <w:rPr>
          <w:rFonts w:ascii="宋体" w:hAnsi="宋体" w:cs="宋体"/>
          <w:szCs w:val="24"/>
          <w:highlight w:val="none"/>
        </w:rPr>
      </w:pPr>
      <w:r>
        <w:rPr>
          <w:rFonts w:hint="eastAsia" w:ascii="宋体" w:hAnsi="宋体" w:cs="宋体"/>
          <w:szCs w:val="24"/>
          <w:highlight w:val="none"/>
        </w:rPr>
        <w:t>点击按钮之后</w:t>
      </w:r>
      <w:r>
        <w:rPr>
          <w:rFonts w:ascii="宋体" w:hAnsi="宋体" w:cs="宋体"/>
          <w:szCs w:val="24"/>
          <w:highlight w:val="none"/>
        </w:rPr>
        <w:t>，</w:t>
      </w:r>
      <w:r>
        <w:rPr>
          <w:rFonts w:hint="eastAsia" w:ascii="宋体" w:hAnsi="宋体" w:cs="宋体"/>
          <w:szCs w:val="24"/>
          <w:highlight w:val="none"/>
        </w:rPr>
        <w:t>将患者的药历信息读取出来。</w:t>
      </w:r>
    </w:p>
    <w:p>
      <w:pPr>
        <w:pStyle w:val="4"/>
        <w:numPr>
          <w:ilvl w:val="2"/>
          <w:numId w:val="8"/>
        </w:numPr>
        <w:spacing w:line="360" w:lineRule="auto"/>
        <w:ind w:left="567"/>
        <w:rPr>
          <w:szCs w:val="24"/>
          <w:highlight w:val="none"/>
        </w:rPr>
      </w:pPr>
      <w:bookmarkStart w:id="73" w:name="_Toc154688563"/>
      <w:r>
        <w:rPr>
          <w:rFonts w:hint="eastAsia"/>
          <w:szCs w:val="24"/>
          <w:highlight w:val="none"/>
        </w:rPr>
        <w:t>门诊记录管理</w:t>
      </w:r>
      <w:bookmarkEnd w:id="73"/>
    </w:p>
    <w:p>
      <w:pPr>
        <w:pStyle w:val="18"/>
        <w:rPr>
          <w:rFonts w:ascii="宋体" w:hAnsi="宋体" w:cs="宋体"/>
          <w:szCs w:val="24"/>
          <w:highlight w:val="none"/>
        </w:rPr>
      </w:pPr>
      <w:r>
        <w:rPr>
          <w:rFonts w:hint="eastAsia" w:ascii="宋体" w:hAnsi="宋体" w:cs="宋体"/>
          <w:szCs w:val="24"/>
          <w:highlight w:val="none"/>
        </w:rPr>
        <w:t>用户通过“门诊记录管理”功能查询门诊历史记录，支持时间、科室、患者姓名、药师等多维度查询，并可对门诊记录详情进行维护和预览，可将记录详情打印，并导出文件。</w:t>
      </w:r>
    </w:p>
    <w:p>
      <w:pPr>
        <w:pStyle w:val="4"/>
        <w:numPr>
          <w:ilvl w:val="2"/>
          <w:numId w:val="8"/>
        </w:numPr>
        <w:spacing w:line="360" w:lineRule="auto"/>
        <w:ind w:left="567"/>
        <w:rPr>
          <w:szCs w:val="24"/>
          <w:highlight w:val="none"/>
        </w:rPr>
      </w:pPr>
      <w:bookmarkStart w:id="74" w:name="_Toc154688564"/>
      <w:r>
        <w:rPr>
          <w:rFonts w:hint="eastAsia"/>
          <w:szCs w:val="24"/>
          <w:highlight w:val="none"/>
        </w:rPr>
        <w:t>门诊用药建议内容管理</w:t>
      </w:r>
      <w:bookmarkEnd w:id="74"/>
    </w:p>
    <w:p>
      <w:pPr>
        <w:pStyle w:val="18"/>
        <w:rPr>
          <w:rFonts w:ascii="宋体" w:hAnsi="宋体" w:cs="宋体"/>
          <w:szCs w:val="24"/>
          <w:highlight w:val="none"/>
        </w:rPr>
      </w:pPr>
      <w:r>
        <w:rPr>
          <w:rFonts w:hint="eastAsia" w:ascii="宋体" w:hAnsi="宋体" w:cs="宋体"/>
          <w:szCs w:val="24"/>
          <w:highlight w:val="none"/>
        </w:rPr>
        <w:t>药师可对用药建议和其他建议的内容模版进行查看</w:t>
      </w:r>
      <w:r>
        <w:rPr>
          <w:rFonts w:ascii="宋体" w:hAnsi="宋体" w:cs="宋体"/>
          <w:szCs w:val="24"/>
          <w:highlight w:val="none"/>
        </w:rPr>
        <w:t>，</w:t>
      </w:r>
      <w:r>
        <w:rPr>
          <w:rFonts w:hint="eastAsia" w:ascii="宋体" w:hAnsi="宋体" w:cs="宋体"/>
          <w:szCs w:val="24"/>
          <w:highlight w:val="none"/>
        </w:rPr>
        <w:t>并对建议的内容详情进行维护</w:t>
      </w:r>
      <w:r>
        <w:rPr>
          <w:rFonts w:ascii="宋体" w:hAnsi="宋体" w:cs="宋体"/>
          <w:szCs w:val="24"/>
          <w:highlight w:val="none"/>
        </w:rPr>
        <w:t>，</w:t>
      </w:r>
      <w:r>
        <w:rPr>
          <w:rFonts w:hint="eastAsia" w:ascii="宋体" w:hAnsi="宋体" w:cs="宋体"/>
          <w:szCs w:val="24"/>
          <w:highlight w:val="none"/>
        </w:rPr>
        <w:t>可以直接调取到系统中的药品数据</w:t>
      </w:r>
      <w:r>
        <w:rPr>
          <w:rFonts w:ascii="宋体" w:hAnsi="宋体" w:cs="宋体"/>
          <w:szCs w:val="24"/>
          <w:highlight w:val="none"/>
        </w:rPr>
        <w:t>。</w:t>
      </w:r>
    </w:p>
    <w:p>
      <w:pPr>
        <w:pStyle w:val="4"/>
        <w:numPr>
          <w:ilvl w:val="2"/>
          <w:numId w:val="8"/>
        </w:numPr>
        <w:spacing w:line="360" w:lineRule="auto"/>
        <w:ind w:left="567"/>
        <w:rPr>
          <w:szCs w:val="24"/>
          <w:highlight w:val="none"/>
        </w:rPr>
      </w:pPr>
      <w:bookmarkStart w:id="75" w:name="_Toc154688565"/>
      <w:r>
        <w:rPr>
          <w:rFonts w:hint="eastAsia"/>
          <w:szCs w:val="24"/>
          <w:highlight w:val="none"/>
        </w:rPr>
        <w:t>工作评价</w:t>
      </w:r>
      <w:bookmarkEnd w:id="75"/>
    </w:p>
    <w:p>
      <w:pPr>
        <w:pStyle w:val="18"/>
        <w:rPr>
          <w:rFonts w:ascii="宋体" w:hAnsi="宋体" w:cs="宋体"/>
          <w:szCs w:val="24"/>
          <w:highlight w:val="none"/>
        </w:rPr>
      </w:pPr>
      <w:r>
        <w:rPr>
          <w:rFonts w:hint="eastAsia" w:ascii="宋体" w:hAnsi="宋体" w:cs="宋体"/>
          <w:szCs w:val="24"/>
          <w:highlight w:val="none"/>
        </w:rPr>
        <w:t>药师在看诊结束后</w:t>
      </w:r>
      <w:r>
        <w:rPr>
          <w:rFonts w:ascii="宋体" w:hAnsi="宋体" w:cs="宋体"/>
          <w:szCs w:val="24"/>
          <w:highlight w:val="none"/>
        </w:rPr>
        <w:t>，</w:t>
      </w:r>
      <w:r>
        <w:rPr>
          <w:rFonts w:hint="eastAsia" w:ascii="宋体" w:hAnsi="宋体" w:cs="宋体"/>
          <w:szCs w:val="24"/>
          <w:highlight w:val="none"/>
        </w:rPr>
        <w:t>看诊的记录保存在此</w:t>
      </w:r>
      <w:r>
        <w:rPr>
          <w:rFonts w:ascii="宋体" w:hAnsi="宋体" w:cs="宋体"/>
          <w:szCs w:val="24"/>
          <w:highlight w:val="none"/>
        </w:rPr>
        <w:t>，</w:t>
      </w:r>
      <w:r>
        <w:rPr>
          <w:rFonts w:hint="eastAsia" w:ascii="宋体" w:hAnsi="宋体" w:cs="宋体"/>
          <w:szCs w:val="24"/>
          <w:highlight w:val="none"/>
        </w:rPr>
        <w:t>可以对看诊的记录进行评价打分</w:t>
      </w:r>
      <w:r>
        <w:rPr>
          <w:rFonts w:ascii="宋体" w:hAnsi="宋体" w:cs="宋体"/>
          <w:szCs w:val="24"/>
          <w:highlight w:val="none"/>
        </w:rPr>
        <w:t>，</w:t>
      </w:r>
      <w:r>
        <w:rPr>
          <w:rFonts w:hint="eastAsia" w:ascii="宋体" w:hAnsi="宋体" w:cs="宋体"/>
          <w:szCs w:val="24"/>
          <w:highlight w:val="none"/>
        </w:rPr>
        <w:t>并统计评价排名</w:t>
      </w:r>
      <w:r>
        <w:rPr>
          <w:rFonts w:ascii="宋体" w:hAnsi="宋体" w:cs="宋体"/>
          <w:szCs w:val="24"/>
          <w:highlight w:val="none"/>
        </w:rPr>
        <w:t>，</w:t>
      </w:r>
      <w:r>
        <w:rPr>
          <w:rFonts w:hint="eastAsia" w:ascii="宋体" w:hAnsi="宋体" w:cs="宋体"/>
          <w:szCs w:val="24"/>
          <w:highlight w:val="none"/>
        </w:rPr>
        <w:t>查看评价的相关信息详情</w:t>
      </w:r>
      <w:r>
        <w:rPr>
          <w:rFonts w:ascii="宋体" w:hAnsi="宋体" w:cs="宋体"/>
          <w:szCs w:val="24"/>
          <w:highlight w:val="none"/>
        </w:rPr>
        <w:t>，</w:t>
      </w:r>
      <w:r>
        <w:rPr>
          <w:rFonts w:hint="eastAsia" w:ascii="宋体" w:hAnsi="宋体" w:cs="宋体"/>
          <w:szCs w:val="24"/>
          <w:highlight w:val="none"/>
        </w:rPr>
        <w:t>对于本次的所有就诊信息内容可以查看和打印导出</w:t>
      </w:r>
      <w:r>
        <w:rPr>
          <w:rFonts w:ascii="宋体" w:hAnsi="宋体" w:cs="宋体"/>
          <w:szCs w:val="24"/>
          <w:highlight w:val="none"/>
        </w:rPr>
        <w:t>。</w:t>
      </w:r>
    </w:p>
    <w:p>
      <w:pPr>
        <w:pStyle w:val="4"/>
        <w:numPr>
          <w:ilvl w:val="2"/>
          <w:numId w:val="8"/>
        </w:numPr>
        <w:spacing w:line="360" w:lineRule="auto"/>
        <w:ind w:left="567"/>
        <w:rPr>
          <w:szCs w:val="24"/>
          <w:highlight w:val="none"/>
        </w:rPr>
      </w:pPr>
      <w:bookmarkStart w:id="76" w:name="_Toc154688566"/>
      <w:r>
        <w:rPr>
          <w:rFonts w:hint="eastAsia"/>
          <w:szCs w:val="24"/>
          <w:highlight w:val="none"/>
        </w:rPr>
        <w:t>门诊工作量统计</w:t>
      </w:r>
      <w:bookmarkEnd w:id="76"/>
    </w:p>
    <w:p>
      <w:pPr>
        <w:pStyle w:val="18"/>
        <w:rPr>
          <w:rFonts w:ascii="宋体" w:hAnsi="宋体"/>
          <w:szCs w:val="24"/>
          <w:highlight w:val="none"/>
        </w:rPr>
      </w:pPr>
      <w:r>
        <w:rPr>
          <w:rFonts w:hint="eastAsia" w:ascii="宋体" w:hAnsi="宋体"/>
          <w:szCs w:val="24"/>
          <w:highlight w:val="none"/>
        </w:rPr>
        <w:t>对门诊药师的工作量进行</w:t>
      </w:r>
      <w:r>
        <w:rPr>
          <w:rFonts w:hint="eastAsia" w:ascii="宋体" w:hAnsi="宋体" w:cs="宋体"/>
          <w:szCs w:val="24"/>
          <w:highlight w:val="none"/>
        </w:rPr>
        <w:t>统计</w:t>
      </w:r>
      <w:r>
        <w:rPr>
          <w:rFonts w:ascii="宋体" w:hAnsi="宋体"/>
          <w:szCs w:val="24"/>
          <w:highlight w:val="none"/>
        </w:rPr>
        <w:t>，</w:t>
      </w:r>
      <w:r>
        <w:rPr>
          <w:rFonts w:hint="eastAsia" w:ascii="宋体" w:hAnsi="宋体"/>
          <w:szCs w:val="24"/>
          <w:highlight w:val="none"/>
        </w:rPr>
        <w:t>分为三个维度进行统计和分析</w:t>
      </w:r>
      <w:r>
        <w:rPr>
          <w:rFonts w:ascii="宋体" w:hAnsi="宋体"/>
          <w:szCs w:val="24"/>
          <w:highlight w:val="none"/>
        </w:rPr>
        <w:t>，</w:t>
      </w:r>
      <w:r>
        <w:rPr>
          <w:rFonts w:hint="eastAsia" w:ascii="宋体" w:hAnsi="宋体"/>
          <w:szCs w:val="24"/>
          <w:highlight w:val="none"/>
        </w:rPr>
        <w:t>支持查询的结果导出</w:t>
      </w:r>
      <w:r>
        <w:rPr>
          <w:rFonts w:ascii="宋体" w:hAnsi="宋体"/>
          <w:szCs w:val="24"/>
          <w:highlight w:val="none"/>
        </w:rPr>
        <w:t>：</w:t>
      </w:r>
    </w:p>
    <w:p>
      <w:pPr>
        <w:pStyle w:val="32"/>
        <w:numPr>
          <w:ilvl w:val="0"/>
          <w:numId w:val="12"/>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每日接诊量统计</w:t>
      </w:r>
    </w:p>
    <w:p>
      <w:pPr>
        <w:pStyle w:val="32"/>
        <w:numPr>
          <w:ilvl w:val="0"/>
          <w:numId w:val="12"/>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每日接诊量查询</w:t>
      </w:r>
    </w:p>
    <w:p>
      <w:pPr>
        <w:pStyle w:val="32"/>
        <w:numPr>
          <w:ilvl w:val="0"/>
          <w:numId w:val="12"/>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每日接诊量导出</w:t>
      </w:r>
    </w:p>
    <w:p>
      <w:pPr>
        <w:pStyle w:val="32"/>
        <w:numPr>
          <w:ilvl w:val="0"/>
          <w:numId w:val="12"/>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药师工作质量评分排行榜统计</w:t>
      </w:r>
    </w:p>
    <w:p>
      <w:pPr>
        <w:pStyle w:val="32"/>
        <w:numPr>
          <w:ilvl w:val="0"/>
          <w:numId w:val="12"/>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药师工作质量评分排行榜查询</w:t>
      </w:r>
    </w:p>
    <w:p>
      <w:pPr>
        <w:pStyle w:val="32"/>
        <w:numPr>
          <w:ilvl w:val="0"/>
          <w:numId w:val="12"/>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药师工作质量评分排行榜导出</w:t>
      </w:r>
    </w:p>
    <w:p>
      <w:pPr>
        <w:pStyle w:val="32"/>
        <w:numPr>
          <w:ilvl w:val="0"/>
          <w:numId w:val="12"/>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药师接诊量排行统计</w:t>
      </w:r>
    </w:p>
    <w:p>
      <w:pPr>
        <w:pStyle w:val="32"/>
        <w:numPr>
          <w:ilvl w:val="0"/>
          <w:numId w:val="12"/>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药师接诊量排行查询</w:t>
      </w:r>
    </w:p>
    <w:p>
      <w:pPr>
        <w:pStyle w:val="32"/>
        <w:numPr>
          <w:ilvl w:val="0"/>
          <w:numId w:val="12"/>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药师接诊量排行导出</w:t>
      </w:r>
    </w:p>
    <w:p>
      <w:pPr>
        <w:pStyle w:val="32"/>
        <w:adjustRightInd w:val="0"/>
        <w:spacing w:line="360" w:lineRule="auto"/>
        <w:ind w:firstLine="0" w:firstLineChars="0"/>
        <w:textAlignment w:val="baseline"/>
        <w:rPr>
          <w:rFonts w:ascii="宋体" w:hAnsi="宋体"/>
          <w:b/>
          <w:bCs/>
          <w:szCs w:val="24"/>
          <w:highlight w:val="none"/>
        </w:rPr>
      </w:pPr>
      <w:r>
        <w:rPr>
          <w:rFonts w:hint="eastAsia" w:ascii="宋体" w:hAnsi="宋体"/>
          <w:b/>
          <w:bCs/>
          <w:szCs w:val="24"/>
          <w:highlight w:val="none"/>
        </w:rPr>
        <w:t>导出门诊药学服务记录表：</w:t>
      </w:r>
    </w:p>
    <w:p>
      <w:pPr>
        <w:pStyle w:val="32"/>
        <w:adjustRightInd w:val="0"/>
        <w:spacing w:line="360" w:lineRule="auto"/>
        <w:ind w:firstLine="0" w:firstLineChars="0"/>
        <w:textAlignment w:val="baseline"/>
        <w:rPr>
          <w:rFonts w:ascii="宋体" w:hAnsi="宋体"/>
          <w:b/>
          <w:bCs/>
          <w:szCs w:val="24"/>
          <w:highlight w:val="none"/>
        </w:rPr>
      </w:pPr>
      <w:r>
        <w:rPr>
          <w:rFonts w:ascii="宋体" w:hAnsi="宋体"/>
          <w:b/>
          <w:bCs/>
          <w:szCs w:val="24"/>
          <w:highlight w:val="none"/>
        </w:rPr>
        <w:drawing>
          <wp:inline distT="0" distB="0" distL="114300" distR="114300">
            <wp:extent cx="6019800" cy="6836410"/>
            <wp:effectExtent l="0" t="0" r="0" b="2540"/>
            <wp:docPr id="16" name="图片 16" descr="dc321b51ca105811963705268890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c321b51ca105811963705268890d5b"/>
                    <pic:cNvPicPr>
                      <a:picLocks noChangeAspect="1"/>
                    </pic:cNvPicPr>
                  </pic:nvPicPr>
                  <pic:blipFill>
                    <a:blip r:embed="rId14"/>
                    <a:srcRect t="5062"/>
                    <a:stretch>
                      <a:fillRect/>
                    </a:stretch>
                  </pic:blipFill>
                  <pic:spPr>
                    <a:xfrm>
                      <a:off x="0" y="0"/>
                      <a:ext cx="6019800" cy="6836410"/>
                    </a:xfrm>
                    <a:prstGeom prst="rect">
                      <a:avLst/>
                    </a:prstGeom>
                  </pic:spPr>
                </pic:pic>
              </a:graphicData>
            </a:graphic>
          </wp:inline>
        </w:drawing>
      </w:r>
    </w:p>
    <w:p>
      <w:pPr>
        <w:pStyle w:val="3"/>
        <w:numPr>
          <w:ilvl w:val="1"/>
          <w:numId w:val="8"/>
        </w:numPr>
        <w:spacing w:line="360" w:lineRule="auto"/>
        <w:ind w:left="567"/>
        <w:rPr>
          <w:szCs w:val="24"/>
          <w:highlight w:val="none"/>
        </w:rPr>
      </w:pPr>
      <w:bookmarkStart w:id="77" w:name="_Toc154688567"/>
      <w:r>
        <w:rPr>
          <w:rFonts w:hint="eastAsia"/>
          <w:szCs w:val="24"/>
          <w:highlight w:val="none"/>
        </w:rPr>
        <w:t>药物警戒管理系统</w:t>
      </w:r>
      <w:bookmarkEnd w:id="77"/>
    </w:p>
    <w:p>
      <w:pPr>
        <w:pStyle w:val="4"/>
        <w:numPr>
          <w:ilvl w:val="2"/>
          <w:numId w:val="8"/>
        </w:numPr>
        <w:spacing w:line="360" w:lineRule="auto"/>
        <w:ind w:left="567"/>
        <w:rPr>
          <w:szCs w:val="24"/>
          <w:highlight w:val="none"/>
        </w:rPr>
      </w:pPr>
      <w:bookmarkStart w:id="78" w:name="_Toc148911253"/>
      <w:bookmarkStart w:id="79" w:name="_Toc154688568"/>
      <w:r>
        <w:rPr>
          <w:rFonts w:hint="eastAsia"/>
          <w:szCs w:val="24"/>
          <w:highlight w:val="none"/>
        </w:rPr>
        <w:t>集采任务管理</w:t>
      </w:r>
      <w:bookmarkEnd w:id="78"/>
      <w:bookmarkEnd w:id="79"/>
    </w:p>
    <w:p>
      <w:pPr>
        <w:pStyle w:val="5"/>
        <w:numPr>
          <w:ilvl w:val="3"/>
          <w:numId w:val="8"/>
        </w:numPr>
        <w:spacing w:line="360" w:lineRule="auto"/>
        <w:ind w:left="708"/>
        <w:rPr>
          <w:szCs w:val="24"/>
          <w:highlight w:val="none"/>
        </w:rPr>
      </w:pPr>
      <w:bookmarkStart w:id="80" w:name="_Toc148911254"/>
      <w:r>
        <w:rPr>
          <w:rFonts w:hint="eastAsia"/>
          <w:szCs w:val="24"/>
          <w:highlight w:val="none"/>
        </w:rPr>
        <w:t>药品目录管理</w:t>
      </w:r>
      <w:bookmarkEnd w:id="80"/>
    </w:p>
    <w:p>
      <w:pPr>
        <w:pStyle w:val="6"/>
        <w:numPr>
          <w:ilvl w:val="4"/>
          <w:numId w:val="8"/>
        </w:numPr>
        <w:spacing w:line="360" w:lineRule="auto"/>
        <w:ind w:left="851"/>
        <w:rPr>
          <w:szCs w:val="24"/>
          <w:highlight w:val="none"/>
          <w:lang w:eastAsia="zh-Hans"/>
        </w:rPr>
      </w:pPr>
      <w:r>
        <w:rPr>
          <w:rFonts w:hint="eastAsia"/>
          <w:szCs w:val="24"/>
          <w:highlight w:val="none"/>
          <w:lang w:eastAsia="zh-Hans"/>
        </w:rPr>
        <w:t>批次管理</w:t>
      </w:r>
    </w:p>
    <w:p>
      <w:pPr>
        <w:pStyle w:val="18"/>
        <w:rPr>
          <w:rFonts w:ascii="宋体" w:hAnsi="宋体"/>
          <w:szCs w:val="24"/>
          <w:highlight w:val="none"/>
        </w:rPr>
      </w:pPr>
      <w:r>
        <w:rPr>
          <w:rFonts w:hint="eastAsia" w:ascii="宋体" w:hAnsi="宋体"/>
          <w:szCs w:val="24"/>
          <w:highlight w:val="none"/>
        </w:rPr>
        <w:t>包括：</w:t>
      </w:r>
    </w:p>
    <w:p>
      <w:pPr>
        <w:pStyle w:val="18"/>
        <w:rPr>
          <w:rFonts w:ascii="宋体" w:hAnsi="宋体"/>
          <w:szCs w:val="24"/>
          <w:highlight w:val="none"/>
        </w:rPr>
      </w:pPr>
      <w:r>
        <w:rPr>
          <w:rFonts w:hint="eastAsia" w:ascii="宋体" w:hAnsi="宋体"/>
          <w:szCs w:val="24"/>
          <w:highlight w:val="none"/>
        </w:rPr>
        <w:t>1）可以通过批次时间、国采/省采等条件进行批次的筛选查找；</w:t>
      </w:r>
    </w:p>
    <w:p>
      <w:pPr>
        <w:pStyle w:val="18"/>
        <w:rPr>
          <w:rFonts w:ascii="宋体" w:hAnsi="宋体"/>
          <w:szCs w:val="24"/>
          <w:highlight w:val="none"/>
        </w:rPr>
      </w:pPr>
      <w:r>
        <w:rPr>
          <w:rFonts w:hint="eastAsia" w:ascii="宋体" w:hAnsi="宋体"/>
          <w:szCs w:val="24"/>
          <w:highlight w:val="none"/>
        </w:rPr>
        <w:t>2）多个table页分批次进行展示；</w:t>
      </w:r>
    </w:p>
    <w:p>
      <w:pPr>
        <w:pStyle w:val="18"/>
        <w:rPr>
          <w:rFonts w:ascii="宋体" w:hAnsi="宋体"/>
          <w:szCs w:val="24"/>
          <w:highlight w:val="none"/>
        </w:rPr>
      </w:pPr>
      <w:r>
        <w:rPr>
          <w:rFonts w:hint="eastAsia" w:ascii="宋体" w:hAnsi="宋体"/>
          <w:szCs w:val="24"/>
          <w:highlight w:val="none"/>
        </w:rPr>
        <w:t>3）可以新增批次；</w:t>
      </w:r>
    </w:p>
    <w:p>
      <w:pPr>
        <w:pStyle w:val="18"/>
        <w:rPr>
          <w:rFonts w:ascii="宋体" w:hAnsi="宋体"/>
          <w:szCs w:val="24"/>
          <w:highlight w:val="none"/>
        </w:rPr>
      </w:pPr>
      <w:r>
        <w:rPr>
          <w:rFonts w:hint="eastAsia" w:ascii="宋体" w:hAnsi="宋体"/>
          <w:szCs w:val="24"/>
          <w:highlight w:val="none"/>
        </w:rPr>
        <w:t>4）对于已经分配的批次，只能进行查看，管理者能进行编辑和修改。</w:t>
      </w:r>
    </w:p>
    <w:p>
      <w:pPr>
        <w:pStyle w:val="6"/>
        <w:numPr>
          <w:ilvl w:val="4"/>
          <w:numId w:val="8"/>
        </w:numPr>
        <w:spacing w:line="360" w:lineRule="auto"/>
        <w:ind w:left="851"/>
        <w:rPr>
          <w:szCs w:val="24"/>
          <w:highlight w:val="none"/>
          <w:lang w:eastAsia="zh-Hans"/>
        </w:rPr>
      </w:pPr>
      <w:r>
        <w:rPr>
          <w:rFonts w:hint="eastAsia"/>
          <w:szCs w:val="24"/>
          <w:highlight w:val="none"/>
          <w:lang w:eastAsia="zh-Hans"/>
        </w:rPr>
        <w:t>集采药品目录管理</w:t>
      </w:r>
    </w:p>
    <w:p>
      <w:pPr>
        <w:pStyle w:val="18"/>
        <w:rPr>
          <w:rFonts w:ascii="宋体" w:hAnsi="宋体"/>
          <w:szCs w:val="24"/>
          <w:highlight w:val="none"/>
        </w:rPr>
      </w:pPr>
      <w:r>
        <w:rPr>
          <w:rFonts w:hint="eastAsia" w:ascii="宋体" w:hAnsi="宋体"/>
          <w:szCs w:val="24"/>
          <w:highlight w:val="none"/>
        </w:rPr>
        <w:t>包括：</w:t>
      </w:r>
    </w:p>
    <w:p>
      <w:pPr>
        <w:pStyle w:val="18"/>
        <w:rPr>
          <w:rFonts w:ascii="宋体" w:hAnsi="宋体"/>
          <w:szCs w:val="24"/>
          <w:highlight w:val="none"/>
        </w:rPr>
      </w:pPr>
      <w:r>
        <w:rPr>
          <w:rFonts w:hint="eastAsia" w:ascii="宋体" w:hAnsi="宋体"/>
          <w:szCs w:val="24"/>
          <w:highlight w:val="none"/>
        </w:rPr>
        <w:t>1）按照批次展示药品基本信息，可查询历史使用量，本批次采购量；</w:t>
      </w:r>
    </w:p>
    <w:p>
      <w:pPr>
        <w:pStyle w:val="18"/>
        <w:rPr>
          <w:rFonts w:ascii="宋体" w:hAnsi="宋体"/>
          <w:szCs w:val="24"/>
          <w:highlight w:val="none"/>
        </w:rPr>
      </w:pPr>
      <w:r>
        <w:rPr>
          <w:rFonts w:hint="eastAsia" w:ascii="宋体" w:hAnsi="宋体"/>
          <w:szCs w:val="24"/>
          <w:highlight w:val="none"/>
        </w:rPr>
        <w:t>2）默认会加载系统内所有集采药品数据，可以进行新增和删除的操作。</w:t>
      </w:r>
    </w:p>
    <w:p>
      <w:pPr>
        <w:pStyle w:val="6"/>
        <w:numPr>
          <w:ilvl w:val="4"/>
          <w:numId w:val="8"/>
        </w:numPr>
        <w:spacing w:line="360" w:lineRule="auto"/>
        <w:ind w:left="851"/>
        <w:rPr>
          <w:szCs w:val="24"/>
          <w:highlight w:val="none"/>
          <w:lang w:eastAsia="zh-Hans"/>
        </w:rPr>
      </w:pPr>
      <w:r>
        <w:rPr>
          <w:rFonts w:hint="eastAsia"/>
          <w:szCs w:val="24"/>
          <w:highlight w:val="none"/>
          <w:lang w:eastAsia="zh-Hans"/>
        </w:rPr>
        <w:t>关联药品配置</w:t>
      </w:r>
    </w:p>
    <w:p>
      <w:pPr>
        <w:pStyle w:val="18"/>
        <w:rPr>
          <w:rFonts w:ascii="宋体" w:hAnsi="宋体"/>
          <w:szCs w:val="24"/>
          <w:highlight w:val="none"/>
        </w:rPr>
      </w:pPr>
      <w:r>
        <w:rPr>
          <w:rFonts w:hint="eastAsia" w:ascii="宋体" w:hAnsi="宋体"/>
          <w:szCs w:val="24"/>
          <w:highlight w:val="none"/>
        </w:rPr>
        <w:t>包括：</w:t>
      </w:r>
    </w:p>
    <w:p>
      <w:pPr>
        <w:pStyle w:val="18"/>
        <w:rPr>
          <w:rFonts w:ascii="宋体" w:hAnsi="宋体"/>
          <w:szCs w:val="24"/>
          <w:highlight w:val="none"/>
        </w:rPr>
      </w:pPr>
      <w:r>
        <w:rPr>
          <w:rFonts w:hint="eastAsia" w:ascii="宋体" w:hAnsi="宋体"/>
          <w:szCs w:val="24"/>
          <w:highlight w:val="none"/>
        </w:rPr>
        <w:t>1）按照批次展示药品信息，针对药品可以进行配置(新增/删除)关联药品；</w:t>
      </w:r>
    </w:p>
    <w:p>
      <w:pPr>
        <w:pStyle w:val="18"/>
        <w:rPr>
          <w:rFonts w:ascii="宋体" w:hAnsi="宋体"/>
          <w:szCs w:val="24"/>
          <w:highlight w:val="none"/>
        </w:rPr>
      </w:pPr>
      <w:r>
        <w:rPr>
          <w:rFonts w:hint="eastAsia" w:ascii="宋体" w:hAnsi="宋体"/>
          <w:szCs w:val="24"/>
          <w:highlight w:val="none"/>
        </w:rPr>
        <w:t>2）设置关联药品使用量</w:t>
      </w:r>
    </w:p>
    <w:p>
      <w:pPr>
        <w:pStyle w:val="18"/>
        <w:ind w:left="619" w:leftChars="295" w:firstLine="141" w:firstLineChars="59"/>
        <w:rPr>
          <w:rFonts w:ascii="宋体" w:hAnsi="宋体"/>
          <w:szCs w:val="24"/>
          <w:highlight w:val="none"/>
        </w:rPr>
      </w:pPr>
      <w:r>
        <w:rPr>
          <w:rFonts w:hint="eastAsia" w:ascii="宋体" w:hAnsi="宋体"/>
          <w:szCs w:val="24"/>
          <w:highlight w:val="none"/>
        </w:rPr>
        <w:t>A.</w:t>
      </w:r>
      <w:r>
        <w:rPr>
          <w:rFonts w:hint="eastAsia" w:ascii="宋体" w:hAnsi="宋体"/>
          <w:szCs w:val="24"/>
          <w:highlight w:val="none"/>
        </w:rPr>
        <w:tab/>
      </w:r>
      <w:r>
        <w:rPr>
          <w:rFonts w:hint="eastAsia" w:ascii="宋体" w:hAnsi="宋体"/>
          <w:szCs w:val="24"/>
          <w:highlight w:val="none"/>
        </w:rPr>
        <w:t>统一设置：同时设置所有关联药品的使用量；</w:t>
      </w:r>
    </w:p>
    <w:p>
      <w:pPr>
        <w:pStyle w:val="18"/>
        <w:ind w:left="619" w:leftChars="295" w:firstLine="141" w:firstLineChars="59"/>
        <w:rPr>
          <w:rFonts w:ascii="宋体" w:hAnsi="宋体"/>
          <w:szCs w:val="24"/>
          <w:highlight w:val="none"/>
        </w:rPr>
      </w:pPr>
      <w:r>
        <w:rPr>
          <w:rFonts w:hint="eastAsia" w:ascii="宋体" w:hAnsi="宋体"/>
          <w:szCs w:val="24"/>
          <w:highlight w:val="none"/>
        </w:rPr>
        <w:t>B.</w:t>
      </w:r>
      <w:r>
        <w:rPr>
          <w:rFonts w:hint="eastAsia" w:ascii="宋体" w:hAnsi="宋体"/>
          <w:szCs w:val="24"/>
          <w:highlight w:val="none"/>
        </w:rPr>
        <w:tab/>
      </w:r>
      <w:r>
        <w:rPr>
          <w:rFonts w:hint="eastAsia" w:ascii="宋体" w:hAnsi="宋体"/>
          <w:szCs w:val="24"/>
          <w:highlight w:val="none"/>
        </w:rPr>
        <w:t>单个设置：针对某一个关联药品设置使用量；</w:t>
      </w:r>
    </w:p>
    <w:p>
      <w:pPr>
        <w:pStyle w:val="18"/>
        <w:ind w:left="619" w:leftChars="295" w:firstLine="141" w:firstLineChars="59"/>
        <w:rPr>
          <w:rFonts w:ascii="宋体" w:hAnsi="宋体"/>
          <w:szCs w:val="24"/>
          <w:highlight w:val="none"/>
        </w:rPr>
      </w:pPr>
      <w:r>
        <w:rPr>
          <w:rFonts w:hint="eastAsia" w:ascii="宋体" w:hAnsi="宋体"/>
          <w:szCs w:val="24"/>
          <w:highlight w:val="none"/>
        </w:rPr>
        <w:t>C.</w:t>
      </w:r>
      <w:r>
        <w:rPr>
          <w:rFonts w:hint="eastAsia" w:ascii="宋体" w:hAnsi="宋体"/>
          <w:szCs w:val="24"/>
          <w:highlight w:val="none"/>
        </w:rPr>
        <w:tab/>
      </w:r>
      <w:r>
        <w:rPr>
          <w:rFonts w:hint="eastAsia" w:ascii="宋体" w:hAnsi="宋体"/>
          <w:szCs w:val="24"/>
          <w:highlight w:val="none"/>
        </w:rPr>
        <w:t>百分比设置：设置关联药品与集采药品使用量之间的百分比。(前置条件：需要已经设置好集采药品的使用量)</w:t>
      </w:r>
    </w:p>
    <w:p>
      <w:pPr>
        <w:pStyle w:val="5"/>
        <w:numPr>
          <w:ilvl w:val="3"/>
          <w:numId w:val="8"/>
        </w:numPr>
        <w:spacing w:line="360" w:lineRule="auto"/>
        <w:ind w:left="708"/>
        <w:rPr>
          <w:szCs w:val="24"/>
          <w:highlight w:val="none"/>
        </w:rPr>
      </w:pPr>
      <w:bookmarkStart w:id="81" w:name="_Toc148911255"/>
      <w:r>
        <w:rPr>
          <w:rFonts w:hint="eastAsia"/>
          <w:szCs w:val="24"/>
          <w:highlight w:val="none"/>
        </w:rPr>
        <w:t>任务分配</w:t>
      </w:r>
      <w:bookmarkEnd w:id="81"/>
    </w:p>
    <w:p>
      <w:pPr>
        <w:pStyle w:val="6"/>
        <w:numPr>
          <w:ilvl w:val="4"/>
          <w:numId w:val="8"/>
        </w:numPr>
        <w:spacing w:line="360" w:lineRule="auto"/>
        <w:ind w:left="851"/>
        <w:rPr>
          <w:szCs w:val="24"/>
          <w:highlight w:val="none"/>
          <w:lang w:eastAsia="zh-Hans"/>
        </w:rPr>
      </w:pPr>
      <w:r>
        <w:rPr>
          <w:rFonts w:hint="eastAsia"/>
          <w:szCs w:val="24"/>
          <w:highlight w:val="none"/>
          <w:lang w:eastAsia="zh-Hans"/>
        </w:rPr>
        <w:t>分配到科室</w:t>
      </w:r>
    </w:p>
    <w:p>
      <w:pPr>
        <w:pStyle w:val="18"/>
        <w:rPr>
          <w:rFonts w:ascii="宋体" w:hAnsi="宋体"/>
          <w:szCs w:val="24"/>
          <w:highlight w:val="none"/>
        </w:rPr>
      </w:pPr>
      <w:r>
        <w:rPr>
          <w:rFonts w:hint="eastAsia" w:ascii="宋体" w:hAnsi="宋体"/>
          <w:szCs w:val="24"/>
          <w:highlight w:val="none"/>
        </w:rPr>
        <w:t>包括：</w:t>
      </w:r>
    </w:p>
    <w:p>
      <w:pPr>
        <w:pStyle w:val="18"/>
        <w:rPr>
          <w:rFonts w:ascii="宋体" w:hAnsi="宋体"/>
          <w:szCs w:val="24"/>
          <w:highlight w:val="none"/>
        </w:rPr>
      </w:pPr>
      <w:r>
        <w:rPr>
          <w:rFonts w:hint="eastAsia" w:ascii="宋体" w:hAnsi="宋体"/>
          <w:szCs w:val="24"/>
          <w:highlight w:val="none"/>
        </w:rPr>
        <w:t>1）按历史量自动分配：按照去年的科室使用情况占比进行一键分配。例:厄贝沙坦片，上批次报量为1000盒，某科室上批次使用了100盒，则使用占比为10%；点击分配时，按照本批次报量总数的10%分配给该科室。如果本批次报量为2000盒，那么按照该科室上批次使用占比10%来分配，则分配200盒给该科室；</w:t>
      </w:r>
    </w:p>
    <w:p>
      <w:pPr>
        <w:pStyle w:val="18"/>
        <w:rPr>
          <w:rFonts w:ascii="宋体" w:hAnsi="宋体"/>
          <w:szCs w:val="24"/>
          <w:highlight w:val="none"/>
        </w:rPr>
      </w:pPr>
      <w:r>
        <w:rPr>
          <w:rFonts w:hint="eastAsia" w:ascii="宋体" w:hAnsi="宋体"/>
          <w:szCs w:val="24"/>
          <w:highlight w:val="none"/>
        </w:rPr>
        <w:t>2）自定义分配：可以对科室进行手动分配，填写分配数量或者按照总量的百分比分配；</w:t>
      </w:r>
    </w:p>
    <w:p>
      <w:pPr>
        <w:pStyle w:val="18"/>
        <w:rPr>
          <w:rFonts w:ascii="宋体" w:hAnsi="宋体"/>
          <w:szCs w:val="24"/>
          <w:highlight w:val="none"/>
        </w:rPr>
      </w:pPr>
      <w:r>
        <w:rPr>
          <w:rFonts w:hint="eastAsia" w:ascii="宋体" w:hAnsi="宋体"/>
          <w:szCs w:val="24"/>
          <w:highlight w:val="none"/>
        </w:rPr>
        <w:t>3）按总量平均分配：按照集采药品的总量，平均分配到科室；</w:t>
      </w:r>
    </w:p>
    <w:p>
      <w:pPr>
        <w:pStyle w:val="18"/>
        <w:rPr>
          <w:rFonts w:ascii="宋体" w:hAnsi="宋体"/>
          <w:szCs w:val="24"/>
          <w:highlight w:val="none"/>
        </w:rPr>
      </w:pPr>
      <w:r>
        <w:rPr>
          <w:rFonts w:hint="eastAsia" w:ascii="宋体" w:hAnsi="宋体"/>
          <w:szCs w:val="24"/>
          <w:highlight w:val="none"/>
        </w:rPr>
        <w:t>4）任务量调整：对于已经分配的数量可以进行调整。</w:t>
      </w:r>
    </w:p>
    <w:p>
      <w:pPr>
        <w:pStyle w:val="6"/>
        <w:numPr>
          <w:ilvl w:val="4"/>
          <w:numId w:val="8"/>
        </w:numPr>
        <w:spacing w:line="360" w:lineRule="auto"/>
        <w:ind w:left="851"/>
        <w:rPr>
          <w:szCs w:val="24"/>
          <w:highlight w:val="none"/>
          <w:lang w:eastAsia="zh-Hans"/>
        </w:rPr>
      </w:pPr>
      <w:r>
        <w:rPr>
          <w:rFonts w:hint="eastAsia"/>
          <w:szCs w:val="24"/>
          <w:highlight w:val="none"/>
          <w:lang w:eastAsia="zh-Hans"/>
        </w:rPr>
        <w:t>分配到个人</w:t>
      </w:r>
    </w:p>
    <w:p>
      <w:pPr>
        <w:pStyle w:val="18"/>
        <w:rPr>
          <w:rFonts w:ascii="宋体" w:hAnsi="宋体"/>
          <w:szCs w:val="24"/>
          <w:highlight w:val="none"/>
        </w:rPr>
      </w:pPr>
      <w:r>
        <w:rPr>
          <w:rFonts w:hint="eastAsia" w:ascii="宋体" w:hAnsi="宋体"/>
          <w:szCs w:val="24"/>
          <w:highlight w:val="none"/>
        </w:rPr>
        <w:t>包括：</w:t>
      </w:r>
    </w:p>
    <w:p>
      <w:pPr>
        <w:pStyle w:val="18"/>
        <w:rPr>
          <w:rFonts w:ascii="宋体" w:hAnsi="宋体"/>
          <w:szCs w:val="24"/>
          <w:highlight w:val="none"/>
        </w:rPr>
      </w:pPr>
      <w:r>
        <w:rPr>
          <w:rFonts w:hint="eastAsia" w:ascii="宋体" w:hAnsi="宋体"/>
          <w:szCs w:val="24"/>
          <w:highlight w:val="none"/>
        </w:rPr>
        <w:t>1）按历史量自动分配：按照去年的个人使用情况占比进行一键分配。例:厄贝沙坦片，上批次报量为1000盒，某医生上批次使用了100盒，则使用占比为10%；点击分配时，按照本批次报量总数的10%分配给该医生。如果本批次报量为2000盒，那么按照该医生上批次使用占比10%来分配，则分配200盒给该医生；</w:t>
      </w:r>
    </w:p>
    <w:p>
      <w:pPr>
        <w:pStyle w:val="18"/>
        <w:rPr>
          <w:rFonts w:ascii="宋体" w:hAnsi="宋体"/>
          <w:szCs w:val="24"/>
          <w:highlight w:val="none"/>
        </w:rPr>
      </w:pPr>
      <w:r>
        <w:rPr>
          <w:rFonts w:hint="eastAsia" w:ascii="宋体" w:hAnsi="宋体"/>
          <w:szCs w:val="24"/>
          <w:highlight w:val="none"/>
        </w:rPr>
        <w:t>2）自定义分配：可以对医生使用量进行手动分配，填写分配数量或者按照总量的百分比分配；</w:t>
      </w:r>
    </w:p>
    <w:p>
      <w:pPr>
        <w:pStyle w:val="18"/>
        <w:rPr>
          <w:rFonts w:ascii="宋体" w:hAnsi="宋体"/>
          <w:szCs w:val="24"/>
          <w:highlight w:val="none"/>
        </w:rPr>
      </w:pPr>
      <w:r>
        <w:rPr>
          <w:rFonts w:hint="eastAsia" w:ascii="宋体" w:hAnsi="宋体"/>
          <w:szCs w:val="24"/>
          <w:highlight w:val="none"/>
        </w:rPr>
        <w:t>3）按总量平均分配：按照集采药品的总量，平均分配到医生。</w:t>
      </w:r>
    </w:p>
    <w:p>
      <w:pPr>
        <w:pStyle w:val="5"/>
        <w:numPr>
          <w:ilvl w:val="3"/>
          <w:numId w:val="8"/>
        </w:numPr>
        <w:spacing w:line="360" w:lineRule="auto"/>
        <w:ind w:left="708"/>
        <w:rPr>
          <w:szCs w:val="24"/>
          <w:highlight w:val="none"/>
        </w:rPr>
      </w:pPr>
      <w:bookmarkStart w:id="82" w:name="_Toc148911256"/>
      <w:r>
        <w:rPr>
          <w:rFonts w:hint="eastAsia"/>
          <w:szCs w:val="24"/>
          <w:highlight w:val="none"/>
        </w:rPr>
        <w:t>进度提示</w:t>
      </w:r>
      <w:bookmarkEnd w:id="82"/>
    </w:p>
    <w:p>
      <w:pPr>
        <w:pStyle w:val="6"/>
        <w:numPr>
          <w:ilvl w:val="4"/>
          <w:numId w:val="8"/>
        </w:numPr>
        <w:spacing w:line="360" w:lineRule="auto"/>
        <w:ind w:left="851"/>
        <w:rPr>
          <w:szCs w:val="24"/>
          <w:highlight w:val="none"/>
          <w:lang w:eastAsia="zh-Hans"/>
        </w:rPr>
      </w:pPr>
      <w:r>
        <w:rPr>
          <w:rFonts w:hint="eastAsia"/>
          <w:szCs w:val="24"/>
          <w:highlight w:val="none"/>
          <w:lang w:eastAsia="zh-Hans"/>
        </w:rPr>
        <w:tab/>
      </w:r>
      <w:r>
        <w:rPr>
          <w:rFonts w:hint="eastAsia"/>
          <w:szCs w:val="24"/>
          <w:highlight w:val="none"/>
          <w:lang w:eastAsia="zh-Hans"/>
        </w:rPr>
        <w:t>医生客户端查看任务进度</w:t>
      </w:r>
    </w:p>
    <w:p>
      <w:pPr>
        <w:pStyle w:val="18"/>
        <w:rPr>
          <w:rFonts w:ascii="宋体" w:hAnsi="宋体"/>
          <w:szCs w:val="24"/>
          <w:highlight w:val="none"/>
        </w:rPr>
      </w:pPr>
      <w:r>
        <w:rPr>
          <w:rFonts w:hint="eastAsia" w:ascii="宋体" w:hAnsi="宋体"/>
          <w:szCs w:val="24"/>
          <w:highlight w:val="none"/>
        </w:rPr>
        <w:t xml:space="preserve">在医生客户端增加页面进行展示，可以通过药品名进行查询，也可以通过完成进度进行排序。（药品代码、药品名称、规格、数量/进度、完成时限） </w:t>
      </w:r>
    </w:p>
    <w:p>
      <w:pPr>
        <w:pStyle w:val="6"/>
        <w:numPr>
          <w:ilvl w:val="4"/>
          <w:numId w:val="8"/>
        </w:numPr>
        <w:spacing w:line="360" w:lineRule="auto"/>
        <w:ind w:left="851"/>
        <w:rPr>
          <w:szCs w:val="24"/>
          <w:highlight w:val="none"/>
          <w:lang w:eastAsia="zh-Hans"/>
        </w:rPr>
      </w:pPr>
      <w:r>
        <w:rPr>
          <w:rFonts w:hint="eastAsia"/>
          <w:szCs w:val="24"/>
          <w:highlight w:val="none"/>
          <w:lang w:eastAsia="zh-Hans"/>
        </w:rPr>
        <w:tab/>
      </w:r>
      <w:r>
        <w:rPr>
          <w:rFonts w:hint="eastAsia"/>
          <w:szCs w:val="24"/>
          <w:highlight w:val="none"/>
          <w:lang w:eastAsia="zh-Hans"/>
        </w:rPr>
        <w:t>医生处方开设关联药品时提示</w:t>
      </w:r>
    </w:p>
    <w:p>
      <w:pPr>
        <w:pStyle w:val="18"/>
        <w:rPr>
          <w:rFonts w:ascii="宋体" w:hAnsi="宋体"/>
          <w:szCs w:val="24"/>
          <w:highlight w:val="none"/>
        </w:rPr>
      </w:pPr>
      <w:r>
        <w:rPr>
          <w:rFonts w:hint="eastAsia" w:ascii="宋体" w:hAnsi="宋体"/>
          <w:szCs w:val="24"/>
          <w:highlight w:val="none"/>
        </w:rPr>
        <w:t>当医生在开设处方中有关联的药品时，会提示医生，优先开设集采药品，并将相关集采药品的任务量、完成进度、差额和完成时限提示给医生；提示内容包括：药品名、规格、厂家、任务量、完成进度、差额、单位、完成时限（已完成的不提示）。需要</w:t>
      </w:r>
      <w:r>
        <w:rPr>
          <w:rFonts w:ascii="宋体" w:hAnsi="宋体"/>
          <w:szCs w:val="24"/>
          <w:highlight w:val="none"/>
        </w:rPr>
        <w:t>HIS</w:t>
      </w:r>
      <w:r>
        <w:rPr>
          <w:rFonts w:hint="eastAsia" w:ascii="宋体" w:hAnsi="宋体"/>
          <w:szCs w:val="24"/>
          <w:highlight w:val="none"/>
        </w:rPr>
        <w:t>配合改造。</w:t>
      </w:r>
    </w:p>
    <w:p>
      <w:pPr>
        <w:pStyle w:val="6"/>
        <w:numPr>
          <w:ilvl w:val="4"/>
          <w:numId w:val="8"/>
        </w:numPr>
        <w:spacing w:line="360" w:lineRule="auto"/>
        <w:ind w:left="851"/>
        <w:rPr>
          <w:szCs w:val="24"/>
          <w:highlight w:val="none"/>
          <w:lang w:eastAsia="zh-Hans"/>
        </w:rPr>
      </w:pPr>
      <w:r>
        <w:rPr>
          <w:rFonts w:hint="eastAsia"/>
          <w:szCs w:val="24"/>
          <w:highlight w:val="none"/>
          <w:lang w:eastAsia="zh-Hans"/>
        </w:rPr>
        <w:tab/>
      </w:r>
      <w:r>
        <w:rPr>
          <w:rFonts w:hint="eastAsia"/>
          <w:szCs w:val="24"/>
          <w:highlight w:val="none"/>
          <w:lang w:eastAsia="zh-Hans"/>
        </w:rPr>
        <w:t>医生处方开设集采药品时提示</w:t>
      </w:r>
    </w:p>
    <w:p>
      <w:pPr>
        <w:pStyle w:val="18"/>
        <w:rPr>
          <w:rFonts w:ascii="宋体" w:hAnsi="宋体"/>
          <w:szCs w:val="24"/>
          <w:highlight w:val="none"/>
        </w:rPr>
      </w:pPr>
      <w:r>
        <w:rPr>
          <w:rFonts w:hint="eastAsia" w:ascii="宋体" w:hAnsi="宋体"/>
          <w:szCs w:val="24"/>
          <w:highlight w:val="none"/>
        </w:rPr>
        <w:t>当医生在开设处方中有集采药品时，会提示医生，该集采药品的任务量、完成进度和差额；提示内容包括：药品名、规格、厂家、任务量、完成进度、差额、单位、完成时限（已完成的不提示）。需要</w:t>
      </w:r>
      <w:r>
        <w:rPr>
          <w:rFonts w:ascii="宋体" w:hAnsi="宋体"/>
          <w:szCs w:val="24"/>
          <w:highlight w:val="none"/>
        </w:rPr>
        <w:t>HIS</w:t>
      </w:r>
      <w:r>
        <w:rPr>
          <w:rFonts w:hint="eastAsia" w:ascii="宋体" w:hAnsi="宋体"/>
          <w:szCs w:val="24"/>
          <w:highlight w:val="none"/>
        </w:rPr>
        <w:t>配合改造。</w:t>
      </w:r>
    </w:p>
    <w:p>
      <w:pPr>
        <w:pStyle w:val="6"/>
        <w:numPr>
          <w:ilvl w:val="4"/>
          <w:numId w:val="8"/>
        </w:numPr>
        <w:spacing w:line="360" w:lineRule="auto"/>
        <w:ind w:left="851"/>
        <w:rPr>
          <w:szCs w:val="24"/>
          <w:highlight w:val="none"/>
          <w:lang w:eastAsia="zh-Hans"/>
        </w:rPr>
      </w:pPr>
      <w:r>
        <w:rPr>
          <w:rFonts w:hint="eastAsia"/>
          <w:szCs w:val="24"/>
          <w:highlight w:val="none"/>
          <w:lang w:eastAsia="zh-Hans"/>
        </w:rPr>
        <w:tab/>
      </w:r>
      <w:r>
        <w:rPr>
          <w:rFonts w:hint="eastAsia"/>
          <w:szCs w:val="24"/>
          <w:highlight w:val="none"/>
          <w:lang w:eastAsia="zh-Hans"/>
        </w:rPr>
        <w:t>合理用药系统处方分析时提示</w:t>
      </w:r>
    </w:p>
    <w:p>
      <w:pPr>
        <w:pStyle w:val="18"/>
        <w:rPr>
          <w:rFonts w:ascii="宋体" w:hAnsi="宋体"/>
          <w:szCs w:val="24"/>
          <w:highlight w:val="none"/>
        </w:rPr>
      </w:pPr>
      <w:r>
        <w:rPr>
          <w:rFonts w:hint="eastAsia" w:ascii="宋体" w:hAnsi="宋体"/>
          <w:szCs w:val="24"/>
          <w:highlight w:val="none"/>
        </w:rPr>
        <w:t>支持在医生开设处方时，进行预分析时，在合理用药处方前置分析中给医生进行提示。提示内容包括：药品名、规格、厂家、任务量、完成进度、差额、单位、完成时限（已完成的不提示）。</w:t>
      </w:r>
    </w:p>
    <w:p>
      <w:pPr>
        <w:pStyle w:val="5"/>
        <w:numPr>
          <w:ilvl w:val="3"/>
          <w:numId w:val="8"/>
        </w:numPr>
        <w:spacing w:line="360" w:lineRule="auto"/>
        <w:ind w:left="708"/>
        <w:rPr>
          <w:szCs w:val="24"/>
          <w:highlight w:val="none"/>
        </w:rPr>
      </w:pPr>
      <w:bookmarkStart w:id="83" w:name="_Toc148911257"/>
      <w:r>
        <w:rPr>
          <w:rFonts w:hint="eastAsia"/>
          <w:szCs w:val="24"/>
          <w:highlight w:val="none"/>
        </w:rPr>
        <w:t>关联药品拦截</w:t>
      </w:r>
      <w:bookmarkEnd w:id="83"/>
    </w:p>
    <w:p>
      <w:pPr>
        <w:pStyle w:val="6"/>
        <w:numPr>
          <w:ilvl w:val="4"/>
          <w:numId w:val="8"/>
        </w:numPr>
        <w:spacing w:line="360" w:lineRule="auto"/>
        <w:ind w:left="851"/>
        <w:rPr>
          <w:szCs w:val="24"/>
          <w:highlight w:val="none"/>
          <w:lang w:eastAsia="zh-Hans"/>
        </w:rPr>
      </w:pPr>
      <w:r>
        <w:rPr>
          <w:rFonts w:hint="eastAsia"/>
          <w:szCs w:val="24"/>
          <w:highlight w:val="none"/>
          <w:lang w:eastAsia="zh-Hans"/>
        </w:rPr>
        <w:t>开设关联药品时，</w:t>
      </w:r>
      <w:r>
        <w:rPr>
          <w:szCs w:val="24"/>
          <w:highlight w:val="none"/>
          <w:lang w:eastAsia="zh-Hans"/>
        </w:rPr>
        <w:t>HIS</w:t>
      </w:r>
      <w:r>
        <w:rPr>
          <w:rFonts w:hint="eastAsia"/>
          <w:szCs w:val="24"/>
          <w:highlight w:val="none"/>
          <w:lang w:eastAsia="zh-Hans"/>
        </w:rPr>
        <w:t>拦截</w:t>
      </w:r>
    </w:p>
    <w:p>
      <w:pPr>
        <w:pStyle w:val="18"/>
        <w:rPr>
          <w:rFonts w:ascii="宋体" w:hAnsi="宋体"/>
          <w:szCs w:val="24"/>
          <w:highlight w:val="none"/>
        </w:rPr>
      </w:pPr>
      <w:r>
        <w:rPr>
          <w:rFonts w:hint="eastAsia" w:ascii="宋体" w:hAnsi="宋体"/>
          <w:szCs w:val="24"/>
          <w:highlight w:val="none"/>
        </w:rPr>
        <w:t>当医生没有开集采药品或者关联药品开设超量时，直接进行拦截，不允许开设。需要</w:t>
      </w:r>
      <w:r>
        <w:rPr>
          <w:rFonts w:ascii="宋体" w:hAnsi="宋体"/>
          <w:szCs w:val="24"/>
          <w:highlight w:val="none"/>
        </w:rPr>
        <w:t>HIS</w:t>
      </w:r>
      <w:r>
        <w:rPr>
          <w:rFonts w:hint="eastAsia" w:ascii="宋体" w:hAnsi="宋体"/>
          <w:szCs w:val="24"/>
          <w:highlight w:val="none"/>
        </w:rPr>
        <w:t>配合改造。</w:t>
      </w:r>
    </w:p>
    <w:p>
      <w:pPr>
        <w:pStyle w:val="6"/>
        <w:numPr>
          <w:ilvl w:val="4"/>
          <w:numId w:val="8"/>
        </w:numPr>
        <w:spacing w:line="360" w:lineRule="auto"/>
        <w:ind w:left="851"/>
        <w:rPr>
          <w:szCs w:val="24"/>
          <w:highlight w:val="none"/>
          <w:lang w:eastAsia="zh-Hans"/>
        </w:rPr>
      </w:pPr>
      <w:r>
        <w:rPr>
          <w:rFonts w:hint="eastAsia"/>
          <w:szCs w:val="24"/>
          <w:highlight w:val="none"/>
          <w:lang w:eastAsia="zh-Hans"/>
        </w:rPr>
        <w:t>合理用药审查时拦截</w:t>
      </w:r>
    </w:p>
    <w:p>
      <w:pPr>
        <w:rPr>
          <w:rFonts w:ascii="宋体" w:hAnsi="宋体"/>
          <w:highlight w:val="none"/>
          <w:lang w:val="zh-CN"/>
        </w:rPr>
      </w:pPr>
      <w:r>
        <w:rPr>
          <w:rFonts w:hint="eastAsia" w:ascii="宋体" w:hAnsi="宋体"/>
          <w:highlight w:val="none"/>
        </w:rPr>
        <w:t>当医生没有开集采药品或者关联药品开设超量时，合理用药前置分析中直接进行拦截，不允许开设。</w:t>
      </w:r>
    </w:p>
    <w:p>
      <w:pPr>
        <w:pStyle w:val="5"/>
        <w:numPr>
          <w:ilvl w:val="3"/>
          <w:numId w:val="8"/>
        </w:numPr>
        <w:spacing w:line="360" w:lineRule="auto"/>
        <w:ind w:left="708"/>
        <w:rPr>
          <w:szCs w:val="24"/>
          <w:highlight w:val="none"/>
        </w:rPr>
      </w:pPr>
      <w:bookmarkStart w:id="84" w:name="_Toc148911258"/>
      <w:r>
        <w:rPr>
          <w:rFonts w:hint="eastAsia"/>
          <w:szCs w:val="24"/>
          <w:highlight w:val="none"/>
        </w:rPr>
        <w:t>统计报表</w:t>
      </w:r>
      <w:bookmarkEnd w:id="84"/>
    </w:p>
    <w:p>
      <w:pPr>
        <w:pStyle w:val="18"/>
        <w:rPr>
          <w:rFonts w:ascii="宋体" w:hAnsi="宋体"/>
          <w:szCs w:val="24"/>
          <w:highlight w:val="none"/>
        </w:rPr>
      </w:pPr>
      <w:r>
        <w:rPr>
          <w:rFonts w:hint="eastAsia" w:ascii="宋体" w:hAnsi="宋体"/>
          <w:szCs w:val="24"/>
          <w:highlight w:val="none"/>
        </w:rPr>
        <w:t>维度包含时间、患者、职工个人、科室、全院、省级文件等</w:t>
      </w:r>
    </w:p>
    <w:p>
      <w:pPr>
        <w:pStyle w:val="18"/>
        <w:rPr>
          <w:rFonts w:ascii="宋体" w:hAnsi="宋体"/>
          <w:szCs w:val="24"/>
          <w:highlight w:val="none"/>
        </w:rPr>
      </w:pPr>
      <w:r>
        <w:rPr>
          <w:rFonts w:hint="eastAsia" w:ascii="宋体" w:hAnsi="宋体"/>
          <w:szCs w:val="24"/>
          <w:highlight w:val="none"/>
        </w:rPr>
        <w:t>包括：</w:t>
      </w:r>
    </w:p>
    <w:p>
      <w:pPr>
        <w:pStyle w:val="18"/>
        <w:numPr>
          <w:ilvl w:val="0"/>
          <w:numId w:val="13"/>
        </w:numPr>
        <w:ind w:left="0" w:firstLine="480" w:firstLineChars="0"/>
        <w:rPr>
          <w:rFonts w:ascii="宋体" w:hAnsi="宋体"/>
          <w:szCs w:val="24"/>
          <w:highlight w:val="none"/>
        </w:rPr>
      </w:pPr>
      <w:r>
        <w:rPr>
          <w:rFonts w:hint="eastAsia" w:ascii="宋体" w:hAnsi="宋体"/>
          <w:szCs w:val="24"/>
          <w:highlight w:val="none"/>
        </w:rPr>
        <w:t>国家组织药品集中采购药品使用监测表（每个药内容包括：药品名、规格、厂家、任务量、完成进度、差额、单位、完成时限、关联药品采购量）</w:t>
      </w:r>
    </w:p>
    <w:p>
      <w:pPr>
        <w:pStyle w:val="18"/>
        <w:numPr>
          <w:ilvl w:val="0"/>
          <w:numId w:val="13"/>
        </w:numPr>
        <w:ind w:left="0" w:firstLine="480" w:firstLineChars="0"/>
        <w:rPr>
          <w:rFonts w:ascii="宋体" w:hAnsi="宋体"/>
          <w:szCs w:val="24"/>
          <w:highlight w:val="none"/>
        </w:rPr>
      </w:pPr>
      <w:r>
        <w:rPr>
          <w:rFonts w:hint="eastAsia" w:ascii="宋体" w:hAnsi="宋体"/>
          <w:szCs w:val="24"/>
          <w:highlight w:val="none"/>
        </w:rPr>
        <w:t>集中采购药品使用情况记录表（每个药内容包括：药品名、规格、厂家、任务量、完成进度、差额、单位、完成时限、关联药品使用量）</w:t>
      </w:r>
    </w:p>
    <w:p>
      <w:pPr>
        <w:pStyle w:val="18"/>
        <w:numPr>
          <w:ilvl w:val="0"/>
          <w:numId w:val="13"/>
        </w:numPr>
        <w:ind w:left="0" w:firstLine="480" w:firstLineChars="0"/>
        <w:rPr>
          <w:rFonts w:ascii="宋体" w:hAnsi="宋体"/>
          <w:szCs w:val="24"/>
          <w:highlight w:val="none"/>
        </w:rPr>
      </w:pPr>
      <w:r>
        <w:rPr>
          <w:rFonts w:hint="eastAsia" w:ascii="宋体" w:hAnsi="宋体"/>
          <w:szCs w:val="24"/>
          <w:highlight w:val="none"/>
        </w:rPr>
        <w:t>集中采购药品费用结构监测表</w:t>
      </w:r>
    </w:p>
    <w:p>
      <w:pPr>
        <w:pStyle w:val="18"/>
        <w:numPr>
          <w:ilvl w:val="0"/>
          <w:numId w:val="13"/>
        </w:numPr>
        <w:ind w:left="0" w:firstLine="480" w:firstLineChars="0"/>
        <w:rPr>
          <w:rFonts w:ascii="宋体" w:hAnsi="宋体"/>
          <w:szCs w:val="24"/>
          <w:highlight w:val="none"/>
        </w:rPr>
      </w:pPr>
      <w:r>
        <w:rPr>
          <w:rFonts w:hint="eastAsia" w:ascii="宋体" w:hAnsi="宋体"/>
          <w:szCs w:val="24"/>
          <w:highlight w:val="none"/>
        </w:rPr>
        <w:t>公立医疗机构药品使用监测指标统计表</w:t>
      </w:r>
    </w:p>
    <w:p>
      <w:pPr>
        <w:pStyle w:val="18"/>
        <w:numPr>
          <w:ilvl w:val="0"/>
          <w:numId w:val="13"/>
        </w:numPr>
        <w:ind w:left="0" w:firstLine="480" w:firstLineChars="0"/>
        <w:rPr>
          <w:rFonts w:ascii="宋体" w:hAnsi="宋体"/>
          <w:szCs w:val="24"/>
          <w:highlight w:val="none"/>
        </w:rPr>
      </w:pPr>
      <w:r>
        <w:rPr>
          <w:rFonts w:hint="eastAsia" w:ascii="宋体" w:hAnsi="宋体"/>
          <w:szCs w:val="24"/>
          <w:highlight w:val="none"/>
        </w:rPr>
        <w:t>每个科室/医生集采药物的使用情况表（（每个药内容包括：科室/医生名称、药品名、规格、厂家、任务量、完成进度、差额、单位、完成时限、关联药品使用量）</w:t>
      </w:r>
    </w:p>
    <w:p>
      <w:pPr>
        <w:pStyle w:val="18"/>
        <w:rPr>
          <w:rFonts w:ascii="宋体" w:hAnsi="宋体"/>
          <w:szCs w:val="24"/>
          <w:highlight w:val="none"/>
        </w:rPr>
      </w:pPr>
      <w:r>
        <w:rPr>
          <w:rFonts w:hint="eastAsia" w:ascii="宋体" w:hAnsi="宋体"/>
          <w:szCs w:val="24"/>
          <w:highlight w:val="none"/>
        </w:rPr>
        <w:t>6）国家组织药品集中采购中标药品使用比例表</w:t>
      </w:r>
    </w:p>
    <w:p>
      <w:pPr>
        <w:pStyle w:val="4"/>
        <w:numPr>
          <w:ilvl w:val="2"/>
          <w:numId w:val="8"/>
        </w:numPr>
        <w:spacing w:line="360" w:lineRule="auto"/>
        <w:ind w:left="567"/>
        <w:rPr>
          <w:szCs w:val="24"/>
          <w:highlight w:val="none"/>
        </w:rPr>
      </w:pPr>
      <w:bookmarkStart w:id="85" w:name="_Toc154688569"/>
      <w:bookmarkStart w:id="86" w:name="_Toc148911259"/>
      <w:bookmarkStart w:id="87" w:name="_Toc144464765"/>
      <w:r>
        <w:rPr>
          <w:rFonts w:hint="eastAsia"/>
          <w:szCs w:val="24"/>
          <w:highlight w:val="none"/>
        </w:rPr>
        <w:t>用药配额管理</w:t>
      </w:r>
      <w:bookmarkEnd w:id="85"/>
      <w:bookmarkEnd w:id="86"/>
      <w:bookmarkEnd w:id="87"/>
    </w:p>
    <w:p>
      <w:pPr>
        <w:pStyle w:val="5"/>
        <w:numPr>
          <w:ilvl w:val="3"/>
          <w:numId w:val="8"/>
        </w:numPr>
        <w:spacing w:line="360" w:lineRule="auto"/>
        <w:ind w:left="708"/>
        <w:rPr>
          <w:szCs w:val="24"/>
          <w:highlight w:val="none"/>
        </w:rPr>
      </w:pPr>
      <w:bookmarkStart w:id="88" w:name="_Toc148911260"/>
      <w:bookmarkStart w:id="89" w:name="_Toc144464767"/>
      <w:r>
        <w:rPr>
          <w:rFonts w:hint="eastAsia"/>
          <w:szCs w:val="24"/>
          <w:highlight w:val="none"/>
        </w:rPr>
        <w:t>配额管理</w:t>
      </w:r>
      <w:bookmarkEnd w:id="88"/>
      <w:bookmarkEnd w:id="89"/>
    </w:p>
    <w:p>
      <w:pPr>
        <w:pStyle w:val="6"/>
        <w:numPr>
          <w:ilvl w:val="4"/>
          <w:numId w:val="8"/>
        </w:numPr>
        <w:spacing w:line="360" w:lineRule="auto"/>
        <w:ind w:left="851"/>
        <w:rPr>
          <w:szCs w:val="24"/>
          <w:highlight w:val="none"/>
          <w:lang w:eastAsia="zh-Hans"/>
        </w:rPr>
      </w:pPr>
      <w:bookmarkStart w:id="90" w:name="_Toc144464768"/>
      <w:r>
        <w:rPr>
          <w:rFonts w:hint="eastAsia"/>
          <w:szCs w:val="24"/>
          <w:highlight w:val="none"/>
          <w:lang w:eastAsia="zh-Hans"/>
        </w:rPr>
        <w:t>配额设置</w:t>
      </w:r>
      <w:bookmarkEnd w:id="90"/>
    </w:p>
    <w:p>
      <w:pPr>
        <w:pStyle w:val="66"/>
        <w:spacing w:line="360" w:lineRule="auto"/>
        <w:rPr>
          <w:rFonts w:ascii="宋体" w:hAnsi="宋体" w:eastAsia="宋体"/>
          <w:sz w:val="24"/>
          <w:szCs w:val="24"/>
          <w:highlight w:val="none"/>
          <w:lang w:eastAsia="zh-CN"/>
        </w:rPr>
      </w:pPr>
      <w:r>
        <w:rPr>
          <w:rFonts w:hint="eastAsia" w:ascii="宋体" w:hAnsi="宋体" w:eastAsia="宋体"/>
          <w:sz w:val="24"/>
          <w:szCs w:val="24"/>
          <w:highlight w:val="none"/>
          <w:lang w:eastAsia="zh-CN"/>
        </w:rPr>
        <w:t>系统支持对每个药品进行配额设置，设置科室、医生的使用额度。</w:t>
      </w:r>
    </w:p>
    <w:p>
      <w:pPr>
        <w:pStyle w:val="66"/>
        <w:spacing w:line="360" w:lineRule="auto"/>
        <w:rPr>
          <w:rFonts w:ascii="宋体" w:hAnsi="宋体" w:eastAsia="宋体"/>
          <w:sz w:val="24"/>
          <w:szCs w:val="24"/>
          <w:highlight w:val="none"/>
          <w:lang w:eastAsia="zh-CN"/>
        </w:rPr>
      </w:pPr>
      <w:r>
        <w:rPr>
          <w:rFonts w:hint="eastAsia" w:ascii="宋体" w:hAnsi="宋体" w:eastAsia="宋体"/>
          <w:sz w:val="24"/>
          <w:szCs w:val="24"/>
          <w:highlight w:val="none"/>
          <w:lang w:eastAsia="zh-CN"/>
        </w:rPr>
        <w:t>配额的使用周期可以按周、月、年进行设置。配额设置支持批量操作，例如将全部医生同时设置为某个额度。</w:t>
      </w:r>
    </w:p>
    <w:p>
      <w:pPr>
        <w:pStyle w:val="66"/>
        <w:spacing w:line="360" w:lineRule="auto"/>
        <w:rPr>
          <w:rFonts w:ascii="宋体" w:hAnsi="宋体" w:eastAsia="宋体"/>
          <w:sz w:val="24"/>
          <w:szCs w:val="24"/>
          <w:highlight w:val="none"/>
          <w:lang w:eastAsia="zh-CN"/>
        </w:rPr>
      </w:pPr>
      <w:r>
        <w:rPr>
          <w:rFonts w:hint="eastAsia" w:ascii="宋体" w:hAnsi="宋体" w:eastAsia="宋体"/>
          <w:sz w:val="24"/>
          <w:szCs w:val="24"/>
          <w:highlight w:val="none"/>
          <w:lang w:eastAsia="zh-CN"/>
        </w:rPr>
        <w:t>每个周期的配额只能在当前周期有效（每周、每月、每年），用不完的配额作废，不累计入下一个周期。</w:t>
      </w:r>
    </w:p>
    <w:p>
      <w:pPr>
        <w:pStyle w:val="66"/>
        <w:spacing w:line="360" w:lineRule="auto"/>
        <w:rPr>
          <w:rFonts w:ascii="宋体" w:hAnsi="宋体" w:eastAsia="宋体"/>
          <w:sz w:val="24"/>
          <w:szCs w:val="24"/>
          <w:highlight w:val="none"/>
          <w:lang w:eastAsia="zh-CN"/>
        </w:rPr>
      </w:pPr>
      <w:r>
        <w:rPr>
          <w:rFonts w:hint="eastAsia" w:ascii="宋体" w:hAnsi="宋体" w:eastAsia="宋体"/>
          <w:sz w:val="24"/>
          <w:szCs w:val="24"/>
          <w:highlight w:val="none"/>
          <w:lang w:eastAsia="zh-CN"/>
        </w:rPr>
        <w:t>当科室或医生发生变化时，支持提醒药师对新增科室或医生的配额进行设置，具体分为以下三种情况：</w:t>
      </w:r>
    </w:p>
    <w:p>
      <w:pPr>
        <w:pStyle w:val="66"/>
        <w:spacing w:line="360" w:lineRule="auto"/>
        <w:rPr>
          <w:rFonts w:ascii="宋体" w:hAnsi="宋体" w:eastAsia="宋体"/>
          <w:sz w:val="24"/>
          <w:szCs w:val="24"/>
          <w:highlight w:val="none"/>
          <w:lang w:eastAsia="zh-CN"/>
        </w:rPr>
      </w:pPr>
      <w:r>
        <w:rPr>
          <w:rFonts w:ascii="宋体" w:hAnsi="宋体" w:eastAsia="宋体"/>
          <w:sz w:val="24"/>
          <w:szCs w:val="24"/>
          <w:highlight w:val="none"/>
          <w:lang w:eastAsia="zh-CN"/>
        </w:rPr>
        <w:t>1</w:t>
      </w:r>
      <w:r>
        <w:rPr>
          <w:rFonts w:hint="eastAsia" w:ascii="宋体" w:hAnsi="宋体" w:eastAsia="宋体"/>
          <w:sz w:val="24"/>
          <w:szCs w:val="24"/>
          <w:highlight w:val="none"/>
          <w:lang w:eastAsia="zh-CN"/>
        </w:rPr>
        <w:t>）原有科室类型改变，例如由门诊科室改为住院科室，需要触发提醒。</w:t>
      </w:r>
    </w:p>
    <w:p>
      <w:pPr>
        <w:pStyle w:val="66"/>
        <w:spacing w:line="360" w:lineRule="auto"/>
        <w:rPr>
          <w:rFonts w:ascii="宋体" w:hAnsi="宋体" w:eastAsia="宋体"/>
          <w:sz w:val="24"/>
          <w:szCs w:val="24"/>
          <w:highlight w:val="none"/>
          <w:lang w:eastAsia="zh-CN"/>
        </w:rPr>
      </w:pPr>
      <w:r>
        <w:rPr>
          <w:rFonts w:ascii="宋体" w:hAnsi="宋体" w:eastAsia="宋体"/>
          <w:sz w:val="24"/>
          <w:szCs w:val="24"/>
          <w:highlight w:val="none"/>
          <w:lang w:eastAsia="zh-CN"/>
        </w:rPr>
        <w:t>2</w:t>
      </w:r>
      <w:r>
        <w:rPr>
          <w:rFonts w:hint="eastAsia" w:ascii="宋体" w:hAnsi="宋体" w:eastAsia="宋体"/>
          <w:sz w:val="24"/>
          <w:szCs w:val="24"/>
          <w:highlight w:val="none"/>
          <w:lang w:eastAsia="zh-CN"/>
        </w:rPr>
        <w:t>）新增科室，例如新增一个系统中未存在过的科室，需要触发提醒。</w:t>
      </w:r>
    </w:p>
    <w:p>
      <w:pPr>
        <w:pStyle w:val="66"/>
        <w:spacing w:line="360" w:lineRule="auto"/>
        <w:rPr>
          <w:rFonts w:ascii="宋体" w:hAnsi="宋体" w:eastAsia="宋体"/>
          <w:sz w:val="24"/>
          <w:szCs w:val="24"/>
          <w:highlight w:val="none"/>
          <w:lang w:eastAsia="zh-CN"/>
        </w:rPr>
      </w:pPr>
      <w:r>
        <w:rPr>
          <w:rFonts w:ascii="宋体" w:hAnsi="宋体" w:eastAsia="宋体"/>
          <w:sz w:val="24"/>
          <w:szCs w:val="24"/>
          <w:highlight w:val="none"/>
          <w:lang w:eastAsia="zh-CN"/>
        </w:rPr>
        <w:t>3</w:t>
      </w:r>
      <w:r>
        <w:rPr>
          <w:rFonts w:hint="eastAsia" w:ascii="宋体" w:hAnsi="宋体" w:eastAsia="宋体"/>
          <w:sz w:val="24"/>
          <w:szCs w:val="24"/>
          <w:highlight w:val="none"/>
          <w:lang w:eastAsia="zh-CN"/>
        </w:rPr>
        <w:t>）新增医生，例如新增一个系统中未存在过的医生，需要触发提醒。</w:t>
      </w:r>
    </w:p>
    <w:p>
      <w:pPr>
        <w:pStyle w:val="6"/>
        <w:numPr>
          <w:ilvl w:val="4"/>
          <w:numId w:val="8"/>
        </w:numPr>
        <w:spacing w:line="360" w:lineRule="auto"/>
        <w:ind w:left="851"/>
        <w:rPr>
          <w:szCs w:val="24"/>
          <w:highlight w:val="none"/>
          <w:lang w:eastAsia="zh-Hans"/>
        </w:rPr>
      </w:pPr>
      <w:bookmarkStart w:id="91" w:name="_Toc144464769"/>
      <w:r>
        <w:rPr>
          <w:rFonts w:hint="eastAsia"/>
          <w:szCs w:val="24"/>
          <w:highlight w:val="none"/>
          <w:lang w:eastAsia="zh-Hans"/>
        </w:rPr>
        <w:t>历史用量查询</w:t>
      </w:r>
      <w:bookmarkEnd w:id="91"/>
    </w:p>
    <w:p>
      <w:pPr>
        <w:pStyle w:val="66"/>
        <w:spacing w:line="360" w:lineRule="auto"/>
        <w:rPr>
          <w:rFonts w:ascii="宋体" w:hAnsi="宋体" w:eastAsia="宋体"/>
          <w:sz w:val="24"/>
          <w:szCs w:val="24"/>
          <w:highlight w:val="none"/>
          <w:lang w:eastAsia="zh-CN"/>
        </w:rPr>
      </w:pPr>
      <w:r>
        <w:rPr>
          <w:rFonts w:hint="eastAsia" w:ascii="宋体" w:hAnsi="宋体" w:eastAsia="宋体"/>
          <w:sz w:val="24"/>
          <w:szCs w:val="24"/>
          <w:highlight w:val="none"/>
          <w:lang w:eastAsia="zh-CN"/>
        </w:rPr>
        <w:t>用户在进行配额设置时，可查询历史用量，作为参考。</w:t>
      </w:r>
    </w:p>
    <w:p>
      <w:pPr>
        <w:pStyle w:val="6"/>
        <w:numPr>
          <w:ilvl w:val="4"/>
          <w:numId w:val="8"/>
        </w:numPr>
        <w:spacing w:line="360" w:lineRule="auto"/>
        <w:ind w:left="851"/>
        <w:rPr>
          <w:szCs w:val="24"/>
          <w:highlight w:val="none"/>
          <w:lang w:eastAsia="zh-Hans"/>
        </w:rPr>
      </w:pPr>
      <w:bookmarkStart w:id="92" w:name="_Toc144464770"/>
      <w:r>
        <w:rPr>
          <w:rFonts w:hint="eastAsia"/>
          <w:szCs w:val="24"/>
          <w:highlight w:val="none"/>
          <w:lang w:eastAsia="zh-Hans"/>
        </w:rPr>
        <w:t>配额修改</w:t>
      </w:r>
      <w:bookmarkEnd w:id="92"/>
    </w:p>
    <w:p>
      <w:pPr>
        <w:pStyle w:val="66"/>
        <w:spacing w:line="360" w:lineRule="auto"/>
        <w:rPr>
          <w:rFonts w:ascii="宋体" w:hAnsi="宋体" w:eastAsia="宋体"/>
          <w:sz w:val="24"/>
          <w:szCs w:val="24"/>
          <w:highlight w:val="none"/>
          <w:lang w:eastAsia="zh-CN"/>
        </w:rPr>
      </w:pPr>
      <w:r>
        <w:rPr>
          <w:rFonts w:hint="eastAsia" w:ascii="宋体" w:hAnsi="宋体" w:eastAsia="宋体"/>
          <w:sz w:val="24"/>
          <w:szCs w:val="24"/>
          <w:highlight w:val="none"/>
          <w:lang w:eastAsia="zh-CN"/>
        </w:rPr>
        <w:t>系统支持查看设置好的配额，并可对配额进行调整，调整后的配额于下一个周期生效。</w:t>
      </w:r>
    </w:p>
    <w:p>
      <w:pPr>
        <w:pStyle w:val="5"/>
        <w:numPr>
          <w:ilvl w:val="3"/>
          <w:numId w:val="8"/>
        </w:numPr>
        <w:spacing w:line="360" w:lineRule="auto"/>
        <w:ind w:left="708"/>
        <w:rPr>
          <w:szCs w:val="24"/>
          <w:highlight w:val="none"/>
        </w:rPr>
      </w:pPr>
      <w:bookmarkStart w:id="93" w:name="_Toc148911261"/>
      <w:bookmarkStart w:id="94" w:name="_Toc144464771"/>
      <w:r>
        <w:rPr>
          <w:rFonts w:hint="eastAsia"/>
          <w:szCs w:val="24"/>
          <w:highlight w:val="none"/>
        </w:rPr>
        <w:t>配额使用提示</w:t>
      </w:r>
      <w:bookmarkEnd w:id="93"/>
      <w:bookmarkEnd w:id="94"/>
    </w:p>
    <w:p>
      <w:pPr>
        <w:pStyle w:val="66"/>
        <w:spacing w:line="360" w:lineRule="auto"/>
        <w:rPr>
          <w:rFonts w:ascii="宋体" w:hAnsi="宋体" w:eastAsia="宋体"/>
          <w:sz w:val="24"/>
          <w:szCs w:val="24"/>
          <w:highlight w:val="none"/>
          <w:lang w:eastAsia="zh-CN"/>
        </w:rPr>
      </w:pPr>
      <w:r>
        <w:rPr>
          <w:rFonts w:hint="eastAsia" w:ascii="宋体" w:hAnsi="宋体" w:eastAsia="宋体"/>
          <w:sz w:val="24"/>
          <w:szCs w:val="24"/>
          <w:highlight w:val="none"/>
          <w:lang w:eastAsia="zh-CN"/>
        </w:rPr>
        <w:t>系统支持定期（每天/每周）从</w:t>
      </w:r>
      <w:r>
        <w:rPr>
          <w:rFonts w:ascii="宋体" w:hAnsi="宋体" w:eastAsia="宋体"/>
          <w:sz w:val="24"/>
          <w:szCs w:val="24"/>
          <w:highlight w:val="none"/>
          <w:lang w:eastAsia="zh-CN"/>
        </w:rPr>
        <w:t>HIS</w:t>
      </w:r>
      <w:r>
        <w:rPr>
          <w:rFonts w:hint="eastAsia" w:ascii="宋体" w:hAnsi="宋体" w:eastAsia="宋体"/>
          <w:sz w:val="24"/>
          <w:szCs w:val="24"/>
          <w:highlight w:val="none"/>
          <w:lang w:eastAsia="zh-CN"/>
        </w:rPr>
        <w:t>获取相应的处方数据（已发药或缴费），进行药品配额使用量统计，（每周配额使用量</w:t>
      </w:r>
      <w:r>
        <w:rPr>
          <w:rFonts w:ascii="宋体" w:hAnsi="宋体" w:eastAsia="宋体"/>
          <w:sz w:val="24"/>
          <w:szCs w:val="24"/>
          <w:highlight w:val="none"/>
          <w:lang w:eastAsia="zh-CN"/>
        </w:rPr>
        <w:t>=</w:t>
      </w:r>
      <w:r>
        <w:rPr>
          <w:rFonts w:hint="eastAsia" w:ascii="宋体" w:hAnsi="宋体" w:eastAsia="宋体"/>
          <w:sz w:val="24"/>
          <w:szCs w:val="24"/>
          <w:highlight w:val="none"/>
          <w:lang w:eastAsia="zh-CN"/>
        </w:rPr>
        <w:t>本周每日使用量加总）。</w:t>
      </w:r>
    </w:p>
    <w:p>
      <w:pPr>
        <w:pStyle w:val="66"/>
        <w:spacing w:line="360" w:lineRule="auto"/>
        <w:rPr>
          <w:rFonts w:ascii="宋体" w:hAnsi="宋体" w:eastAsia="宋体"/>
          <w:sz w:val="24"/>
          <w:szCs w:val="24"/>
          <w:highlight w:val="none"/>
          <w:lang w:eastAsia="zh-CN"/>
        </w:rPr>
      </w:pPr>
      <w:r>
        <w:rPr>
          <w:rFonts w:hint="eastAsia" w:ascii="宋体" w:hAnsi="宋体" w:eastAsia="宋体"/>
          <w:sz w:val="24"/>
          <w:szCs w:val="24"/>
          <w:highlight w:val="none"/>
          <w:lang w:eastAsia="zh-CN"/>
        </w:rPr>
        <w:t>门诊医生配额用完后禁止开立，与合理用药一样，在医生站弹框提示。医生不可通过双签功能强行通过处方（原有双签功能需要限制配额药品）。</w:t>
      </w:r>
    </w:p>
    <w:p>
      <w:pPr>
        <w:pStyle w:val="66"/>
        <w:spacing w:line="360" w:lineRule="auto"/>
        <w:rPr>
          <w:rFonts w:ascii="宋体" w:hAnsi="宋体" w:eastAsia="宋体"/>
          <w:sz w:val="24"/>
          <w:szCs w:val="24"/>
          <w:highlight w:val="none"/>
          <w:lang w:eastAsia="zh-CN"/>
        </w:rPr>
      </w:pPr>
      <w:r>
        <w:rPr>
          <w:rFonts w:hint="eastAsia" w:ascii="宋体" w:hAnsi="宋体" w:eastAsia="宋体"/>
          <w:sz w:val="24"/>
          <w:szCs w:val="24"/>
          <w:highlight w:val="none"/>
          <w:lang w:eastAsia="zh-CN"/>
        </w:rPr>
        <w:t>住院科室配额用完之后，禁止开立新的医嘱（包括长嘱、临嘱），与合理用药一样，在医生站弹框提示。已开立的长嘱不受限制，可继续使用该药，直至结束。</w:t>
      </w:r>
    </w:p>
    <w:p>
      <w:pPr>
        <w:pStyle w:val="5"/>
        <w:numPr>
          <w:ilvl w:val="3"/>
          <w:numId w:val="8"/>
        </w:numPr>
        <w:spacing w:line="360" w:lineRule="auto"/>
        <w:ind w:left="708"/>
        <w:rPr>
          <w:szCs w:val="24"/>
          <w:highlight w:val="none"/>
        </w:rPr>
      </w:pPr>
      <w:bookmarkStart w:id="95" w:name="_Toc148911262"/>
      <w:bookmarkStart w:id="96" w:name="_Toc144464772"/>
      <w:r>
        <w:rPr>
          <w:rFonts w:hint="eastAsia"/>
          <w:szCs w:val="24"/>
          <w:highlight w:val="none"/>
        </w:rPr>
        <w:t>配额监控预警</w:t>
      </w:r>
      <w:bookmarkEnd w:id="95"/>
      <w:bookmarkEnd w:id="96"/>
    </w:p>
    <w:p>
      <w:pPr>
        <w:pStyle w:val="66"/>
        <w:spacing w:line="360" w:lineRule="auto"/>
        <w:rPr>
          <w:rFonts w:ascii="宋体" w:hAnsi="宋体" w:eastAsia="宋体"/>
          <w:sz w:val="24"/>
          <w:szCs w:val="24"/>
          <w:highlight w:val="none"/>
          <w:lang w:eastAsia="zh-CN"/>
        </w:rPr>
      </w:pPr>
      <w:r>
        <w:rPr>
          <w:rFonts w:hint="eastAsia" w:ascii="宋体" w:hAnsi="宋体" w:eastAsia="宋体"/>
          <w:sz w:val="24"/>
          <w:szCs w:val="24"/>
          <w:highlight w:val="none"/>
          <w:lang w:eastAsia="zh-CN"/>
        </w:rPr>
        <w:t>管理者可查询各科室、医生的配额使用情况。</w:t>
      </w:r>
    </w:p>
    <w:p>
      <w:pPr>
        <w:pStyle w:val="66"/>
        <w:spacing w:line="360" w:lineRule="auto"/>
        <w:rPr>
          <w:rFonts w:ascii="宋体" w:hAnsi="宋体" w:eastAsia="宋体"/>
          <w:sz w:val="24"/>
          <w:szCs w:val="24"/>
          <w:highlight w:val="none"/>
          <w:lang w:eastAsia="zh-CN"/>
        </w:rPr>
      </w:pPr>
      <w:r>
        <w:rPr>
          <w:rFonts w:hint="eastAsia" w:ascii="宋体" w:hAnsi="宋体" w:eastAsia="宋体"/>
          <w:sz w:val="24"/>
          <w:szCs w:val="24"/>
          <w:highlight w:val="none"/>
          <w:lang w:eastAsia="zh-CN"/>
        </w:rPr>
        <w:t>按指定时间段</w:t>
      </w:r>
      <w:r>
        <w:rPr>
          <w:rFonts w:ascii="宋体" w:hAnsi="宋体" w:eastAsia="宋体"/>
          <w:sz w:val="24"/>
          <w:szCs w:val="24"/>
          <w:highlight w:val="none"/>
          <w:lang w:eastAsia="zh-CN"/>
        </w:rPr>
        <w:t>(</w:t>
      </w:r>
      <w:r>
        <w:rPr>
          <w:rFonts w:hint="eastAsia" w:ascii="宋体" w:hAnsi="宋体" w:eastAsia="宋体"/>
          <w:sz w:val="24"/>
          <w:szCs w:val="24"/>
          <w:highlight w:val="none"/>
          <w:lang w:eastAsia="zh-CN"/>
        </w:rPr>
        <w:t>周、月、季度</w:t>
      </w:r>
      <w:r>
        <w:rPr>
          <w:rFonts w:ascii="宋体" w:hAnsi="宋体" w:eastAsia="宋体"/>
          <w:sz w:val="24"/>
          <w:szCs w:val="24"/>
          <w:highlight w:val="none"/>
          <w:lang w:eastAsia="zh-CN"/>
        </w:rPr>
        <w:t>)</w:t>
      </w:r>
      <w:r>
        <w:rPr>
          <w:rFonts w:hint="eastAsia" w:ascii="宋体" w:hAnsi="宋体" w:eastAsia="宋体"/>
          <w:sz w:val="24"/>
          <w:szCs w:val="24"/>
          <w:highlight w:val="none"/>
          <w:lang w:eastAsia="zh-CN"/>
        </w:rPr>
        <w:t>进行柱状显示，异常</w:t>
      </w:r>
      <w:r>
        <w:rPr>
          <w:rFonts w:ascii="宋体" w:hAnsi="宋体" w:eastAsia="宋体"/>
          <w:sz w:val="24"/>
          <w:szCs w:val="24"/>
          <w:highlight w:val="none"/>
          <w:lang w:eastAsia="zh-CN"/>
        </w:rPr>
        <w:t>(</w:t>
      </w:r>
      <w:r>
        <w:rPr>
          <w:rFonts w:hint="eastAsia" w:ascii="宋体" w:hAnsi="宋体" w:eastAsia="宋体"/>
          <w:sz w:val="24"/>
          <w:szCs w:val="24"/>
          <w:highlight w:val="none"/>
          <w:lang w:eastAsia="zh-CN"/>
        </w:rPr>
        <w:t>可自定义</w:t>
      </w:r>
      <w:r>
        <w:rPr>
          <w:rFonts w:ascii="宋体" w:hAnsi="宋体" w:eastAsia="宋体"/>
          <w:sz w:val="24"/>
          <w:szCs w:val="24"/>
          <w:highlight w:val="none"/>
          <w:lang w:eastAsia="zh-CN"/>
        </w:rPr>
        <w:t>)</w:t>
      </w:r>
      <w:r>
        <w:rPr>
          <w:rFonts w:hint="eastAsia" w:ascii="宋体" w:hAnsi="宋体" w:eastAsia="宋体"/>
          <w:sz w:val="24"/>
          <w:szCs w:val="24"/>
          <w:highlight w:val="none"/>
          <w:lang w:eastAsia="zh-CN"/>
        </w:rPr>
        <w:t>使用量的时间段支持高亮颜色显示。</w:t>
      </w:r>
    </w:p>
    <w:p>
      <w:pPr>
        <w:pStyle w:val="5"/>
        <w:numPr>
          <w:ilvl w:val="3"/>
          <w:numId w:val="8"/>
        </w:numPr>
        <w:spacing w:line="360" w:lineRule="auto"/>
        <w:ind w:left="708"/>
        <w:rPr>
          <w:szCs w:val="24"/>
          <w:highlight w:val="none"/>
        </w:rPr>
      </w:pPr>
      <w:bookmarkStart w:id="97" w:name="_Toc144464773"/>
      <w:bookmarkStart w:id="98" w:name="_Toc148911263"/>
      <w:r>
        <w:rPr>
          <w:rFonts w:hint="eastAsia"/>
          <w:szCs w:val="24"/>
          <w:highlight w:val="none"/>
        </w:rPr>
        <w:t>配额使用报表</w:t>
      </w:r>
      <w:bookmarkEnd w:id="97"/>
      <w:bookmarkEnd w:id="98"/>
    </w:p>
    <w:p>
      <w:pPr>
        <w:adjustRightInd w:val="0"/>
        <w:spacing w:line="360" w:lineRule="auto"/>
        <w:ind w:firstLine="420" w:firstLineChars="200"/>
        <w:textAlignment w:val="baseline"/>
        <w:rPr>
          <w:rFonts w:ascii="宋体" w:hAnsi="宋体"/>
          <w:highlight w:val="none"/>
        </w:rPr>
      </w:pPr>
      <w:r>
        <w:rPr>
          <w:rFonts w:hint="eastAsia" w:ascii="宋体" w:hAnsi="宋体"/>
          <w:highlight w:val="none"/>
        </w:rPr>
        <w:t>支持配额使用情况相关报表的导出。导出时可配置相应的字段。</w:t>
      </w:r>
    </w:p>
    <w:p>
      <w:pPr>
        <w:pStyle w:val="5"/>
        <w:adjustRightInd w:val="0"/>
        <w:rPr>
          <w:highlight w:val="none"/>
          <w:shd w:val="clear" w:color="auto" w:fill="FFFF00"/>
        </w:rPr>
      </w:pPr>
      <w:r>
        <w:rPr>
          <w:highlight w:val="none"/>
          <w:shd w:val="clear" w:color="auto" w:fill="FFFF00"/>
        </w:rPr>
        <w:t>3.33 药品限额功能</w:t>
      </w:r>
    </w:p>
    <w:p>
      <w:pPr>
        <w:adjustRightInd w:val="0"/>
        <w:spacing w:line="360" w:lineRule="auto"/>
        <w:ind w:firstLine="420" w:firstLineChars="200"/>
        <w:textAlignment w:val="baseline"/>
        <w:rPr>
          <w:rFonts w:ascii="宋体" w:hAnsi="宋体"/>
          <w:highlight w:val="none"/>
          <w:shd w:val="clear" w:color="auto" w:fill="FFFF00"/>
        </w:rPr>
      </w:pPr>
      <w:r>
        <w:rPr>
          <w:rFonts w:ascii="宋体" w:hAnsi="宋体" w:cs="宋体"/>
          <w:highlight w:val="none"/>
          <w:shd w:val="clear" w:color="auto" w:fill="FFFF00"/>
        </w:rPr>
        <w:t>能够有效的帮助药库管理药品的使用，便捷的看到每个药品具体的消耗金额。指定的药品设定在一个自然月的消耗金额，如果这个药品超过了设定的金额就不让医生开，如果需要继续开，可以和药学部申请。</w:t>
      </w:r>
    </w:p>
    <w:p>
      <w:pPr>
        <w:pStyle w:val="3"/>
        <w:numPr>
          <w:ilvl w:val="1"/>
          <w:numId w:val="8"/>
        </w:numPr>
        <w:spacing w:line="360" w:lineRule="auto"/>
        <w:ind w:left="567"/>
        <w:rPr>
          <w:szCs w:val="24"/>
          <w:highlight w:val="none"/>
        </w:rPr>
      </w:pPr>
      <w:bookmarkStart w:id="99" w:name="_Toc154688570"/>
      <w:r>
        <w:rPr>
          <w:rFonts w:hint="eastAsia"/>
          <w:szCs w:val="24"/>
          <w:highlight w:val="none"/>
        </w:rPr>
        <w:t>数据分析系统</w:t>
      </w:r>
      <w:bookmarkEnd w:id="99"/>
    </w:p>
    <w:p>
      <w:pPr>
        <w:pStyle w:val="66"/>
        <w:spacing w:line="360" w:lineRule="auto"/>
        <w:rPr>
          <w:rFonts w:ascii="宋体" w:hAnsi="宋体" w:eastAsia="宋体"/>
          <w:sz w:val="24"/>
          <w:szCs w:val="24"/>
          <w:highlight w:val="none"/>
          <w:lang w:eastAsia="zh-CN"/>
        </w:rPr>
      </w:pPr>
      <w:r>
        <w:rPr>
          <w:rFonts w:hint="eastAsia" w:ascii="宋体" w:hAnsi="宋体" w:eastAsia="宋体"/>
          <w:sz w:val="24"/>
          <w:szCs w:val="24"/>
          <w:highlight w:val="none"/>
          <w:lang w:eastAsia="zh-CN"/>
        </w:rPr>
        <w:t>该模块主要实现医院各种用药数据的监控，包括国家绩效考核指标（药学）的呈现和管理、重点监控品种监控等，并支持输出相应的上报报表。任何指定的药物，都可以统计出排名靠前的科室，通过点击科室链接，可以统计出使用排名靠前的医生，通过点击医生名称，可以调出使用该药的所有病历，通过点击每个病历查看病历所有内容。任何指定的药物，都能显示使用量前三的科室，使用量前三的医生，并且通过点击医生名称，可以调出使用该药的所有病历，通过点击每个病历查看病历所有内容。</w:t>
      </w:r>
    </w:p>
    <w:p>
      <w:pPr>
        <w:pStyle w:val="4"/>
        <w:numPr>
          <w:ilvl w:val="2"/>
          <w:numId w:val="8"/>
        </w:numPr>
        <w:spacing w:line="360" w:lineRule="auto"/>
        <w:ind w:left="567"/>
        <w:rPr>
          <w:szCs w:val="24"/>
          <w:highlight w:val="none"/>
        </w:rPr>
      </w:pPr>
      <w:bookmarkStart w:id="100" w:name="_Toc148958857"/>
      <w:bookmarkStart w:id="101" w:name="_Toc120702378"/>
      <w:bookmarkStart w:id="102" w:name="_Toc154688571"/>
      <w:r>
        <w:rPr>
          <w:rFonts w:hint="eastAsia"/>
          <w:szCs w:val="24"/>
          <w:highlight w:val="none"/>
        </w:rPr>
        <w:t>重点监控药品报表</w:t>
      </w:r>
      <w:bookmarkEnd w:id="100"/>
      <w:bookmarkEnd w:id="101"/>
      <w:bookmarkEnd w:id="102"/>
    </w:p>
    <w:p>
      <w:pPr>
        <w:pStyle w:val="18"/>
        <w:rPr>
          <w:rFonts w:ascii="宋体" w:hAnsi="宋体"/>
          <w:szCs w:val="24"/>
          <w:highlight w:val="none"/>
        </w:rPr>
      </w:pPr>
      <w:r>
        <w:rPr>
          <w:rFonts w:hint="eastAsia" w:ascii="宋体" w:hAnsi="宋体"/>
          <w:szCs w:val="24"/>
          <w:highlight w:val="none"/>
        </w:rPr>
        <w:t>包括：</w:t>
      </w:r>
    </w:p>
    <w:p>
      <w:pPr>
        <w:pStyle w:val="18"/>
        <w:widowControl/>
        <w:numPr>
          <w:ilvl w:val="0"/>
          <w:numId w:val="14"/>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重点监控药品使用情况明细表</w:t>
      </w:r>
      <w:r>
        <w:rPr>
          <w:rFonts w:hint="eastAsia" w:ascii="宋体" w:hAnsi="宋体"/>
          <w:szCs w:val="24"/>
          <w:highlight w:val="none"/>
        </w:rPr>
        <w:t>，通过点击科室链接，可以统计出使用排名靠前的医生，通过点击医生名称，可以调出使用该药的所有病历，通过点击每个病历查看病历所有内容。</w:t>
      </w:r>
    </w:p>
    <w:p>
      <w:pPr>
        <w:pStyle w:val="18"/>
        <w:numPr>
          <w:ilvl w:val="0"/>
          <w:numId w:val="14"/>
        </w:numPr>
        <w:ind w:left="0" w:firstLine="480" w:firstLineChars="0"/>
        <w:rPr>
          <w:rFonts w:ascii="宋体" w:hAnsi="宋体"/>
          <w:szCs w:val="24"/>
          <w:highlight w:val="none"/>
        </w:rPr>
      </w:pPr>
      <w:r>
        <w:rPr>
          <w:rFonts w:ascii="宋体" w:hAnsi="宋体"/>
          <w:szCs w:val="24"/>
          <w:highlight w:val="none"/>
        </w:rPr>
        <w:t>重点监控药品使用情况排名表（科室）</w:t>
      </w:r>
      <w:r>
        <w:rPr>
          <w:rFonts w:hint="eastAsia" w:ascii="宋体" w:hAnsi="宋体"/>
          <w:szCs w:val="24"/>
          <w:highlight w:val="none"/>
        </w:rPr>
        <w:t>，通过点击医生名字链接，可以调出所有使用重点监控药品的所有病历，通过点击每个病历查看病历所有内容。</w:t>
      </w:r>
    </w:p>
    <w:p>
      <w:pPr>
        <w:pStyle w:val="4"/>
        <w:numPr>
          <w:ilvl w:val="2"/>
          <w:numId w:val="8"/>
        </w:numPr>
        <w:spacing w:line="360" w:lineRule="auto"/>
        <w:ind w:left="567"/>
        <w:rPr>
          <w:szCs w:val="24"/>
          <w:highlight w:val="none"/>
        </w:rPr>
      </w:pPr>
      <w:bookmarkStart w:id="103" w:name="_Toc120702369"/>
      <w:bookmarkStart w:id="104" w:name="_Toc148958858"/>
      <w:bookmarkStart w:id="105" w:name="_Toc154688572"/>
      <w:r>
        <w:rPr>
          <w:rFonts w:hint="eastAsia"/>
          <w:szCs w:val="24"/>
          <w:highlight w:val="none"/>
        </w:rPr>
        <w:t>三级公立医院绩效考核指标报表</w:t>
      </w:r>
      <w:bookmarkEnd w:id="103"/>
      <w:bookmarkEnd w:id="104"/>
      <w:bookmarkEnd w:id="105"/>
    </w:p>
    <w:p>
      <w:pPr>
        <w:pStyle w:val="18"/>
        <w:rPr>
          <w:rFonts w:ascii="宋体" w:hAnsi="宋体"/>
          <w:szCs w:val="24"/>
          <w:highlight w:val="none"/>
        </w:rPr>
      </w:pPr>
      <w:r>
        <w:rPr>
          <w:rFonts w:hint="eastAsia" w:ascii="宋体" w:hAnsi="宋体"/>
          <w:szCs w:val="24"/>
          <w:highlight w:val="none"/>
        </w:rPr>
        <w:t>包括：</w:t>
      </w:r>
    </w:p>
    <w:p>
      <w:pPr>
        <w:pStyle w:val="18"/>
        <w:numPr>
          <w:ilvl w:val="0"/>
          <w:numId w:val="15"/>
        </w:numPr>
        <w:ind w:left="0" w:firstLine="480" w:firstLineChars="0"/>
        <w:rPr>
          <w:rFonts w:ascii="宋体" w:hAnsi="宋体"/>
          <w:szCs w:val="24"/>
          <w:highlight w:val="none"/>
        </w:rPr>
      </w:pPr>
      <w:r>
        <w:rPr>
          <w:rFonts w:hint="eastAsia" w:ascii="宋体" w:hAnsi="宋体"/>
          <w:szCs w:val="24"/>
          <w:highlight w:val="none"/>
        </w:rPr>
        <w:t>三级公立医院绩效考核报表</w:t>
      </w:r>
    </w:p>
    <w:p>
      <w:pPr>
        <w:pStyle w:val="18"/>
        <w:numPr>
          <w:ilvl w:val="0"/>
          <w:numId w:val="15"/>
        </w:numPr>
        <w:ind w:left="0" w:firstLine="480" w:firstLineChars="0"/>
        <w:rPr>
          <w:rFonts w:ascii="宋体" w:hAnsi="宋体"/>
          <w:szCs w:val="24"/>
          <w:highlight w:val="none"/>
        </w:rPr>
      </w:pPr>
      <w:r>
        <w:rPr>
          <w:rFonts w:hint="eastAsia" w:ascii="宋体" w:hAnsi="宋体"/>
          <w:szCs w:val="24"/>
          <w:highlight w:val="none"/>
        </w:rPr>
        <w:t>三级公立中医医院绩效考核报表</w:t>
      </w:r>
    </w:p>
    <w:p>
      <w:pPr>
        <w:pStyle w:val="4"/>
        <w:numPr>
          <w:ilvl w:val="2"/>
          <w:numId w:val="8"/>
        </w:numPr>
        <w:spacing w:line="360" w:lineRule="auto"/>
        <w:ind w:left="567"/>
        <w:rPr>
          <w:szCs w:val="24"/>
          <w:highlight w:val="none"/>
        </w:rPr>
      </w:pPr>
      <w:bookmarkStart w:id="106" w:name="_Toc154688573"/>
      <w:bookmarkStart w:id="107" w:name="_Toc148958859"/>
      <w:r>
        <w:rPr>
          <w:rFonts w:hint="eastAsia"/>
          <w:szCs w:val="24"/>
          <w:highlight w:val="none"/>
        </w:rPr>
        <w:t>抗菌药物报表</w:t>
      </w:r>
      <w:bookmarkEnd w:id="106"/>
      <w:bookmarkEnd w:id="107"/>
    </w:p>
    <w:p>
      <w:pPr>
        <w:pStyle w:val="5"/>
        <w:numPr>
          <w:ilvl w:val="3"/>
          <w:numId w:val="8"/>
        </w:numPr>
        <w:spacing w:line="360" w:lineRule="auto"/>
        <w:ind w:left="708"/>
        <w:rPr>
          <w:szCs w:val="24"/>
          <w:highlight w:val="none"/>
        </w:rPr>
      </w:pPr>
      <w:r>
        <w:rPr>
          <w:rFonts w:hint="eastAsia"/>
          <w:szCs w:val="24"/>
          <w:highlight w:val="none"/>
        </w:rPr>
        <w:t>抗菌药物使用清单及统计</w:t>
      </w:r>
    </w:p>
    <w:p>
      <w:pPr>
        <w:pStyle w:val="18"/>
        <w:rPr>
          <w:rFonts w:ascii="宋体" w:hAnsi="宋体"/>
          <w:szCs w:val="24"/>
          <w:highlight w:val="none"/>
        </w:rPr>
      </w:pPr>
      <w:r>
        <w:rPr>
          <w:rFonts w:hint="eastAsia" w:ascii="宋体" w:hAnsi="宋体"/>
          <w:szCs w:val="24"/>
          <w:highlight w:val="none"/>
        </w:rPr>
        <w:t>包括：</w:t>
      </w:r>
    </w:p>
    <w:p>
      <w:pPr>
        <w:pStyle w:val="18"/>
        <w:numPr>
          <w:ilvl w:val="0"/>
          <w:numId w:val="16"/>
        </w:numPr>
        <w:ind w:left="0" w:firstLine="480" w:firstLineChars="0"/>
        <w:rPr>
          <w:rFonts w:ascii="宋体" w:hAnsi="宋体"/>
          <w:szCs w:val="24"/>
          <w:highlight w:val="none"/>
        </w:rPr>
      </w:pPr>
      <w:r>
        <w:rPr>
          <w:rFonts w:hint="eastAsia" w:ascii="宋体" w:hAnsi="宋体"/>
          <w:szCs w:val="24"/>
          <w:highlight w:val="none"/>
        </w:rPr>
        <w:t>医院抗菌药物使用种类统计表</w:t>
      </w:r>
    </w:p>
    <w:p>
      <w:pPr>
        <w:pStyle w:val="5"/>
        <w:numPr>
          <w:ilvl w:val="3"/>
          <w:numId w:val="8"/>
        </w:numPr>
        <w:spacing w:line="360" w:lineRule="auto"/>
        <w:ind w:left="708"/>
        <w:rPr>
          <w:szCs w:val="24"/>
          <w:highlight w:val="none"/>
        </w:rPr>
      </w:pPr>
      <w:r>
        <w:rPr>
          <w:rFonts w:hint="eastAsia"/>
          <w:szCs w:val="24"/>
          <w:highlight w:val="none"/>
        </w:rPr>
        <w:t>全国抗菌药物临床应用专项整治活动</w:t>
      </w:r>
    </w:p>
    <w:p>
      <w:pPr>
        <w:pStyle w:val="18"/>
        <w:rPr>
          <w:rFonts w:ascii="宋体" w:hAnsi="宋体"/>
          <w:szCs w:val="24"/>
          <w:highlight w:val="none"/>
        </w:rPr>
      </w:pPr>
      <w:r>
        <w:rPr>
          <w:rFonts w:hint="eastAsia" w:ascii="宋体" w:hAnsi="宋体"/>
          <w:szCs w:val="24"/>
          <w:highlight w:val="none"/>
        </w:rPr>
        <w:t>包括：</w:t>
      </w:r>
    </w:p>
    <w:p>
      <w:pPr>
        <w:pStyle w:val="18"/>
        <w:widowControl/>
        <w:numPr>
          <w:ilvl w:val="0"/>
          <w:numId w:val="17"/>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使用金额排名前N位的抗菌药物</w:t>
      </w:r>
    </w:p>
    <w:p>
      <w:pPr>
        <w:pStyle w:val="18"/>
        <w:widowControl/>
        <w:numPr>
          <w:ilvl w:val="0"/>
          <w:numId w:val="17"/>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全院使用量排名前十位抗菌药物</w:t>
      </w:r>
    </w:p>
    <w:p>
      <w:pPr>
        <w:pStyle w:val="18"/>
        <w:widowControl/>
        <w:numPr>
          <w:ilvl w:val="0"/>
          <w:numId w:val="17"/>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各科室使用量排名前N位的抗菌药物</w:t>
      </w:r>
      <w:r>
        <w:rPr>
          <w:rFonts w:hint="eastAsia" w:ascii="宋体" w:hAnsi="宋体"/>
          <w:szCs w:val="24"/>
          <w:highlight w:val="none"/>
        </w:rPr>
        <w:t>，可以通过点击抗菌药物得出相应的病历号和管床医生，再通过链接可以看到具体的病历。</w:t>
      </w:r>
    </w:p>
    <w:p>
      <w:pPr>
        <w:pStyle w:val="18"/>
        <w:widowControl/>
        <w:numPr>
          <w:ilvl w:val="0"/>
          <w:numId w:val="17"/>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各科室使用金额排名前N位的抗菌药物</w:t>
      </w:r>
      <w:r>
        <w:rPr>
          <w:rFonts w:hint="eastAsia" w:ascii="宋体" w:hAnsi="宋体"/>
          <w:szCs w:val="24"/>
          <w:highlight w:val="none"/>
        </w:rPr>
        <w:t>可以通过点击抗菌药物得出相应的病历号和管床医生，再通过链接可以看到具体的病历。</w:t>
      </w:r>
    </w:p>
    <w:p>
      <w:pPr>
        <w:pStyle w:val="18"/>
        <w:widowControl/>
        <w:numPr>
          <w:ilvl w:val="0"/>
          <w:numId w:val="17"/>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抗菌药物使用量排名前N位的医生</w:t>
      </w:r>
    </w:p>
    <w:p>
      <w:pPr>
        <w:pStyle w:val="18"/>
        <w:widowControl/>
        <w:numPr>
          <w:ilvl w:val="0"/>
          <w:numId w:val="17"/>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抗菌药物使用量排名前N位的抗菌药物</w:t>
      </w:r>
    </w:p>
    <w:p>
      <w:pPr>
        <w:pStyle w:val="18"/>
        <w:widowControl/>
        <w:numPr>
          <w:ilvl w:val="0"/>
          <w:numId w:val="17"/>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抗菌药物使用量排名前N位的科室统计表</w:t>
      </w:r>
    </w:p>
    <w:p>
      <w:pPr>
        <w:pStyle w:val="18"/>
        <w:widowControl/>
        <w:numPr>
          <w:ilvl w:val="0"/>
          <w:numId w:val="17"/>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抗菌药物使用金额排名前N位的医生</w:t>
      </w:r>
    </w:p>
    <w:p>
      <w:pPr>
        <w:pStyle w:val="18"/>
        <w:widowControl/>
        <w:numPr>
          <w:ilvl w:val="0"/>
          <w:numId w:val="17"/>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抗菌药物使用金额排名前N位的科室统计表</w:t>
      </w:r>
    </w:p>
    <w:p>
      <w:pPr>
        <w:pStyle w:val="18"/>
        <w:numPr>
          <w:ilvl w:val="0"/>
          <w:numId w:val="17"/>
        </w:numPr>
        <w:ind w:left="0" w:firstLine="480" w:firstLineChars="0"/>
        <w:rPr>
          <w:rFonts w:ascii="宋体" w:hAnsi="宋体"/>
          <w:szCs w:val="24"/>
          <w:highlight w:val="none"/>
        </w:rPr>
      </w:pPr>
      <w:r>
        <w:rPr>
          <w:rFonts w:ascii="宋体" w:hAnsi="宋体"/>
          <w:szCs w:val="24"/>
          <w:highlight w:val="none"/>
        </w:rPr>
        <w:t>抗菌药物分级管理目录</w:t>
      </w:r>
    </w:p>
    <w:p>
      <w:pPr>
        <w:pStyle w:val="5"/>
        <w:numPr>
          <w:ilvl w:val="3"/>
          <w:numId w:val="8"/>
        </w:numPr>
        <w:spacing w:line="360" w:lineRule="auto"/>
        <w:ind w:left="708"/>
        <w:rPr>
          <w:szCs w:val="24"/>
          <w:highlight w:val="none"/>
        </w:rPr>
      </w:pPr>
      <w:r>
        <w:rPr>
          <w:rFonts w:hint="eastAsia"/>
          <w:szCs w:val="24"/>
          <w:highlight w:val="none"/>
        </w:rPr>
        <w:t>抗菌药物临床应用管理评价指标及要求</w:t>
      </w:r>
    </w:p>
    <w:p>
      <w:pPr>
        <w:pStyle w:val="18"/>
        <w:rPr>
          <w:rFonts w:ascii="宋体" w:hAnsi="宋体"/>
          <w:szCs w:val="24"/>
          <w:highlight w:val="none"/>
        </w:rPr>
      </w:pPr>
      <w:r>
        <w:rPr>
          <w:rFonts w:hint="eastAsia" w:ascii="宋体" w:hAnsi="宋体"/>
          <w:szCs w:val="24"/>
          <w:highlight w:val="none"/>
        </w:rPr>
        <w:t>包括：</w:t>
      </w:r>
    </w:p>
    <w:p>
      <w:pPr>
        <w:pStyle w:val="18"/>
        <w:numPr>
          <w:ilvl w:val="0"/>
          <w:numId w:val="18"/>
        </w:numPr>
        <w:ind w:left="0" w:firstLine="480" w:firstLineChars="0"/>
        <w:rPr>
          <w:rFonts w:ascii="宋体" w:hAnsi="宋体"/>
          <w:szCs w:val="24"/>
          <w:highlight w:val="none"/>
        </w:rPr>
      </w:pPr>
      <w:r>
        <w:rPr>
          <w:rFonts w:hint="eastAsia" w:ascii="宋体" w:hAnsi="宋体"/>
          <w:szCs w:val="24"/>
          <w:highlight w:val="none"/>
        </w:rPr>
        <w:t>医疗机构抗菌药物品种、规格和使用量统计调查表</w:t>
      </w:r>
    </w:p>
    <w:p>
      <w:pPr>
        <w:pStyle w:val="5"/>
        <w:numPr>
          <w:ilvl w:val="3"/>
          <w:numId w:val="8"/>
        </w:numPr>
        <w:spacing w:line="360" w:lineRule="auto"/>
        <w:ind w:left="708"/>
        <w:rPr>
          <w:szCs w:val="24"/>
          <w:highlight w:val="none"/>
        </w:rPr>
      </w:pPr>
      <w:r>
        <w:rPr>
          <w:rFonts w:hint="eastAsia"/>
          <w:szCs w:val="24"/>
          <w:highlight w:val="none"/>
        </w:rPr>
        <w:t>全国抗菌药物临床应用监测网</w:t>
      </w:r>
    </w:p>
    <w:p>
      <w:pPr>
        <w:pStyle w:val="18"/>
        <w:rPr>
          <w:rFonts w:ascii="宋体" w:hAnsi="宋体"/>
          <w:szCs w:val="24"/>
          <w:highlight w:val="none"/>
        </w:rPr>
      </w:pPr>
      <w:r>
        <w:rPr>
          <w:rFonts w:hint="eastAsia" w:ascii="宋体" w:hAnsi="宋体"/>
          <w:szCs w:val="24"/>
          <w:highlight w:val="none"/>
        </w:rPr>
        <w:t>包括：</w:t>
      </w:r>
    </w:p>
    <w:p>
      <w:pPr>
        <w:pStyle w:val="18"/>
        <w:numPr>
          <w:ilvl w:val="0"/>
          <w:numId w:val="19"/>
        </w:numPr>
        <w:ind w:left="0" w:firstLine="480" w:firstLineChars="0"/>
        <w:rPr>
          <w:rFonts w:ascii="宋体" w:hAnsi="宋体"/>
          <w:szCs w:val="24"/>
          <w:highlight w:val="none"/>
        </w:rPr>
      </w:pPr>
      <w:r>
        <w:rPr>
          <w:rFonts w:ascii="宋体" w:hAnsi="宋体"/>
          <w:szCs w:val="24"/>
          <w:highlight w:val="none"/>
        </w:rPr>
        <w:t>抗菌药物各品种使用情况</w:t>
      </w:r>
    </w:p>
    <w:p>
      <w:pPr>
        <w:pStyle w:val="18"/>
        <w:numPr>
          <w:ilvl w:val="0"/>
          <w:numId w:val="19"/>
        </w:numPr>
        <w:ind w:left="0" w:firstLine="480" w:firstLineChars="0"/>
        <w:rPr>
          <w:rFonts w:ascii="宋体" w:hAnsi="宋体"/>
          <w:szCs w:val="24"/>
          <w:highlight w:val="none"/>
        </w:rPr>
      </w:pPr>
      <w:r>
        <w:rPr>
          <w:rFonts w:ascii="宋体" w:hAnsi="宋体"/>
          <w:szCs w:val="24"/>
          <w:highlight w:val="none"/>
        </w:rPr>
        <w:t>全面对接全国抗菌药物临床应用监测网</w:t>
      </w:r>
    </w:p>
    <w:p>
      <w:pPr>
        <w:pStyle w:val="5"/>
        <w:numPr>
          <w:ilvl w:val="3"/>
          <w:numId w:val="8"/>
        </w:numPr>
        <w:spacing w:line="360" w:lineRule="auto"/>
        <w:ind w:left="708"/>
        <w:rPr>
          <w:szCs w:val="24"/>
          <w:highlight w:val="none"/>
        </w:rPr>
      </w:pPr>
      <w:bookmarkStart w:id="108" w:name="_Hlk154557942"/>
      <w:r>
        <w:rPr>
          <w:rFonts w:hint="eastAsia"/>
          <w:szCs w:val="24"/>
          <w:highlight w:val="none"/>
        </w:rPr>
        <w:t>其他抗菌药物相关报表</w:t>
      </w:r>
    </w:p>
    <w:bookmarkEnd w:id="108"/>
    <w:p>
      <w:pPr>
        <w:pStyle w:val="18"/>
        <w:rPr>
          <w:rFonts w:ascii="宋体" w:hAnsi="宋体"/>
          <w:szCs w:val="24"/>
          <w:highlight w:val="none"/>
        </w:rPr>
      </w:pPr>
      <w:r>
        <w:rPr>
          <w:rFonts w:hint="eastAsia" w:ascii="宋体" w:hAnsi="宋体"/>
          <w:szCs w:val="24"/>
          <w:highlight w:val="none"/>
        </w:rPr>
        <w:t>包括</w:t>
      </w:r>
      <w:r>
        <w:rPr>
          <w:rFonts w:hint="eastAsia" w:ascii="宋体" w:hAnsi="宋体"/>
          <w:szCs w:val="24"/>
          <w:highlight w:val="none"/>
          <w:shd w:val="clear" w:color="auto" w:fill="FFFF00"/>
        </w:rPr>
        <w:t>但不限于</w:t>
      </w:r>
      <w:r>
        <w:rPr>
          <w:rFonts w:hint="eastAsia" w:ascii="宋体" w:hAnsi="宋体"/>
          <w:szCs w:val="24"/>
          <w:highlight w:val="none"/>
        </w:rPr>
        <w:t>：</w:t>
      </w:r>
    </w:p>
    <w:p>
      <w:pPr>
        <w:pStyle w:val="18"/>
        <w:widowControl/>
        <w:numPr>
          <w:ilvl w:val="0"/>
          <w:numId w:val="20"/>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临床科室、</w:t>
      </w:r>
      <w:r>
        <w:rPr>
          <w:rFonts w:ascii="宋体" w:hAnsi="宋体"/>
          <w:szCs w:val="24"/>
          <w:highlight w:val="none"/>
          <w:shd w:val="clear" w:color="auto" w:fill="FFFF00"/>
        </w:rPr>
        <w:t>全院</w:t>
      </w:r>
      <w:r>
        <w:rPr>
          <w:rFonts w:ascii="宋体" w:hAnsi="宋体"/>
          <w:szCs w:val="24"/>
          <w:highlight w:val="none"/>
        </w:rPr>
        <w:t>指标（抗菌药物使用率</w:t>
      </w:r>
      <w:r>
        <w:rPr>
          <w:rFonts w:ascii="宋体" w:hAnsi="宋体"/>
          <w:szCs w:val="24"/>
          <w:highlight w:val="none"/>
          <w:shd w:val="clear" w:color="auto" w:fill="FFFF00"/>
        </w:rPr>
        <w:t>（门诊、急诊、住院）</w:t>
      </w:r>
      <w:r>
        <w:rPr>
          <w:rFonts w:ascii="宋体" w:hAnsi="宋体"/>
          <w:szCs w:val="24"/>
          <w:highlight w:val="none"/>
        </w:rPr>
        <w:t>、使用强度、特殊级抗菌药物DDDS占比）持续改进情况统计表</w:t>
      </w:r>
    </w:p>
    <w:p>
      <w:pPr>
        <w:pStyle w:val="18"/>
        <w:widowControl/>
        <w:numPr>
          <w:ilvl w:val="0"/>
          <w:numId w:val="20"/>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医疗机构一般情况调查</w:t>
      </w:r>
    </w:p>
    <w:p>
      <w:pPr>
        <w:pStyle w:val="18"/>
        <w:numPr>
          <w:ilvl w:val="0"/>
          <w:numId w:val="20"/>
        </w:numPr>
        <w:ind w:left="0" w:firstLine="480" w:firstLineChars="0"/>
        <w:rPr>
          <w:rFonts w:ascii="宋体" w:hAnsi="宋体"/>
          <w:szCs w:val="24"/>
          <w:highlight w:val="none"/>
        </w:rPr>
      </w:pPr>
      <w:r>
        <w:rPr>
          <w:rFonts w:ascii="宋体" w:hAnsi="宋体"/>
          <w:szCs w:val="24"/>
          <w:highlight w:val="none"/>
        </w:rPr>
        <w:t>临床科室指标（抗菌药物使用率）持续改进情况统计表（按月）</w:t>
      </w:r>
    </w:p>
    <w:p>
      <w:pPr>
        <w:pStyle w:val="18"/>
        <w:numPr>
          <w:ilvl w:val="0"/>
          <w:numId w:val="20"/>
        </w:numPr>
        <w:ind w:left="0" w:firstLine="480" w:firstLineChars="0"/>
        <w:rPr>
          <w:rFonts w:ascii="宋体" w:hAnsi="宋体"/>
          <w:szCs w:val="24"/>
          <w:highlight w:val="none"/>
        </w:rPr>
      </w:pPr>
      <w:r>
        <w:rPr>
          <w:rFonts w:hint="eastAsia" w:ascii="宋体" w:hAnsi="宋体"/>
          <w:szCs w:val="24"/>
          <w:highlight w:val="none"/>
        </w:rPr>
        <w:t>全院/临床科室的一类切口使用率</w:t>
      </w:r>
    </w:p>
    <w:p>
      <w:pPr>
        <w:pStyle w:val="18"/>
        <w:numPr>
          <w:ilvl w:val="0"/>
          <w:numId w:val="20"/>
        </w:numPr>
        <w:ind w:left="0" w:firstLine="480" w:firstLineChars="0"/>
        <w:rPr>
          <w:rFonts w:ascii="宋体" w:hAnsi="宋体"/>
          <w:szCs w:val="24"/>
          <w:highlight w:val="none"/>
        </w:rPr>
      </w:pPr>
      <w:r>
        <w:rPr>
          <w:rFonts w:hint="eastAsia" w:ascii="宋体" w:hAnsi="宋体"/>
          <w:szCs w:val="24"/>
          <w:highlight w:val="none"/>
        </w:rPr>
        <w:t>全院/临床科室的抗菌药物治疗前送检率（包括但不限于抗菌药物治疗前送检率、医院感染诊断相关病原学送检率、联合使用重点药物前病原学送检率等）</w:t>
      </w:r>
    </w:p>
    <w:p>
      <w:pPr>
        <w:pStyle w:val="18"/>
        <w:numPr>
          <w:ilvl w:val="0"/>
          <w:numId w:val="20"/>
        </w:numPr>
        <w:ind w:left="0" w:firstLine="480" w:firstLineChars="0"/>
        <w:rPr>
          <w:rFonts w:ascii="宋体" w:hAnsi="宋体"/>
          <w:szCs w:val="24"/>
          <w:highlight w:val="none"/>
        </w:rPr>
      </w:pPr>
      <w:r>
        <w:rPr>
          <w:rFonts w:hint="eastAsia" w:ascii="宋体" w:hAnsi="宋体"/>
          <w:szCs w:val="24"/>
          <w:highlight w:val="none"/>
        </w:rPr>
        <w:t>围术期（I、II类切口）抗菌药物预防使用率</w:t>
      </w:r>
    </w:p>
    <w:p>
      <w:pPr>
        <w:pStyle w:val="5"/>
        <w:numPr>
          <w:ilvl w:val="3"/>
          <w:numId w:val="8"/>
        </w:numPr>
        <w:spacing w:line="360" w:lineRule="auto"/>
        <w:ind w:left="708"/>
        <w:rPr>
          <w:szCs w:val="24"/>
          <w:highlight w:val="none"/>
        </w:rPr>
      </w:pPr>
      <w:bookmarkStart w:id="109" w:name="_Hlk154688488"/>
      <w:r>
        <w:rPr>
          <w:rFonts w:hint="eastAsia"/>
          <w:szCs w:val="24"/>
          <w:highlight w:val="none"/>
        </w:rPr>
        <w:t>全面对接国家不良反应监测</w:t>
      </w:r>
      <w:commentRangeStart w:id="0"/>
      <w:r>
        <w:rPr>
          <w:rFonts w:hint="eastAsia"/>
          <w:szCs w:val="24"/>
          <w:highlight w:val="none"/>
        </w:rPr>
        <w:t>中心</w:t>
      </w:r>
      <w:commentRangeEnd w:id="0"/>
      <w:r>
        <w:rPr>
          <w:szCs w:val="24"/>
          <w:highlight w:val="none"/>
        </w:rPr>
        <w:commentReference w:id="0"/>
      </w:r>
      <w:bookmarkEnd w:id="109"/>
    </w:p>
    <w:p>
      <w:pPr>
        <w:ind w:firstLine="420" w:firstLineChars="200"/>
        <w:rPr>
          <w:rFonts w:hint="eastAsia"/>
          <w:highlight w:val="none"/>
        </w:rPr>
      </w:pPr>
      <w:r>
        <w:rPr>
          <w:rFonts w:hint="eastAsia"/>
          <w:highlight w:val="none"/>
        </w:rPr>
        <w:t>系统支持与接国家不良反应监测中心对接。</w:t>
      </w:r>
    </w:p>
    <w:p>
      <w:pPr>
        <w:pStyle w:val="4"/>
        <w:numPr>
          <w:ilvl w:val="2"/>
          <w:numId w:val="8"/>
        </w:numPr>
        <w:spacing w:line="360" w:lineRule="auto"/>
        <w:ind w:left="567"/>
        <w:rPr>
          <w:szCs w:val="24"/>
          <w:highlight w:val="none"/>
        </w:rPr>
      </w:pPr>
      <w:bookmarkStart w:id="110" w:name="_Toc120702374"/>
      <w:bookmarkStart w:id="111" w:name="_Toc148958860"/>
      <w:bookmarkStart w:id="112" w:name="_Toc154688574"/>
      <w:bookmarkStart w:id="113" w:name="_Toc120702370"/>
      <w:r>
        <w:rPr>
          <w:rFonts w:hint="eastAsia"/>
          <w:szCs w:val="24"/>
          <w:highlight w:val="none"/>
        </w:rPr>
        <w:t>麻精药品使用统计报表</w:t>
      </w:r>
      <w:bookmarkEnd w:id="110"/>
      <w:bookmarkEnd w:id="111"/>
      <w:bookmarkEnd w:id="112"/>
    </w:p>
    <w:p>
      <w:pPr>
        <w:pStyle w:val="18"/>
        <w:rPr>
          <w:rFonts w:ascii="宋体" w:hAnsi="宋体"/>
          <w:szCs w:val="24"/>
          <w:highlight w:val="none"/>
        </w:rPr>
      </w:pPr>
      <w:r>
        <w:rPr>
          <w:rFonts w:hint="eastAsia" w:ascii="宋体" w:hAnsi="宋体"/>
          <w:szCs w:val="24"/>
          <w:highlight w:val="none"/>
        </w:rPr>
        <w:t>包括：</w:t>
      </w:r>
    </w:p>
    <w:p>
      <w:pPr>
        <w:pStyle w:val="18"/>
        <w:numPr>
          <w:ilvl w:val="0"/>
          <w:numId w:val="21"/>
        </w:numPr>
        <w:ind w:left="0" w:firstLine="480" w:firstLineChars="0"/>
        <w:rPr>
          <w:rFonts w:ascii="宋体" w:hAnsi="宋体"/>
          <w:szCs w:val="24"/>
          <w:highlight w:val="none"/>
        </w:rPr>
      </w:pPr>
      <w:r>
        <w:rPr>
          <w:rFonts w:hint="eastAsia" w:ascii="宋体" w:hAnsi="宋体"/>
          <w:szCs w:val="24"/>
          <w:highlight w:val="none"/>
        </w:rPr>
        <w:t>麻醉/精神药品处方登记表</w:t>
      </w:r>
    </w:p>
    <w:p>
      <w:pPr>
        <w:pStyle w:val="4"/>
        <w:numPr>
          <w:ilvl w:val="2"/>
          <w:numId w:val="8"/>
        </w:numPr>
        <w:spacing w:line="360" w:lineRule="auto"/>
        <w:ind w:left="567"/>
        <w:rPr>
          <w:szCs w:val="24"/>
          <w:highlight w:val="none"/>
        </w:rPr>
      </w:pPr>
      <w:bookmarkStart w:id="114" w:name="_Toc120702375"/>
      <w:bookmarkStart w:id="115" w:name="_Toc154688575"/>
      <w:bookmarkStart w:id="116" w:name="_Toc148958861"/>
      <w:r>
        <w:rPr>
          <w:rFonts w:hint="eastAsia"/>
          <w:szCs w:val="24"/>
          <w:highlight w:val="none"/>
        </w:rPr>
        <w:t>抗肿瘤药品报表</w:t>
      </w:r>
      <w:bookmarkEnd w:id="114"/>
      <w:bookmarkEnd w:id="115"/>
      <w:bookmarkEnd w:id="116"/>
    </w:p>
    <w:p>
      <w:pPr>
        <w:pStyle w:val="18"/>
        <w:rPr>
          <w:rFonts w:ascii="宋体" w:hAnsi="宋体"/>
          <w:szCs w:val="24"/>
          <w:highlight w:val="none"/>
        </w:rPr>
      </w:pPr>
      <w:r>
        <w:rPr>
          <w:rFonts w:hint="eastAsia" w:ascii="宋体" w:hAnsi="宋体"/>
          <w:szCs w:val="24"/>
          <w:highlight w:val="none"/>
        </w:rPr>
        <w:t>包括：</w:t>
      </w:r>
    </w:p>
    <w:p>
      <w:pPr>
        <w:pStyle w:val="18"/>
        <w:widowControl/>
        <w:numPr>
          <w:ilvl w:val="0"/>
          <w:numId w:val="22"/>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科室抗肿瘤药物使用金额占比</w:t>
      </w:r>
    </w:p>
    <w:p>
      <w:pPr>
        <w:pStyle w:val="18"/>
        <w:widowControl/>
        <w:numPr>
          <w:ilvl w:val="0"/>
          <w:numId w:val="22"/>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医生抗肿瘤药物使用金额占比</w:t>
      </w:r>
    </w:p>
    <w:p>
      <w:pPr>
        <w:pStyle w:val="18"/>
        <w:numPr>
          <w:ilvl w:val="0"/>
          <w:numId w:val="22"/>
        </w:numPr>
        <w:ind w:left="0" w:firstLine="480" w:firstLineChars="0"/>
        <w:rPr>
          <w:rFonts w:ascii="宋体" w:hAnsi="宋体"/>
          <w:szCs w:val="24"/>
          <w:highlight w:val="none"/>
        </w:rPr>
      </w:pPr>
      <w:r>
        <w:rPr>
          <w:rFonts w:ascii="宋体" w:hAnsi="宋体"/>
          <w:szCs w:val="24"/>
          <w:highlight w:val="none"/>
        </w:rPr>
        <w:t>肿瘤药品使用情况</w:t>
      </w:r>
    </w:p>
    <w:p>
      <w:pPr>
        <w:pStyle w:val="4"/>
        <w:numPr>
          <w:ilvl w:val="2"/>
          <w:numId w:val="8"/>
        </w:numPr>
        <w:spacing w:line="360" w:lineRule="auto"/>
        <w:ind w:left="567"/>
        <w:rPr>
          <w:szCs w:val="24"/>
          <w:highlight w:val="none"/>
        </w:rPr>
      </w:pPr>
      <w:bookmarkStart w:id="117" w:name="_Toc148958862"/>
      <w:bookmarkStart w:id="118" w:name="_Toc154688576"/>
      <w:r>
        <w:rPr>
          <w:rFonts w:hint="eastAsia"/>
          <w:szCs w:val="24"/>
          <w:highlight w:val="none"/>
        </w:rPr>
        <w:t>三级综合医院医疗质量管理与控制指标报表</w:t>
      </w:r>
      <w:bookmarkEnd w:id="113"/>
      <w:bookmarkEnd w:id="117"/>
      <w:bookmarkEnd w:id="118"/>
    </w:p>
    <w:p>
      <w:pPr>
        <w:pStyle w:val="18"/>
        <w:rPr>
          <w:rFonts w:ascii="宋体" w:hAnsi="宋体"/>
          <w:szCs w:val="24"/>
          <w:highlight w:val="none"/>
        </w:rPr>
      </w:pPr>
      <w:r>
        <w:rPr>
          <w:rFonts w:hint="eastAsia" w:ascii="宋体" w:hAnsi="宋体"/>
          <w:szCs w:val="24"/>
          <w:highlight w:val="none"/>
        </w:rPr>
        <w:t>包括：</w:t>
      </w:r>
    </w:p>
    <w:p>
      <w:pPr>
        <w:pStyle w:val="18"/>
        <w:numPr>
          <w:ilvl w:val="0"/>
          <w:numId w:val="23"/>
        </w:numPr>
        <w:ind w:left="0" w:firstLine="480" w:firstLineChars="0"/>
        <w:rPr>
          <w:rFonts w:ascii="宋体" w:hAnsi="宋体"/>
          <w:szCs w:val="24"/>
          <w:highlight w:val="none"/>
        </w:rPr>
      </w:pPr>
      <w:r>
        <w:rPr>
          <w:rFonts w:hint="eastAsia" w:ascii="宋体" w:hAnsi="宋体"/>
          <w:szCs w:val="24"/>
          <w:highlight w:val="none"/>
        </w:rPr>
        <w:t>三级综合医院医疗质量管理与控制指标统计报表</w:t>
      </w:r>
    </w:p>
    <w:p>
      <w:pPr>
        <w:pStyle w:val="4"/>
        <w:numPr>
          <w:ilvl w:val="2"/>
          <w:numId w:val="8"/>
        </w:numPr>
        <w:spacing w:line="360" w:lineRule="auto"/>
        <w:ind w:left="567"/>
        <w:rPr>
          <w:szCs w:val="24"/>
          <w:highlight w:val="none"/>
        </w:rPr>
      </w:pPr>
      <w:bookmarkStart w:id="119" w:name="_Toc154688577"/>
      <w:bookmarkStart w:id="120" w:name="_Toc148958863"/>
      <w:bookmarkStart w:id="121" w:name="_Toc120702371"/>
      <w:r>
        <w:rPr>
          <w:rFonts w:hint="eastAsia"/>
          <w:szCs w:val="24"/>
          <w:highlight w:val="none"/>
        </w:rPr>
        <w:t>合理用药统计报表</w:t>
      </w:r>
      <w:bookmarkEnd w:id="119"/>
      <w:bookmarkEnd w:id="120"/>
      <w:bookmarkEnd w:id="121"/>
    </w:p>
    <w:p>
      <w:pPr>
        <w:pStyle w:val="5"/>
        <w:numPr>
          <w:ilvl w:val="3"/>
          <w:numId w:val="8"/>
        </w:numPr>
        <w:spacing w:line="360" w:lineRule="auto"/>
        <w:ind w:left="708"/>
        <w:rPr>
          <w:szCs w:val="24"/>
          <w:highlight w:val="none"/>
        </w:rPr>
      </w:pPr>
      <w:r>
        <w:rPr>
          <w:rFonts w:hint="eastAsia"/>
          <w:szCs w:val="24"/>
          <w:highlight w:val="none"/>
        </w:rPr>
        <w:t>合理用药指标</w:t>
      </w:r>
    </w:p>
    <w:p>
      <w:pPr>
        <w:pStyle w:val="18"/>
        <w:rPr>
          <w:rFonts w:ascii="宋体" w:hAnsi="宋体"/>
          <w:szCs w:val="24"/>
          <w:highlight w:val="none"/>
        </w:rPr>
      </w:pPr>
      <w:r>
        <w:rPr>
          <w:rFonts w:hint="eastAsia" w:ascii="宋体" w:hAnsi="宋体"/>
          <w:szCs w:val="24"/>
          <w:highlight w:val="none"/>
        </w:rPr>
        <w:t>包括：</w:t>
      </w:r>
    </w:p>
    <w:p>
      <w:pPr>
        <w:pStyle w:val="18"/>
        <w:widowControl/>
        <w:numPr>
          <w:ilvl w:val="0"/>
          <w:numId w:val="24"/>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门（急）诊病人指标</w:t>
      </w:r>
    </w:p>
    <w:p>
      <w:pPr>
        <w:pStyle w:val="18"/>
        <w:widowControl/>
        <w:numPr>
          <w:ilvl w:val="0"/>
          <w:numId w:val="24"/>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住（出）院病人指标</w:t>
      </w:r>
    </w:p>
    <w:p>
      <w:pPr>
        <w:pStyle w:val="18"/>
        <w:widowControl/>
        <w:numPr>
          <w:ilvl w:val="0"/>
          <w:numId w:val="24"/>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抗菌药物使用量指标</w:t>
      </w:r>
    </w:p>
    <w:p>
      <w:pPr>
        <w:pStyle w:val="18"/>
        <w:widowControl/>
        <w:numPr>
          <w:ilvl w:val="0"/>
          <w:numId w:val="24"/>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抗菌药物使用强度指标</w:t>
      </w:r>
    </w:p>
    <w:p>
      <w:pPr>
        <w:pStyle w:val="18"/>
        <w:widowControl/>
        <w:numPr>
          <w:ilvl w:val="0"/>
          <w:numId w:val="24"/>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重点及特殊手术指标</w:t>
      </w:r>
    </w:p>
    <w:p>
      <w:pPr>
        <w:pStyle w:val="18"/>
        <w:widowControl/>
        <w:numPr>
          <w:ilvl w:val="0"/>
          <w:numId w:val="24"/>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药占比</w:t>
      </w:r>
    </w:p>
    <w:p>
      <w:pPr>
        <w:pStyle w:val="18"/>
        <w:widowControl/>
        <w:numPr>
          <w:ilvl w:val="0"/>
          <w:numId w:val="24"/>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国家集中采购使用情况</w:t>
      </w:r>
    </w:p>
    <w:p>
      <w:pPr>
        <w:pStyle w:val="18"/>
        <w:widowControl/>
        <w:numPr>
          <w:ilvl w:val="0"/>
          <w:numId w:val="24"/>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国家重点监控药品目录占比</w:t>
      </w:r>
    </w:p>
    <w:p>
      <w:pPr>
        <w:pStyle w:val="18"/>
        <w:widowControl/>
        <w:numPr>
          <w:ilvl w:val="0"/>
          <w:numId w:val="24"/>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基本药物科室使用占比</w:t>
      </w:r>
    </w:p>
    <w:p>
      <w:pPr>
        <w:pStyle w:val="18"/>
        <w:widowControl/>
        <w:numPr>
          <w:ilvl w:val="0"/>
          <w:numId w:val="24"/>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中成药占比</w:t>
      </w:r>
    </w:p>
    <w:p>
      <w:pPr>
        <w:pStyle w:val="18"/>
        <w:widowControl/>
        <w:numPr>
          <w:ilvl w:val="0"/>
          <w:numId w:val="24"/>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住院出院病人数量</w:t>
      </w:r>
    </w:p>
    <w:p>
      <w:pPr>
        <w:pStyle w:val="18"/>
        <w:numPr>
          <w:ilvl w:val="0"/>
          <w:numId w:val="24"/>
        </w:numPr>
        <w:ind w:left="0" w:firstLine="480" w:firstLineChars="0"/>
        <w:rPr>
          <w:rFonts w:ascii="宋体" w:hAnsi="宋体"/>
          <w:szCs w:val="24"/>
          <w:highlight w:val="none"/>
        </w:rPr>
      </w:pPr>
      <w:r>
        <w:rPr>
          <w:rFonts w:ascii="宋体" w:hAnsi="宋体"/>
          <w:szCs w:val="24"/>
          <w:highlight w:val="none"/>
        </w:rPr>
        <w:t>集中采购品种使用量占比</w:t>
      </w:r>
    </w:p>
    <w:p>
      <w:pPr>
        <w:pStyle w:val="5"/>
        <w:numPr>
          <w:ilvl w:val="3"/>
          <w:numId w:val="8"/>
        </w:numPr>
        <w:spacing w:line="360" w:lineRule="auto"/>
        <w:ind w:left="708"/>
        <w:rPr>
          <w:szCs w:val="24"/>
          <w:highlight w:val="none"/>
        </w:rPr>
      </w:pPr>
      <w:r>
        <w:rPr>
          <w:rFonts w:hint="eastAsia"/>
          <w:szCs w:val="24"/>
          <w:highlight w:val="none"/>
        </w:rPr>
        <w:t>全国合理用药监测系统</w:t>
      </w:r>
    </w:p>
    <w:p>
      <w:pPr>
        <w:pStyle w:val="18"/>
        <w:rPr>
          <w:rFonts w:ascii="宋体" w:hAnsi="宋体"/>
          <w:szCs w:val="24"/>
          <w:highlight w:val="none"/>
        </w:rPr>
      </w:pPr>
      <w:r>
        <w:rPr>
          <w:rFonts w:hint="eastAsia" w:ascii="宋体" w:hAnsi="宋体"/>
          <w:szCs w:val="24"/>
          <w:highlight w:val="none"/>
        </w:rPr>
        <w:t>包括：</w:t>
      </w:r>
    </w:p>
    <w:p>
      <w:pPr>
        <w:pStyle w:val="18"/>
        <w:widowControl/>
        <w:numPr>
          <w:ilvl w:val="0"/>
          <w:numId w:val="25"/>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出院病例点评</w:t>
      </w:r>
    </w:p>
    <w:p>
      <w:pPr>
        <w:pStyle w:val="18"/>
        <w:widowControl/>
        <w:numPr>
          <w:ilvl w:val="0"/>
          <w:numId w:val="25"/>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门急诊不合理处方的科室</w:t>
      </w:r>
    </w:p>
    <w:p>
      <w:pPr>
        <w:pStyle w:val="18"/>
        <w:widowControl/>
        <w:numPr>
          <w:ilvl w:val="0"/>
          <w:numId w:val="25"/>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门急诊不合理处方类型</w:t>
      </w:r>
    </w:p>
    <w:p>
      <w:pPr>
        <w:pStyle w:val="18"/>
        <w:widowControl/>
        <w:numPr>
          <w:ilvl w:val="0"/>
          <w:numId w:val="25"/>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门急诊处方点评汇总</w:t>
      </w:r>
    </w:p>
    <w:p>
      <w:pPr>
        <w:pStyle w:val="18"/>
        <w:widowControl/>
        <w:numPr>
          <w:ilvl w:val="0"/>
          <w:numId w:val="25"/>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门急诊处方点评结果明细</w:t>
      </w:r>
    </w:p>
    <w:p>
      <w:pPr>
        <w:pStyle w:val="18"/>
        <w:widowControl/>
        <w:numPr>
          <w:ilvl w:val="0"/>
          <w:numId w:val="25"/>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门急诊处方用药状况点评数据统计表</w:t>
      </w:r>
    </w:p>
    <w:p>
      <w:pPr>
        <w:pStyle w:val="18"/>
        <w:numPr>
          <w:ilvl w:val="0"/>
          <w:numId w:val="25"/>
        </w:numPr>
        <w:ind w:left="0" w:firstLine="480" w:firstLineChars="0"/>
        <w:rPr>
          <w:rFonts w:ascii="宋体" w:hAnsi="宋体"/>
          <w:szCs w:val="24"/>
          <w:highlight w:val="none"/>
        </w:rPr>
      </w:pPr>
      <w:r>
        <w:rPr>
          <w:rFonts w:ascii="宋体" w:hAnsi="宋体"/>
          <w:szCs w:val="24"/>
          <w:highlight w:val="none"/>
        </w:rPr>
        <w:t>门急诊抽查点评数量统计表（按科室统计）</w:t>
      </w:r>
    </w:p>
    <w:p>
      <w:pPr>
        <w:pStyle w:val="4"/>
        <w:numPr>
          <w:ilvl w:val="2"/>
          <w:numId w:val="8"/>
        </w:numPr>
        <w:spacing w:line="360" w:lineRule="auto"/>
        <w:ind w:left="567"/>
        <w:rPr>
          <w:szCs w:val="24"/>
          <w:highlight w:val="none"/>
        </w:rPr>
      </w:pPr>
      <w:bookmarkStart w:id="122" w:name="_Toc154688578"/>
      <w:bookmarkStart w:id="123" w:name="_Toc120702372"/>
      <w:bookmarkStart w:id="124" w:name="_Toc148958864"/>
      <w:r>
        <w:rPr>
          <w:rFonts w:hint="eastAsia"/>
          <w:szCs w:val="24"/>
          <w:highlight w:val="none"/>
        </w:rPr>
        <w:t>中药相关报表</w:t>
      </w:r>
      <w:bookmarkEnd w:id="122"/>
      <w:bookmarkEnd w:id="123"/>
      <w:bookmarkEnd w:id="124"/>
    </w:p>
    <w:p>
      <w:pPr>
        <w:pStyle w:val="18"/>
        <w:rPr>
          <w:rFonts w:ascii="宋体" w:hAnsi="宋体"/>
          <w:szCs w:val="24"/>
          <w:highlight w:val="none"/>
        </w:rPr>
      </w:pPr>
      <w:r>
        <w:rPr>
          <w:rFonts w:hint="eastAsia" w:ascii="宋体" w:hAnsi="宋体"/>
          <w:szCs w:val="24"/>
          <w:highlight w:val="none"/>
        </w:rPr>
        <w:t>包括；</w:t>
      </w:r>
    </w:p>
    <w:p>
      <w:pPr>
        <w:pStyle w:val="18"/>
        <w:widowControl/>
        <w:numPr>
          <w:ilvl w:val="0"/>
          <w:numId w:val="26"/>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中医类医院监测表（合理用药相关指标）</w:t>
      </w:r>
    </w:p>
    <w:p>
      <w:pPr>
        <w:pStyle w:val="18"/>
        <w:numPr>
          <w:ilvl w:val="0"/>
          <w:numId w:val="26"/>
        </w:numPr>
        <w:ind w:left="0" w:firstLine="480" w:firstLineChars="0"/>
        <w:rPr>
          <w:rFonts w:ascii="宋体" w:hAnsi="宋体"/>
          <w:szCs w:val="24"/>
          <w:highlight w:val="none"/>
        </w:rPr>
      </w:pPr>
      <w:r>
        <w:rPr>
          <w:rFonts w:ascii="宋体" w:hAnsi="宋体"/>
          <w:szCs w:val="24"/>
          <w:highlight w:val="none"/>
        </w:rPr>
        <w:t>门诊中药数据</w:t>
      </w:r>
    </w:p>
    <w:p>
      <w:pPr>
        <w:pStyle w:val="4"/>
        <w:numPr>
          <w:ilvl w:val="2"/>
          <w:numId w:val="8"/>
        </w:numPr>
        <w:spacing w:line="360" w:lineRule="auto"/>
        <w:ind w:left="567"/>
        <w:rPr>
          <w:szCs w:val="24"/>
          <w:highlight w:val="none"/>
        </w:rPr>
      </w:pPr>
      <w:bookmarkStart w:id="125" w:name="_Toc154688579"/>
      <w:bookmarkStart w:id="126" w:name="_Toc148958865"/>
      <w:bookmarkStart w:id="127" w:name="_Toc120702373"/>
      <w:r>
        <w:rPr>
          <w:rFonts w:hint="eastAsia"/>
          <w:szCs w:val="24"/>
          <w:highlight w:val="none"/>
        </w:rPr>
        <w:t>注射剂/大容量注射液统计报表</w:t>
      </w:r>
      <w:bookmarkEnd w:id="125"/>
      <w:bookmarkEnd w:id="126"/>
      <w:bookmarkEnd w:id="127"/>
    </w:p>
    <w:p>
      <w:pPr>
        <w:pStyle w:val="18"/>
        <w:rPr>
          <w:rFonts w:ascii="宋体" w:hAnsi="宋体"/>
          <w:szCs w:val="24"/>
          <w:highlight w:val="none"/>
        </w:rPr>
      </w:pPr>
      <w:r>
        <w:rPr>
          <w:rFonts w:hint="eastAsia" w:ascii="宋体" w:hAnsi="宋体"/>
          <w:szCs w:val="24"/>
          <w:highlight w:val="none"/>
        </w:rPr>
        <w:t>包括：</w:t>
      </w:r>
    </w:p>
    <w:p>
      <w:pPr>
        <w:pStyle w:val="18"/>
        <w:widowControl/>
        <w:numPr>
          <w:ilvl w:val="0"/>
          <w:numId w:val="27"/>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大容量注射剂使用情况统计表</w:t>
      </w:r>
    </w:p>
    <w:p>
      <w:pPr>
        <w:pStyle w:val="18"/>
        <w:widowControl/>
        <w:numPr>
          <w:ilvl w:val="0"/>
          <w:numId w:val="27"/>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每月门诊输液数据（医生）</w:t>
      </w:r>
    </w:p>
    <w:p>
      <w:pPr>
        <w:pStyle w:val="18"/>
        <w:widowControl/>
        <w:numPr>
          <w:ilvl w:val="0"/>
          <w:numId w:val="27"/>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每月门诊输液数据（科室）</w:t>
      </w:r>
    </w:p>
    <w:p>
      <w:pPr>
        <w:pStyle w:val="18"/>
        <w:numPr>
          <w:ilvl w:val="0"/>
          <w:numId w:val="27"/>
        </w:numPr>
        <w:ind w:left="0" w:firstLine="480" w:firstLineChars="0"/>
        <w:rPr>
          <w:rFonts w:ascii="宋体" w:hAnsi="宋体"/>
          <w:szCs w:val="24"/>
          <w:highlight w:val="none"/>
        </w:rPr>
      </w:pPr>
      <w:r>
        <w:rPr>
          <w:rFonts w:ascii="宋体" w:hAnsi="宋体"/>
          <w:szCs w:val="24"/>
          <w:highlight w:val="none"/>
        </w:rPr>
        <w:t>注射剂使用情况统计表</w:t>
      </w:r>
    </w:p>
    <w:p>
      <w:pPr>
        <w:pStyle w:val="4"/>
        <w:numPr>
          <w:ilvl w:val="2"/>
          <w:numId w:val="8"/>
        </w:numPr>
        <w:spacing w:line="360" w:lineRule="auto"/>
        <w:ind w:left="567"/>
        <w:rPr>
          <w:szCs w:val="24"/>
          <w:highlight w:val="none"/>
        </w:rPr>
      </w:pPr>
      <w:bookmarkStart w:id="128" w:name="_Toc154688580"/>
      <w:bookmarkStart w:id="129" w:name="_Toc120702376"/>
      <w:bookmarkStart w:id="130" w:name="_Toc148958866"/>
      <w:r>
        <w:rPr>
          <w:rFonts w:hint="eastAsia"/>
          <w:szCs w:val="24"/>
          <w:highlight w:val="none"/>
        </w:rPr>
        <w:t>大处方统计报表</w:t>
      </w:r>
      <w:bookmarkEnd w:id="128"/>
      <w:bookmarkEnd w:id="129"/>
      <w:bookmarkEnd w:id="130"/>
    </w:p>
    <w:p>
      <w:pPr>
        <w:pStyle w:val="18"/>
        <w:rPr>
          <w:rFonts w:ascii="宋体" w:hAnsi="宋体"/>
          <w:szCs w:val="24"/>
          <w:highlight w:val="none"/>
        </w:rPr>
      </w:pPr>
      <w:r>
        <w:rPr>
          <w:rFonts w:hint="eastAsia" w:ascii="宋体" w:hAnsi="宋体"/>
          <w:szCs w:val="24"/>
          <w:highlight w:val="none"/>
        </w:rPr>
        <w:t>包括：</w:t>
      </w:r>
    </w:p>
    <w:p>
      <w:pPr>
        <w:pStyle w:val="18"/>
        <w:widowControl/>
        <w:numPr>
          <w:ilvl w:val="0"/>
          <w:numId w:val="28"/>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门（急）诊药品用药天数统计表</w:t>
      </w:r>
    </w:p>
    <w:p>
      <w:pPr>
        <w:pStyle w:val="18"/>
        <w:widowControl/>
        <w:numPr>
          <w:ilvl w:val="0"/>
          <w:numId w:val="28"/>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门（急）诊病人多次就诊药品累计清单表</w:t>
      </w:r>
    </w:p>
    <w:p>
      <w:pPr>
        <w:pStyle w:val="18"/>
        <w:numPr>
          <w:ilvl w:val="0"/>
          <w:numId w:val="28"/>
        </w:numPr>
        <w:ind w:left="0" w:firstLine="480" w:firstLineChars="0"/>
        <w:rPr>
          <w:rFonts w:ascii="宋体" w:hAnsi="宋体"/>
          <w:szCs w:val="24"/>
          <w:highlight w:val="none"/>
        </w:rPr>
      </w:pPr>
      <w:r>
        <w:rPr>
          <w:rFonts w:ascii="宋体" w:hAnsi="宋体"/>
          <w:szCs w:val="24"/>
          <w:highlight w:val="none"/>
        </w:rPr>
        <w:t>门（急）诊药品超用药天数人次排名表</w:t>
      </w:r>
    </w:p>
    <w:p>
      <w:pPr>
        <w:pStyle w:val="4"/>
        <w:numPr>
          <w:ilvl w:val="2"/>
          <w:numId w:val="8"/>
        </w:numPr>
        <w:spacing w:line="360" w:lineRule="auto"/>
        <w:ind w:left="567"/>
        <w:rPr>
          <w:szCs w:val="24"/>
          <w:highlight w:val="none"/>
        </w:rPr>
      </w:pPr>
      <w:bookmarkStart w:id="131" w:name="_Toc120702377"/>
      <w:bookmarkStart w:id="132" w:name="_Toc154688581"/>
      <w:bookmarkStart w:id="133" w:name="_Toc148958867"/>
      <w:r>
        <w:rPr>
          <w:rFonts w:hint="eastAsia"/>
          <w:szCs w:val="24"/>
          <w:highlight w:val="none"/>
        </w:rPr>
        <w:t>国家集采报表</w:t>
      </w:r>
      <w:bookmarkEnd w:id="131"/>
      <w:bookmarkEnd w:id="132"/>
      <w:bookmarkEnd w:id="133"/>
    </w:p>
    <w:p>
      <w:pPr>
        <w:pStyle w:val="18"/>
        <w:rPr>
          <w:rFonts w:ascii="宋体" w:hAnsi="宋体"/>
          <w:szCs w:val="24"/>
          <w:highlight w:val="none"/>
        </w:rPr>
      </w:pPr>
      <w:r>
        <w:rPr>
          <w:rFonts w:hint="eastAsia" w:ascii="宋体" w:hAnsi="宋体"/>
          <w:szCs w:val="24"/>
          <w:highlight w:val="none"/>
        </w:rPr>
        <w:t>包括：</w:t>
      </w:r>
    </w:p>
    <w:p>
      <w:pPr>
        <w:pStyle w:val="18"/>
        <w:numPr>
          <w:ilvl w:val="0"/>
          <w:numId w:val="29"/>
        </w:numPr>
        <w:ind w:left="0" w:firstLine="480" w:firstLineChars="0"/>
        <w:rPr>
          <w:rFonts w:ascii="宋体" w:hAnsi="宋体"/>
          <w:szCs w:val="24"/>
          <w:highlight w:val="none"/>
        </w:rPr>
      </w:pPr>
      <w:r>
        <w:rPr>
          <w:rFonts w:hint="eastAsia" w:ascii="宋体" w:hAnsi="宋体"/>
          <w:szCs w:val="24"/>
          <w:highlight w:val="none"/>
        </w:rPr>
        <w:t>国家组织药品集中采购药品使用监测表</w:t>
      </w:r>
    </w:p>
    <w:p>
      <w:pPr>
        <w:pStyle w:val="18"/>
        <w:numPr>
          <w:ilvl w:val="0"/>
          <w:numId w:val="29"/>
        </w:numPr>
        <w:ind w:left="0" w:firstLine="480" w:firstLineChars="0"/>
        <w:rPr>
          <w:rFonts w:ascii="宋体" w:hAnsi="宋体"/>
          <w:szCs w:val="24"/>
          <w:highlight w:val="none"/>
        </w:rPr>
      </w:pPr>
      <w:r>
        <w:rPr>
          <w:rFonts w:hint="eastAsia" w:ascii="宋体" w:hAnsi="宋体"/>
          <w:szCs w:val="24"/>
          <w:highlight w:val="none"/>
        </w:rPr>
        <w:t>集中采购药品使用情况记录表</w:t>
      </w:r>
    </w:p>
    <w:p>
      <w:pPr>
        <w:pStyle w:val="4"/>
        <w:numPr>
          <w:ilvl w:val="2"/>
          <w:numId w:val="8"/>
        </w:numPr>
        <w:spacing w:line="360" w:lineRule="auto"/>
        <w:ind w:left="567"/>
        <w:rPr>
          <w:szCs w:val="24"/>
          <w:highlight w:val="none"/>
        </w:rPr>
      </w:pPr>
      <w:bookmarkStart w:id="134" w:name="_Toc148958868"/>
      <w:bookmarkStart w:id="135" w:name="_Toc154688582"/>
      <w:bookmarkStart w:id="136" w:name="_Toc120702379"/>
      <w:r>
        <w:rPr>
          <w:rFonts w:hint="eastAsia"/>
          <w:szCs w:val="24"/>
          <w:highlight w:val="none"/>
        </w:rPr>
        <w:t>医保用药报表</w:t>
      </w:r>
      <w:bookmarkEnd w:id="134"/>
      <w:bookmarkEnd w:id="135"/>
      <w:bookmarkEnd w:id="136"/>
    </w:p>
    <w:p>
      <w:pPr>
        <w:pStyle w:val="18"/>
        <w:rPr>
          <w:rFonts w:ascii="宋体" w:hAnsi="宋体"/>
          <w:szCs w:val="24"/>
          <w:highlight w:val="none"/>
        </w:rPr>
      </w:pPr>
      <w:r>
        <w:rPr>
          <w:rFonts w:hint="eastAsia" w:ascii="宋体" w:hAnsi="宋体"/>
          <w:szCs w:val="24"/>
          <w:highlight w:val="none"/>
        </w:rPr>
        <w:t>包括：</w:t>
      </w:r>
    </w:p>
    <w:p>
      <w:pPr>
        <w:pStyle w:val="18"/>
        <w:numPr>
          <w:ilvl w:val="0"/>
          <w:numId w:val="30"/>
        </w:numPr>
        <w:ind w:left="0" w:firstLine="480" w:firstLineChars="0"/>
        <w:rPr>
          <w:rFonts w:ascii="宋体" w:hAnsi="宋体"/>
          <w:szCs w:val="24"/>
          <w:highlight w:val="none"/>
        </w:rPr>
      </w:pPr>
      <w:r>
        <w:rPr>
          <w:rFonts w:hint="eastAsia" w:ascii="宋体" w:hAnsi="宋体"/>
          <w:szCs w:val="24"/>
          <w:highlight w:val="none"/>
        </w:rPr>
        <w:t>医院医保药品使用情况统计报表</w:t>
      </w:r>
    </w:p>
    <w:p>
      <w:pPr>
        <w:pStyle w:val="18"/>
        <w:numPr>
          <w:ilvl w:val="0"/>
          <w:numId w:val="30"/>
        </w:numPr>
        <w:ind w:left="0" w:firstLine="480" w:firstLineChars="0"/>
        <w:rPr>
          <w:rFonts w:ascii="宋体" w:hAnsi="宋体"/>
          <w:szCs w:val="24"/>
          <w:highlight w:val="none"/>
        </w:rPr>
      </w:pPr>
      <w:r>
        <w:rPr>
          <w:rFonts w:hint="eastAsia" w:ascii="宋体" w:hAnsi="宋体"/>
          <w:szCs w:val="24"/>
          <w:highlight w:val="none"/>
        </w:rPr>
        <w:t>科室医保药品使用情况统计报表</w:t>
      </w:r>
    </w:p>
    <w:p>
      <w:pPr>
        <w:pStyle w:val="18"/>
        <w:numPr>
          <w:ilvl w:val="0"/>
          <w:numId w:val="30"/>
        </w:numPr>
        <w:ind w:left="0" w:firstLine="480" w:firstLineChars="0"/>
        <w:rPr>
          <w:rFonts w:ascii="宋体" w:hAnsi="宋体"/>
          <w:szCs w:val="24"/>
          <w:highlight w:val="none"/>
        </w:rPr>
      </w:pPr>
      <w:r>
        <w:rPr>
          <w:rFonts w:hint="eastAsia" w:ascii="宋体" w:hAnsi="宋体"/>
          <w:szCs w:val="24"/>
          <w:highlight w:val="none"/>
        </w:rPr>
        <w:t>医生医保药品使用情况统计报表</w:t>
      </w:r>
    </w:p>
    <w:p>
      <w:pPr>
        <w:pStyle w:val="4"/>
        <w:numPr>
          <w:ilvl w:val="2"/>
          <w:numId w:val="8"/>
        </w:numPr>
        <w:spacing w:line="360" w:lineRule="auto"/>
        <w:ind w:left="567"/>
        <w:rPr>
          <w:szCs w:val="24"/>
          <w:highlight w:val="none"/>
        </w:rPr>
      </w:pPr>
      <w:bookmarkStart w:id="137" w:name="_Toc154688583"/>
      <w:bookmarkStart w:id="138" w:name="_Toc148958869"/>
      <w:bookmarkStart w:id="139" w:name="_Toc120702380"/>
      <w:r>
        <w:rPr>
          <w:rFonts w:hint="eastAsia"/>
          <w:szCs w:val="24"/>
          <w:highlight w:val="none"/>
        </w:rPr>
        <w:t>国家基本药物使用报表</w:t>
      </w:r>
      <w:bookmarkEnd w:id="137"/>
      <w:bookmarkEnd w:id="138"/>
      <w:bookmarkEnd w:id="139"/>
    </w:p>
    <w:p>
      <w:pPr>
        <w:pStyle w:val="18"/>
        <w:rPr>
          <w:rFonts w:ascii="宋体" w:hAnsi="宋体"/>
          <w:szCs w:val="24"/>
          <w:highlight w:val="none"/>
        </w:rPr>
      </w:pPr>
      <w:r>
        <w:rPr>
          <w:rFonts w:hint="eastAsia" w:ascii="宋体" w:hAnsi="宋体"/>
          <w:szCs w:val="24"/>
          <w:highlight w:val="none"/>
        </w:rPr>
        <w:t>包括：</w:t>
      </w:r>
    </w:p>
    <w:p>
      <w:pPr>
        <w:pStyle w:val="18"/>
        <w:numPr>
          <w:ilvl w:val="0"/>
          <w:numId w:val="31"/>
        </w:numPr>
        <w:ind w:left="0" w:firstLine="480" w:firstLineChars="0"/>
        <w:rPr>
          <w:rFonts w:ascii="宋体" w:hAnsi="宋体"/>
          <w:szCs w:val="24"/>
          <w:highlight w:val="none"/>
        </w:rPr>
      </w:pPr>
      <w:r>
        <w:rPr>
          <w:rFonts w:hint="eastAsia" w:ascii="宋体" w:hAnsi="宋体"/>
          <w:szCs w:val="24"/>
          <w:highlight w:val="none"/>
        </w:rPr>
        <w:t>国家基本药物使用情况统计表</w:t>
      </w:r>
    </w:p>
    <w:p>
      <w:pPr>
        <w:pStyle w:val="18"/>
        <w:numPr>
          <w:ilvl w:val="0"/>
          <w:numId w:val="31"/>
        </w:numPr>
        <w:ind w:left="0" w:firstLine="480" w:firstLineChars="0"/>
        <w:rPr>
          <w:rFonts w:ascii="宋体" w:hAnsi="宋体"/>
          <w:szCs w:val="24"/>
          <w:highlight w:val="none"/>
        </w:rPr>
      </w:pPr>
      <w:r>
        <w:rPr>
          <w:rFonts w:hint="eastAsia" w:ascii="宋体" w:hAnsi="宋体"/>
          <w:szCs w:val="24"/>
          <w:highlight w:val="none"/>
        </w:rPr>
        <w:t>省基本药物使用情况统计表</w:t>
      </w:r>
    </w:p>
    <w:p>
      <w:pPr>
        <w:pStyle w:val="4"/>
        <w:numPr>
          <w:ilvl w:val="2"/>
          <w:numId w:val="8"/>
        </w:numPr>
        <w:spacing w:line="360" w:lineRule="auto"/>
        <w:ind w:left="567"/>
        <w:rPr>
          <w:szCs w:val="24"/>
          <w:highlight w:val="none"/>
        </w:rPr>
      </w:pPr>
      <w:bookmarkStart w:id="140" w:name="_Toc148958870"/>
      <w:bookmarkStart w:id="141" w:name="_Toc120702381"/>
      <w:bookmarkStart w:id="142" w:name="_Toc154688584"/>
      <w:r>
        <w:rPr>
          <w:rFonts w:hint="eastAsia"/>
          <w:szCs w:val="24"/>
          <w:highlight w:val="none"/>
        </w:rPr>
        <w:t>药物使用情况分析报表</w:t>
      </w:r>
      <w:bookmarkEnd w:id="140"/>
      <w:bookmarkEnd w:id="141"/>
      <w:bookmarkEnd w:id="142"/>
    </w:p>
    <w:p>
      <w:pPr>
        <w:pStyle w:val="5"/>
        <w:numPr>
          <w:ilvl w:val="3"/>
          <w:numId w:val="8"/>
        </w:numPr>
        <w:spacing w:line="360" w:lineRule="auto"/>
        <w:ind w:left="708"/>
        <w:rPr>
          <w:szCs w:val="24"/>
          <w:highlight w:val="none"/>
        </w:rPr>
      </w:pPr>
      <w:r>
        <w:rPr>
          <w:rFonts w:hint="eastAsia"/>
          <w:szCs w:val="24"/>
          <w:highlight w:val="none"/>
        </w:rPr>
        <w:t>药物使用强度</w:t>
      </w:r>
    </w:p>
    <w:p>
      <w:pPr>
        <w:pStyle w:val="18"/>
        <w:rPr>
          <w:rFonts w:ascii="宋体" w:hAnsi="宋体"/>
          <w:szCs w:val="24"/>
          <w:highlight w:val="none"/>
        </w:rPr>
      </w:pPr>
      <w:r>
        <w:rPr>
          <w:rFonts w:hint="eastAsia" w:ascii="宋体" w:hAnsi="宋体"/>
          <w:szCs w:val="24"/>
          <w:highlight w:val="none"/>
        </w:rPr>
        <w:t>包括：</w:t>
      </w:r>
    </w:p>
    <w:p>
      <w:pPr>
        <w:pStyle w:val="18"/>
        <w:numPr>
          <w:ilvl w:val="0"/>
          <w:numId w:val="32"/>
        </w:numPr>
        <w:ind w:left="0" w:firstLine="480" w:firstLineChars="0"/>
        <w:rPr>
          <w:rFonts w:ascii="宋体" w:hAnsi="宋体"/>
          <w:szCs w:val="24"/>
          <w:highlight w:val="none"/>
        </w:rPr>
      </w:pPr>
      <w:r>
        <w:rPr>
          <w:rFonts w:hint="eastAsia" w:ascii="宋体" w:hAnsi="宋体"/>
          <w:szCs w:val="24"/>
          <w:highlight w:val="none"/>
        </w:rPr>
        <w:t>药品使用强度医院统计表</w:t>
      </w:r>
    </w:p>
    <w:p>
      <w:pPr>
        <w:pStyle w:val="18"/>
        <w:numPr>
          <w:ilvl w:val="0"/>
          <w:numId w:val="32"/>
        </w:numPr>
        <w:ind w:left="0" w:firstLine="480" w:firstLineChars="0"/>
        <w:rPr>
          <w:rFonts w:ascii="宋体" w:hAnsi="宋体"/>
          <w:szCs w:val="24"/>
          <w:highlight w:val="none"/>
        </w:rPr>
      </w:pPr>
      <w:r>
        <w:rPr>
          <w:rFonts w:hint="eastAsia" w:ascii="宋体" w:hAnsi="宋体"/>
          <w:szCs w:val="24"/>
          <w:highlight w:val="none"/>
        </w:rPr>
        <w:t>药品使用强度科室统计表</w:t>
      </w:r>
    </w:p>
    <w:p>
      <w:pPr>
        <w:pStyle w:val="18"/>
        <w:numPr>
          <w:ilvl w:val="0"/>
          <w:numId w:val="32"/>
        </w:numPr>
        <w:ind w:left="0" w:firstLine="480" w:firstLineChars="0"/>
        <w:rPr>
          <w:rFonts w:ascii="宋体" w:hAnsi="宋体"/>
          <w:szCs w:val="24"/>
          <w:highlight w:val="none"/>
        </w:rPr>
      </w:pPr>
      <w:r>
        <w:rPr>
          <w:rFonts w:hint="eastAsia" w:ascii="宋体" w:hAnsi="宋体"/>
          <w:szCs w:val="24"/>
          <w:highlight w:val="none"/>
        </w:rPr>
        <w:t>药品使用强度医生统计表</w:t>
      </w:r>
    </w:p>
    <w:p>
      <w:pPr>
        <w:pStyle w:val="5"/>
        <w:numPr>
          <w:ilvl w:val="3"/>
          <w:numId w:val="8"/>
        </w:numPr>
        <w:spacing w:line="360" w:lineRule="auto"/>
        <w:ind w:left="708"/>
        <w:rPr>
          <w:szCs w:val="24"/>
          <w:highlight w:val="none"/>
        </w:rPr>
      </w:pPr>
      <w:r>
        <w:rPr>
          <w:rFonts w:hint="eastAsia"/>
          <w:szCs w:val="24"/>
          <w:highlight w:val="none"/>
        </w:rPr>
        <w:t>药品金额、数量、DDDs统计</w:t>
      </w:r>
    </w:p>
    <w:p>
      <w:pPr>
        <w:pStyle w:val="18"/>
        <w:rPr>
          <w:rFonts w:ascii="宋体" w:hAnsi="宋体"/>
          <w:szCs w:val="24"/>
          <w:highlight w:val="none"/>
        </w:rPr>
      </w:pPr>
      <w:r>
        <w:rPr>
          <w:rFonts w:hint="eastAsia" w:ascii="宋体" w:hAnsi="宋体"/>
          <w:szCs w:val="24"/>
          <w:highlight w:val="none"/>
        </w:rPr>
        <w:t>包括：</w:t>
      </w:r>
    </w:p>
    <w:p>
      <w:pPr>
        <w:pStyle w:val="18"/>
        <w:widowControl/>
        <w:numPr>
          <w:ilvl w:val="0"/>
          <w:numId w:val="33"/>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药品使用金额及数量医院排名表</w:t>
      </w:r>
    </w:p>
    <w:p>
      <w:pPr>
        <w:pStyle w:val="18"/>
        <w:widowControl/>
        <w:numPr>
          <w:ilvl w:val="0"/>
          <w:numId w:val="33"/>
        </w:numPr>
        <w:spacing w:before="100" w:beforeAutospacing="1" w:after="100" w:afterAutospacing="1"/>
        <w:ind w:left="0" w:firstLine="480" w:firstLineChars="0"/>
        <w:rPr>
          <w:rFonts w:ascii="宋体" w:hAnsi="宋体"/>
          <w:szCs w:val="24"/>
          <w:highlight w:val="none"/>
        </w:rPr>
      </w:pPr>
      <w:r>
        <w:rPr>
          <w:rFonts w:ascii="宋体" w:hAnsi="宋体"/>
          <w:szCs w:val="24"/>
          <w:highlight w:val="none"/>
        </w:rPr>
        <w:t>药品使用金额及数量科室排名表</w:t>
      </w:r>
    </w:p>
    <w:p>
      <w:pPr>
        <w:pStyle w:val="18"/>
        <w:numPr>
          <w:ilvl w:val="0"/>
          <w:numId w:val="33"/>
        </w:numPr>
        <w:ind w:left="0" w:firstLine="480" w:firstLineChars="0"/>
        <w:rPr>
          <w:rFonts w:ascii="宋体" w:hAnsi="宋体"/>
          <w:szCs w:val="24"/>
          <w:highlight w:val="none"/>
        </w:rPr>
      </w:pPr>
      <w:r>
        <w:rPr>
          <w:rFonts w:ascii="宋体" w:hAnsi="宋体"/>
          <w:szCs w:val="24"/>
          <w:highlight w:val="none"/>
        </w:rPr>
        <w:t>药品使用金额及数量医生排名表</w:t>
      </w:r>
    </w:p>
    <w:p>
      <w:pPr>
        <w:pStyle w:val="5"/>
        <w:numPr>
          <w:ilvl w:val="3"/>
          <w:numId w:val="8"/>
        </w:numPr>
        <w:spacing w:line="360" w:lineRule="auto"/>
        <w:ind w:left="708"/>
        <w:rPr>
          <w:szCs w:val="24"/>
          <w:highlight w:val="none"/>
        </w:rPr>
      </w:pPr>
      <w:r>
        <w:rPr>
          <w:rFonts w:hint="eastAsia"/>
          <w:szCs w:val="24"/>
          <w:highlight w:val="none"/>
        </w:rPr>
        <w:t>药品使用人次统计</w:t>
      </w:r>
    </w:p>
    <w:p>
      <w:pPr>
        <w:pStyle w:val="18"/>
        <w:rPr>
          <w:rFonts w:ascii="宋体" w:hAnsi="宋体"/>
          <w:szCs w:val="24"/>
          <w:highlight w:val="none"/>
        </w:rPr>
      </w:pPr>
      <w:r>
        <w:rPr>
          <w:rFonts w:hint="eastAsia" w:ascii="宋体" w:hAnsi="宋体"/>
          <w:szCs w:val="24"/>
          <w:highlight w:val="none"/>
        </w:rPr>
        <w:t>包括：</w:t>
      </w:r>
    </w:p>
    <w:p>
      <w:pPr>
        <w:pStyle w:val="18"/>
        <w:numPr>
          <w:ilvl w:val="0"/>
          <w:numId w:val="34"/>
        </w:numPr>
        <w:ind w:left="0" w:firstLine="480" w:firstLineChars="0"/>
        <w:rPr>
          <w:rFonts w:ascii="宋体" w:hAnsi="宋体"/>
          <w:szCs w:val="24"/>
          <w:highlight w:val="none"/>
        </w:rPr>
      </w:pPr>
      <w:r>
        <w:rPr>
          <w:rFonts w:hint="eastAsia" w:ascii="宋体" w:hAnsi="宋体"/>
          <w:szCs w:val="24"/>
          <w:highlight w:val="none"/>
        </w:rPr>
        <w:t>药品使用人次医院统计表</w:t>
      </w:r>
    </w:p>
    <w:p>
      <w:pPr>
        <w:pStyle w:val="18"/>
        <w:numPr>
          <w:ilvl w:val="0"/>
          <w:numId w:val="34"/>
        </w:numPr>
        <w:ind w:left="0" w:firstLine="480" w:firstLineChars="0"/>
        <w:rPr>
          <w:rFonts w:ascii="宋体" w:hAnsi="宋体"/>
          <w:szCs w:val="24"/>
          <w:highlight w:val="none"/>
        </w:rPr>
      </w:pPr>
      <w:r>
        <w:rPr>
          <w:rFonts w:hint="eastAsia" w:ascii="宋体" w:hAnsi="宋体"/>
          <w:szCs w:val="24"/>
          <w:highlight w:val="none"/>
        </w:rPr>
        <w:t>药品使用人次科室统计表</w:t>
      </w:r>
    </w:p>
    <w:p>
      <w:pPr>
        <w:pStyle w:val="18"/>
        <w:numPr>
          <w:ilvl w:val="0"/>
          <w:numId w:val="34"/>
        </w:numPr>
        <w:ind w:left="0" w:firstLine="480" w:firstLineChars="0"/>
        <w:rPr>
          <w:rFonts w:ascii="宋体" w:hAnsi="宋体"/>
          <w:szCs w:val="24"/>
          <w:highlight w:val="none"/>
        </w:rPr>
      </w:pPr>
      <w:r>
        <w:rPr>
          <w:rFonts w:hint="eastAsia" w:ascii="宋体" w:hAnsi="宋体"/>
          <w:szCs w:val="24"/>
          <w:highlight w:val="none"/>
        </w:rPr>
        <w:t>药品使用人次医生统计表</w:t>
      </w:r>
    </w:p>
    <w:p>
      <w:pPr>
        <w:pStyle w:val="5"/>
        <w:numPr>
          <w:ilvl w:val="3"/>
          <w:numId w:val="8"/>
        </w:numPr>
        <w:spacing w:line="360" w:lineRule="auto"/>
        <w:ind w:left="708"/>
        <w:rPr>
          <w:szCs w:val="24"/>
          <w:highlight w:val="none"/>
        </w:rPr>
      </w:pPr>
      <w:r>
        <w:rPr>
          <w:rFonts w:hint="eastAsia"/>
          <w:szCs w:val="24"/>
          <w:highlight w:val="none"/>
        </w:rPr>
        <w:t>药物品种/费用构成统计</w:t>
      </w:r>
    </w:p>
    <w:p>
      <w:pPr>
        <w:pStyle w:val="18"/>
        <w:rPr>
          <w:rFonts w:ascii="宋体" w:hAnsi="宋体"/>
          <w:szCs w:val="24"/>
          <w:highlight w:val="none"/>
        </w:rPr>
      </w:pPr>
      <w:r>
        <w:rPr>
          <w:rFonts w:hint="eastAsia" w:ascii="宋体" w:hAnsi="宋体"/>
          <w:szCs w:val="24"/>
          <w:highlight w:val="none"/>
        </w:rPr>
        <w:t>包括：</w:t>
      </w:r>
    </w:p>
    <w:p>
      <w:pPr>
        <w:pStyle w:val="18"/>
        <w:numPr>
          <w:ilvl w:val="0"/>
          <w:numId w:val="35"/>
        </w:numPr>
        <w:ind w:left="0" w:firstLine="480" w:firstLineChars="0"/>
        <w:rPr>
          <w:rFonts w:ascii="宋体" w:hAnsi="宋体"/>
          <w:szCs w:val="24"/>
          <w:highlight w:val="none"/>
        </w:rPr>
      </w:pPr>
      <w:r>
        <w:rPr>
          <w:rFonts w:hint="eastAsia" w:ascii="宋体" w:hAnsi="宋体"/>
          <w:szCs w:val="24"/>
          <w:highlight w:val="none"/>
        </w:rPr>
        <w:t>医院药品</w:t>
      </w:r>
      <w:r>
        <w:rPr>
          <w:rFonts w:hint="eastAsia" w:ascii="宋体" w:hAnsi="宋体"/>
          <w:szCs w:val="24"/>
          <w:highlight w:val="none"/>
          <w:shd w:val="clear" w:color="auto" w:fill="FFFF00"/>
        </w:rPr>
        <w:t>品种数/品规数</w:t>
      </w:r>
      <w:r>
        <w:rPr>
          <w:rFonts w:hint="eastAsia" w:ascii="宋体" w:hAnsi="宋体"/>
          <w:szCs w:val="24"/>
          <w:highlight w:val="none"/>
        </w:rPr>
        <w:t>统计表</w:t>
      </w:r>
    </w:p>
    <w:p>
      <w:pPr>
        <w:pStyle w:val="18"/>
        <w:numPr>
          <w:ilvl w:val="0"/>
          <w:numId w:val="35"/>
        </w:numPr>
        <w:ind w:left="0" w:firstLine="480" w:firstLineChars="0"/>
        <w:rPr>
          <w:rFonts w:ascii="宋体" w:hAnsi="宋体"/>
          <w:szCs w:val="24"/>
          <w:highlight w:val="none"/>
          <w:shd w:val="clear" w:color="auto" w:fill="FFFF00"/>
        </w:rPr>
      </w:pPr>
      <w:r>
        <w:rPr>
          <w:rFonts w:ascii="宋体" w:hAnsi="宋体"/>
          <w:szCs w:val="24"/>
          <w:highlight w:val="none"/>
          <w:shd w:val="clear" w:color="auto" w:fill="FFFF00"/>
        </w:rPr>
        <w:t>基本药物品种/品规数统计表</w:t>
      </w:r>
    </w:p>
    <w:p>
      <w:pPr>
        <w:pStyle w:val="18"/>
        <w:numPr>
          <w:ilvl w:val="0"/>
          <w:numId w:val="35"/>
        </w:numPr>
        <w:ind w:left="0" w:firstLine="480" w:firstLineChars="0"/>
        <w:rPr>
          <w:rFonts w:ascii="宋体" w:hAnsi="宋体"/>
          <w:szCs w:val="24"/>
          <w:highlight w:val="none"/>
        </w:rPr>
      </w:pPr>
      <w:r>
        <w:rPr>
          <w:rFonts w:hint="eastAsia" w:ascii="宋体" w:hAnsi="宋体"/>
          <w:szCs w:val="24"/>
          <w:highlight w:val="none"/>
        </w:rPr>
        <w:t>病人药品费用构成分析表</w:t>
      </w:r>
    </w:p>
    <w:p>
      <w:pPr>
        <w:pStyle w:val="18"/>
        <w:numPr>
          <w:ilvl w:val="0"/>
          <w:numId w:val="35"/>
        </w:numPr>
        <w:ind w:left="0" w:firstLine="480" w:firstLineChars="0"/>
        <w:rPr>
          <w:rFonts w:ascii="宋体" w:hAnsi="宋体"/>
          <w:szCs w:val="24"/>
          <w:highlight w:val="none"/>
        </w:rPr>
      </w:pPr>
      <w:r>
        <w:rPr>
          <w:rFonts w:hint="eastAsia" w:ascii="宋体" w:hAnsi="宋体"/>
          <w:szCs w:val="24"/>
          <w:highlight w:val="none"/>
          <w:shd w:val="clear" w:color="auto" w:fill="FFFF00"/>
        </w:rPr>
        <w:t>任意时间段</w:t>
      </w:r>
      <w:r>
        <w:rPr>
          <w:rFonts w:hint="eastAsia" w:ascii="宋体" w:hAnsi="宋体"/>
          <w:szCs w:val="24"/>
          <w:highlight w:val="none"/>
        </w:rPr>
        <w:t>科级门诊和住院次均药费增幅统计表</w:t>
      </w:r>
    </w:p>
    <w:p>
      <w:pPr>
        <w:pStyle w:val="18"/>
        <w:numPr>
          <w:ilvl w:val="0"/>
          <w:numId w:val="35"/>
        </w:numPr>
        <w:ind w:left="0" w:firstLine="480" w:firstLineChars="0"/>
        <w:rPr>
          <w:rFonts w:ascii="宋体" w:hAnsi="宋体"/>
          <w:szCs w:val="24"/>
          <w:highlight w:val="none"/>
        </w:rPr>
      </w:pPr>
      <w:r>
        <w:rPr>
          <w:rFonts w:hint="eastAsia" w:ascii="宋体" w:hAnsi="宋体"/>
          <w:szCs w:val="24"/>
          <w:highlight w:val="none"/>
          <w:shd w:val="clear" w:color="auto" w:fill="FFFF00"/>
        </w:rPr>
        <w:t>任意时间段</w:t>
      </w:r>
      <w:r>
        <w:rPr>
          <w:rFonts w:hint="eastAsia" w:ascii="宋体" w:hAnsi="宋体"/>
          <w:szCs w:val="24"/>
          <w:highlight w:val="none"/>
        </w:rPr>
        <w:t>医师门诊和住院次均药费增幅统计表</w:t>
      </w:r>
    </w:p>
    <w:p>
      <w:pPr>
        <w:pStyle w:val="3"/>
        <w:numPr>
          <w:ilvl w:val="1"/>
          <w:numId w:val="8"/>
        </w:numPr>
        <w:spacing w:line="360" w:lineRule="auto"/>
        <w:ind w:left="567"/>
        <w:rPr>
          <w:szCs w:val="24"/>
          <w:highlight w:val="none"/>
        </w:rPr>
      </w:pPr>
      <w:bookmarkStart w:id="143" w:name="_Toc154688585"/>
      <w:r>
        <w:rPr>
          <w:rFonts w:hint="eastAsia"/>
          <w:szCs w:val="24"/>
          <w:highlight w:val="none"/>
        </w:rPr>
        <w:t>处方集系统</w:t>
      </w:r>
      <w:bookmarkEnd w:id="143"/>
    </w:p>
    <w:p>
      <w:pPr>
        <w:spacing w:line="360" w:lineRule="auto"/>
        <w:ind w:firstLine="420"/>
        <w:rPr>
          <w:rFonts w:ascii="宋体" w:hAnsi="宋体"/>
          <w:highlight w:val="none"/>
        </w:rPr>
      </w:pPr>
      <w:r>
        <w:rPr>
          <w:rFonts w:hint="eastAsia" w:ascii="宋体" w:hAnsi="宋体"/>
          <w:highlight w:val="none"/>
        </w:rPr>
        <w:t>处方集系统支持医院个性处方集的快速制作、维护和导出，支持将院内药品使用数据快速导入处方集，提高处方集的制作效率。</w:t>
      </w:r>
    </w:p>
    <w:p>
      <w:pPr>
        <w:spacing w:line="360" w:lineRule="auto"/>
        <w:ind w:firstLine="420"/>
        <w:rPr>
          <w:rFonts w:ascii="宋体" w:hAnsi="宋体"/>
          <w:highlight w:val="none"/>
        </w:rPr>
      </w:pPr>
      <w:r>
        <w:rPr>
          <w:rFonts w:hint="eastAsia" w:ascii="宋体" w:hAnsi="宋体"/>
          <w:highlight w:val="none"/>
        </w:rPr>
        <w:t>系统提供最新版本的《国家处方集》作为参考模板。系统支持对国家处方集数据进行维护，以及处方集中所用到的药品及药品规则进行导入</w:t>
      </w:r>
      <w:r>
        <w:rPr>
          <w:rFonts w:ascii="宋体" w:hAnsi="宋体"/>
          <w:highlight w:val="none"/>
        </w:rPr>
        <w:t>。</w:t>
      </w:r>
      <w:r>
        <w:rPr>
          <w:rFonts w:hint="eastAsia" w:ascii="宋体" w:hAnsi="宋体"/>
          <w:highlight w:val="none"/>
        </w:rPr>
        <w:t>药师可进行处方集进行新增、修改、删除、查询、详情查看和导出等操作。</w:t>
      </w:r>
    </w:p>
    <w:p>
      <w:pPr>
        <w:pStyle w:val="4"/>
        <w:numPr>
          <w:ilvl w:val="2"/>
          <w:numId w:val="8"/>
        </w:numPr>
        <w:spacing w:line="360" w:lineRule="auto"/>
        <w:ind w:left="567"/>
        <w:rPr>
          <w:szCs w:val="24"/>
          <w:highlight w:val="none"/>
        </w:rPr>
      </w:pPr>
      <w:bookmarkStart w:id="144" w:name="_Toc154688586"/>
      <w:bookmarkStart w:id="145" w:name="_Toc109157713"/>
      <w:r>
        <w:rPr>
          <w:rFonts w:hint="eastAsia"/>
          <w:szCs w:val="24"/>
          <w:highlight w:val="none"/>
        </w:rPr>
        <w:t>处方集制作</w:t>
      </w:r>
      <w:bookmarkEnd w:id="144"/>
      <w:bookmarkEnd w:id="145"/>
    </w:p>
    <w:p>
      <w:pPr>
        <w:spacing w:line="360" w:lineRule="auto"/>
        <w:ind w:firstLine="420"/>
        <w:rPr>
          <w:rFonts w:ascii="宋体" w:hAnsi="宋体"/>
          <w:highlight w:val="none"/>
        </w:rPr>
      </w:pPr>
      <w:r>
        <w:rPr>
          <w:rFonts w:hint="eastAsia" w:ascii="宋体" w:hAnsi="宋体"/>
          <w:highlight w:val="none"/>
        </w:rPr>
        <w:t>系统提供封面、总论、药品信息、治疗指南及附录五部分，内容包括《国家处方集》的总论、疾病治疗指南信息、附录信息。医院可根据在院品种，制作医院的个性化的电子处方集。</w:t>
      </w:r>
    </w:p>
    <w:p>
      <w:pPr>
        <w:pStyle w:val="4"/>
        <w:numPr>
          <w:ilvl w:val="2"/>
          <w:numId w:val="8"/>
        </w:numPr>
        <w:spacing w:line="360" w:lineRule="auto"/>
        <w:ind w:left="567"/>
        <w:rPr>
          <w:szCs w:val="24"/>
          <w:highlight w:val="none"/>
        </w:rPr>
      </w:pPr>
      <w:bookmarkStart w:id="146" w:name="_Toc154688587"/>
      <w:bookmarkStart w:id="147" w:name="_Toc109157714"/>
      <w:r>
        <w:rPr>
          <w:rFonts w:hint="eastAsia"/>
          <w:szCs w:val="24"/>
          <w:highlight w:val="none"/>
        </w:rPr>
        <w:t>处方集维护</w:t>
      </w:r>
      <w:bookmarkEnd w:id="146"/>
      <w:bookmarkEnd w:id="147"/>
    </w:p>
    <w:p>
      <w:pPr>
        <w:spacing w:line="360" w:lineRule="auto"/>
        <w:ind w:firstLine="420"/>
        <w:rPr>
          <w:rFonts w:ascii="宋体" w:hAnsi="宋体"/>
          <w:highlight w:val="none"/>
        </w:rPr>
      </w:pPr>
      <w:r>
        <w:rPr>
          <w:rFonts w:hint="eastAsia" w:ascii="宋体" w:hAnsi="宋体"/>
          <w:highlight w:val="none"/>
        </w:rPr>
        <w:t>系统可根据政策法规、在院药品品种的变化随时对处方集各部分内容进行修订，从而及时反映医院药事管理的实际要求和特点，以适应临床对在院药品信息查询的需求。</w:t>
      </w:r>
    </w:p>
    <w:p>
      <w:pPr>
        <w:pStyle w:val="4"/>
        <w:numPr>
          <w:ilvl w:val="2"/>
          <w:numId w:val="8"/>
        </w:numPr>
        <w:spacing w:line="360" w:lineRule="auto"/>
        <w:ind w:left="567"/>
        <w:rPr>
          <w:szCs w:val="24"/>
          <w:highlight w:val="none"/>
        </w:rPr>
      </w:pPr>
      <w:bookmarkStart w:id="148" w:name="_Toc109157715"/>
      <w:bookmarkStart w:id="149" w:name="_Toc154688588"/>
      <w:r>
        <w:rPr>
          <w:rFonts w:hint="eastAsia"/>
          <w:szCs w:val="24"/>
          <w:highlight w:val="none"/>
        </w:rPr>
        <w:t>处方集导出</w:t>
      </w:r>
      <w:bookmarkEnd w:id="148"/>
      <w:bookmarkEnd w:id="149"/>
    </w:p>
    <w:p>
      <w:pPr>
        <w:spacing w:line="360" w:lineRule="auto"/>
        <w:ind w:firstLine="420"/>
        <w:rPr>
          <w:rFonts w:ascii="宋体" w:hAnsi="宋体"/>
          <w:highlight w:val="none"/>
        </w:rPr>
      </w:pPr>
      <w:r>
        <w:rPr>
          <w:rFonts w:hint="eastAsia" w:ascii="宋体" w:hAnsi="宋体"/>
          <w:highlight w:val="none"/>
        </w:rPr>
        <w:t>系统支持院内各科室通过局域网在线查看医院处方集的全部内容。各部分可通过分类进行浏览，也可通过关键字检索快速查找到相关信息。通过导出功能，系统可将电子版处方集以文本格式输出并保存为Word格式，方便医院开展印刷版处方集的制作工作。</w:t>
      </w:r>
    </w:p>
    <w:p>
      <w:pPr>
        <w:pStyle w:val="3"/>
        <w:numPr>
          <w:ilvl w:val="1"/>
          <w:numId w:val="8"/>
        </w:numPr>
        <w:spacing w:line="360" w:lineRule="auto"/>
        <w:ind w:left="567"/>
        <w:rPr>
          <w:szCs w:val="24"/>
          <w:highlight w:val="none"/>
        </w:rPr>
      </w:pPr>
      <w:bookmarkStart w:id="150" w:name="_Toc154688589"/>
      <w:r>
        <w:rPr>
          <w:rFonts w:hint="eastAsia"/>
          <w:szCs w:val="24"/>
          <w:highlight w:val="none"/>
        </w:rPr>
        <w:t>医生端（与药学监护管理系统配套使用）</w:t>
      </w:r>
      <w:bookmarkEnd w:id="150"/>
    </w:p>
    <w:p>
      <w:pPr>
        <w:pStyle w:val="18"/>
        <w:rPr>
          <w:rFonts w:ascii="宋体" w:hAnsi="宋体" w:cs="宋体"/>
          <w:szCs w:val="24"/>
          <w:highlight w:val="none"/>
        </w:rPr>
      </w:pPr>
      <w:r>
        <w:rPr>
          <w:rFonts w:hint="eastAsia" w:ascii="宋体" w:hAnsi="宋体" w:cs="宋体"/>
          <w:szCs w:val="24"/>
          <w:highlight w:val="none"/>
        </w:rPr>
        <w:t>医院推动药师回归临床，药师与医生形成了强交互的关系，在多个业务场景上都有交互，例如药学建议、药物重整、药学会诊、T</w:t>
      </w:r>
      <w:r>
        <w:rPr>
          <w:rFonts w:ascii="宋体" w:hAnsi="宋体" w:cs="宋体"/>
          <w:szCs w:val="24"/>
          <w:highlight w:val="none"/>
        </w:rPr>
        <w:t>DM</w:t>
      </w:r>
      <w:r>
        <w:rPr>
          <w:rFonts w:hint="eastAsia" w:ascii="宋体" w:hAnsi="宋体" w:cs="宋体"/>
          <w:szCs w:val="24"/>
          <w:highlight w:val="none"/>
        </w:rPr>
        <w:t>监测等模块。为了让药师和医生形成交互闭环，需要建设一个</w:t>
      </w:r>
      <w:r>
        <w:rPr>
          <w:rFonts w:ascii="宋体" w:hAnsi="宋体" w:cs="宋体"/>
          <w:szCs w:val="24"/>
          <w:highlight w:val="none"/>
        </w:rPr>
        <w:t>独立的医生客户端</w:t>
      </w:r>
      <w:r>
        <w:rPr>
          <w:rFonts w:hint="eastAsia" w:ascii="宋体" w:hAnsi="宋体" w:cs="宋体"/>
          <w:szCs w:val="24"/>
          <w:highlight w:val="none"/>
        </w:rPr>
        <w:t>，与药学监护管理系统对接，支持数据流通。医生端有助于推动药师与医生的互动，让药师等接近临床。</w:t>
      </w:r>
    </w:p>
    <w:p>
      <w:pPr>
        <w:spacing w:line="360" w:lineRule="auto"/>
        <w:ind w:firstLine="420"/>
        <w:rPr>
          <w:rFonts w:ascii="宋体" w:hAnsi="宋体" w:cs="宋体"/>
          <w:highlight w:val="none"/>
        </w:rPr>
      </w:pPr>
      <w:r>
        <w:rPr>
          <w:rFonts w:hint="eastAsia" w:ascii="宋体" w:hAnsi="宋体" w:cs="宋体"/>
          <w:highlight w:val="none"/>
        </w:rPr>
        <w:t>医生端的用户体系需要与H</w:t>
      </w:r>
      <w:r>
        <w:rPr>
          <w:rFonts w:ascii="宋体" w:hAnsi="宋体" w:cs="宋体"/>
          <w:highlight w:val="none"/>
        </w:rPr>
        <w:t>IS</w:t>
      </w:r>
      <w:r>
        <w:rPr>
          <w:rFonts w:hint="eastAsia" w:ascii="宋体" w:hAnsi="宋体" w:cs="宋体"/>
          <w:highlight w:val="none"/>
        </w:rPr>
        <w:t>打通，同步H</w:t>
      </w:r>
      <w:r>
        <w:rPr>
          <w:rFonts w:ascii="宋体" w:hAnsi="宋体" w:cs="宋体"/>
          <w:highlight w:val="none"/>
        </w:rPr>
        <w:t>IS</w:t>
      </w:r>
      <w:r>
        <w:rPr>
          <w:rFonts w:hint="eastAsia" w:ascii="宋体" w:hAnsi="宋体" w:cs="宋体"/>
          <w:highlight w:val="none"/>
        </w:rPr>
        <w:t>现有的医生账号体系，基于与HIS、EMR的集成，医生登录后自动识别身份，即可进行如下操作。</w:t>
      </w:r>
    </w:p>
    <w:p>
      <w:pPr>
        <w:pStyle w:val="4"/>
        <w:numPr>
          <w:ilvl w:val="2"/>
          <w:numId w:val="8"/>
        </w:numPr>
        <w:spacing w:line="360" w:lineRule="auto"/>
        <w:ind w:left="567"/>
        <w:rPr>
          <w:szCs w:val="24"/>
          <w:highlight w:val="none"/>
        </w:rPr>
      </w:pPr>
      <w:bookmarkStart w:id="151" w:name="_Toc154688590"/>
      <w:r>
        <w:rPr>
          <w:rFonts w:hint="eastAsia"/>
          <w:szCs w:val="24"/>
          <w:highlight w:val="none"/>
        </w:rPr>
        <w:t>问题处方查看</w:t>
      </w:r>
      <w:bookmarkEnd w:id="151"/>
    </w:p>
    <w:p>
      <w:pPr>
        <w:adjustRightInd w:val="0"/>
        <w:ind w:firstLine="420"/>
        <w:textAlignment w:val="baseline"/>
        <w:rPr>
          <w:rFonts w:ascii="宋体" w:hAnsi="宋体"/>
          <w:highlight w:val="none"/>
        </w:rPr>
      </w:pPr>
      <w:r>
        <w:rPr>
          <w:rFonts w:hint="eastAsia" w:ascii="宋体" w:hAnsi="宋体"/>
          <w:highlight w:val="none"/>
        </w:rPr>
        <w:t>医生查询自己被拦截、审核、警示的问题处方及点评后的处方，对点评意见可以提出申诉。</w:t>
      </w:r>
    </w:p>
    <w:p>
      <w:pPr>
        <w:pStyle w:val="32"/>
        <w:numPr>
          <w:ilvl w:val="0"/>
          <w:numId w:val="36"/>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处方审核结果查看</w:t>
      </w:r>
    </w:p>
    <w:p>
      <w:pPr>
        <w:pStyle w:val="32"/>
        <w:numPr>
          <w:ilvl w:val="0"/>
          <w:numId w:val="36"/>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处方点评结果查看</w:t>
      </w:r>
    </w:p>
    <w:p>
      <w:pPr>
        <w:pStyle w:val="32"/>
        <w:numPr>
          <w:ilvl w:val="0"/>
          <w:numId w:val="36"/>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处方点评结果发起申诉</w:t>
      </w:r>
    </w:p>
    <w:p>
      <w:pPr>
        <w:pStyle w:val="32"/>
        <w:numPr>
          <w:ilvl w:val="0"/>
          <w:numId w:val="36"/>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处方点评结果申诉结果查看</w:t>
      </w:r>
    </w:p>
    <w:p>
      <w:pPr>
        <w:pStyle w:val="4"/>
        <w:numPr>
          <w:ilvl w:val="2"/>
          <w:numId w:val="8"/>
        </w:numPr>
        <w:spacing w:line="360" w:lineRule="auto"/>
        <w:ind w:left="567"/>
        <w:rPr>
          <w:szCs w:val="24"/>
          <w:highlight w:val="none"/>
        </w:rPr>
      </w:pPr>
      <w:bookmarkStart w:id="152" w:name="_Toc154688591"/>
      <w:r>
        <w:rPr>
          <w:rFonts w:hint="eastAsia"/>
          <w:szCs w:val="24"/>
          <w:highlight w:val="none"/>
        </w:rPr>
        <w:t>会诊管理</w:t>
      </w:r>
      <w:bookmarkEnd w:id="152"/>
    </w:p>
    <w:p>
      <w:pPr>
        <w:adjustRightInd w:val="0"/>
        <w:ind w:firstLine="420"/>
        <w:textAlignment w:val="baseline"/>
        <w:rPr>
          <w:rFonts w:ascii="宋体" w:hAnsi="宋体"/>
          <w:highlight w:val="none"/>
        </w:rPr>
      </w:pPr>
      <w:r>
        <w:rPr>
          <w:rFonts w:hint="eastAsia" w:ascii="宋体" w:hAnsi="宋体"/>
          <w:highlight w:val="none"/>
        </w:rPr>
        <w:t>支持发起药学会诊、会诊结果查询。</w:t>
      </w:r>
    </w:p>
    <w:p>
      <w:pPr>
        <w:pStyle w:val="32"/>
        <w:numPr>
          <w:ilvl w:val="0"/>
          <w:numId w:val="37"/>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会诊发起（新增）</w:t>
      </w:r>
    </w:p>
    <w:p>
      <w:pPr>
        <w:pStyle w:val="32"/>
        <w:numPr>
          <w:ilvl w:val="0"/>
          <w:numId w:val="37"/>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会诊结果查看</w:t>
      </w:r>
    </w:p>
    <w:p>
      <w:pPr>
        <w:pStyle w:val="32"/>
        <w:numPr>
          <w:ilvl w:val="0"/>
          <w:numId w:val="37"/>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会诊记录查询</w:t>
      </w:r>
    </w:p>
    <w:p>
      <w:pPr>
        <w:pStyle w:val="4"/>
        <w:numPr>
          <w:ilvl w:val="2"/>
          <w:numId w:val="8"/>
        </w:numPr>
        <w:spacing w:line="360" w:lineRule="auto"/>
        <w:ind w:left="567"/>
        <w:rPr>
          <w:szCs w:val="24"/>
          <w:highlight w:val="none"/>
        </w:rPr>
      </w:pPr>
      <w:bookmarkStart w:id="153" w:name="_Toc154688592"/>
      <w:r>
        <w:rPr>
          <w:rFonts w:hint="eastAsia"/>
          <w:szCs w:val="24"/>
          <w:highlight w:val="none"/>
        </w:rPr>
        <w:t>药学咨询</w:t>
      </w:r>
      <w:bookmarkEnd w:id="153"/>
    </w:p>
    <w:p>
      <w:pPr>
        <w:adjustRightInd w:val="0"/>
        <w:ind w:firstLine="420"/>
        <w:textAlignment w:val="baseline"/>
        <w:rPr>
          <w:rFonts w:ascii="宋体" w:hAnsi="宋体"/>
          <w:highlight w:val="none"/>
        </w:rPr>
      </w:pPr>
      <w:r>
        <w:rPr>
          <w:rFonts w:hint="eastAsia" w:ascii="宋体" w:hAnsi="宋体"/>
          <w:highlight w:val="none"/>
        </w:rPr>
        <w:t>支持发起用药咨询、用药咨询结果查询。</w:t>
      </w:r>
    </w:p>
    <w:p>
      <w:pPr>
        <w:pStyle w:val="32"/>
        <w:numPr>
          <w:ilvl w:val="0"/>
          <w:numId w:val="38"/>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药学咨询发起（新增）</w:t>
      </w:r>
    </w:p>
    <w:p>
      <w:pPr>
        <w:pStyle w:val="32"/>
        <w:numPr>
          <w:ilvl w:val="0"/>
          <w:numId w:val="38"/>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咨询结果查看</w:t>
      </w:r>
    </w:p>
    <w:p>
      <w:pPr>
        <w:pStyle w:val="32"/>
        <w:numPr>
          <w:ilvl w:val="0"/>
          <w:numId w:val="38"/>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咨询结果反馈</w:t>
      </w:r>
    </w:p>
    <w:p>
      <w:pPr>
        <w:pStyle w:val="32"/>
        <w:numPr>
          <w:ilvl w:val="0"/>
          <w:numId w:val="38"/>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咨询记录查询</w:t>
      </w:r>
    </w:p>
    <w:p>
      <w:pPr>
        <w:pStyle w:val="4"/>
        <w:numPr>
          <w:ilvl w:val="2"/>
          <w:numId w:val="8"/>
        </w:numPr>
        <w:spacing w:line="360" w:lineRule="auto"/>
        <w:ind w:left="567"/>
        <w:rPr>
          <w:szCs w:val="24"/>
          <w:highlight w:val="none"/>
        </w:rPr>
      </w:pPr>
      <w:bookmarkStart w:id="154" w:name="_Toc154688593"/>
      <w:r>
        <w:rPr>
          <w:rFonts w:hint="eastAsia"/>
          <w:szCs w:val="24"/>
          <w:highlight w:val="none"/>
        </w:rPr>
        <w:t>TDM分析报告查看</w:t>
      </w:r>
      <w:bookmarkEnd w:id="154"/>
    </w:p>
    <w:p>
      <w:pPr>
        <w:adjustRightInd w:val="0"/>
        <w:ind w:firstLine="420"/>
        <w:textAlignment w:val="baseline"/>
        <w:rPr>
          <w:rFonts w:ascii="宋体" w:hAnsi="宋体"/>
          <w:highlight w:val="none"/>
        </w:rPr>
      </w:pPr>
      <w:r>
        <w:rPr>
          <w:rFonts w:hint="eastAsia" w:ascii="宋体" w:hAnsi="宋体"/>
          <w:highlight w:val="none"/>
        </w:rPr>
        <w:t>支持TDM分析报告的查看</w:t>
      </w:r>
      <w:r>
        <w:rPr>
          <w:rFonts w:ascii="宋体" w:hAnsi="宋体"/>
          <w:highlight w:val="none"/>
        </w:rPr>
        <w:t>。</w:t>
      </w:r>
    </w:p>
    <w:p>
      <w:pPr>
        <w:pStyle w:val="4"/>
        <w:numPr>
          <w:ilvl w:val="2"/>
          <w:numId w:val="8"/>
        </w:numPr>
        <w:spacing w:line="360" w:lineRule="auto"/>
        <w:ind w:left="567"/>
        <w:rPr>
          <w:szCs w:val="24"/>
          <w:highlight w:val="none"/>
        </w:rPr>
      </w:pPr>
      <w:bookmarkStart w:id="155" w:name="_Toc154688594"/>
      <w:r>
        <w:rPr>
          <w:rFonts w:hint="eastAsia"/>
          <w:szCs w:val="24"/>
          <w:highlight w:val="none"/>
        </w:rPr>
        <w:t>药学评估记录查看</w:t>
      </w:r>
      <w:bookmarkEnd w:id="155"/>
    </w:p>
    <w:p>
      <w:pPr>
        <w:adjustRightInd w:val="0"/>
        <w:ind w:firstLine="420"/>
        <w:textAlignment w:val="baseline"/>
        <w:rPr>
          <w:rFonts w:ascii="宋体" w:hAnsi="宋体"/>
          <w:highlight w:val="none"/>
        </w:rPr>
      </w:pPr>
      <w:r>
        <w:rPr>
          <w:rFonts w:hint="eastAsia" w:ascii="宋体" w:hAnsi="宋体"/>
          <w:highlight w:val="none"/>
        </w:rPr>
        <w:t>支持药学评估记录的查看</w:t>
      </w:r>
      <w:r>
        <w:rPr>
          <w:rFonts w:ascii="宋体" w:hAnsi="宋体"/>
          <w:highlight w:val="none"/>
        </w:rPr>
        <w:t>。</w:t>
      </w:r>
    </w:p>
    <w:p>
      <w:pPr>
        <w:pStyle w:val="4"/>
        <w:numPr>
          <w:ilvl w:val="2"/>
          <w:numId w:val="8"/>
        </w:numPr>
        <w:spacing w:line="360" w:lineRule="auto"/>
        <w:ind w:left="567"/>
        <w:rPr>
          <w:szCs w:val="24"/>
          <w:highlight w:val="none"/>
        </w:rPr>
      </w:pPr>
      <w:bookmarkStart w:id="156" w:name="_Toc154688595"/>
      <w:r>
        <w:rPr>
          <w:rFonts w:hint="eastAsia"/>
          <w:szCs w:val="24"/>
          <w:highlight w:val="none"/>
        </w:rPr>
        <w:t>用药建议记录查看</w:t>
      </w:r>
      <w:bookmarkEnd w:id="156"/>
    </w:p>
    <w:p>
      <w:pPr>
        <w:adjustRightInd w:val="0"/>
        <w:ind w:firstLine="420"/>
        <w:textAlignment w:val="baseline"/>
        <w:rPr>
          <w:rFonts w:ascii="宋体" w:hAnsi="宋体"/>
          <w:highlight w:val="none"/>
        </w:rPr>
      </w:pPr>
      <w:r>
        <w:rPr>
          <w:rFonts w:hint="eastAsia" w:ascii="宋体" w:hAnsi="宋体"/>
          <w:highlight w:val="none"/>
        </w:rPr>
        <w:t>支持用药建议记录的查看</w:t>
      </w:r>
      <w:r>
        <w:rPr>
          <w:rFonts w:ascii="宋体" w:hAnsi="宋体"/>
          <w:highlight w:val="none"/>
        </w:rPr>
        <w:t>。</w:t>
      </w:r>
    </w:p>
    <w:p>
      <w:pPr>
        <w:pStyle w:val="4"/>
        <w:numPr>
          <w:ilvl w:val="2"/>
          <w:numId w:val="8"/>
        </w:numPr>
        <w:spacing w:line="360" w:lineRule="auto"/>
        <w:ind w:left="567"/>
        <w:rPr>
          <w:szCs w:val="24"/>
          <w:highlight w:val="none"/>
        </w:rPr>
      </w:pPr>
      <w:bookmarkStart w:id="157" w:name="_Toc154688596"/>
      <w:r>
        <w:rPr>
          <w:rFonts w:hint="eastAsia"/>
          <w:szCs w:val="24"/>
          <w:highlight w:val="none"/>
        </w:rPr>
        <w:t>不良反应报告查看</w:t>
      </w:r>
      <w:bookmarkEnd w:id="157"/>
    </w:p>
    <w:p>
      <w:pPr>
        <w:adjustRightInd w:val="0"/>
        <w:ind w:firstLine="420"/>
        <w:textAlignment w:val="baseline"/>
        <w:rPr>
          <w:rFonts w:ascii="宋体" w:hAnsi="宋体"/>
          <w:highlight w:val="none"/>
        </w:rPr>
      </w:pPr>
      <w:r>
        <w:rPr>
          <w:rFonts w:hint="eastAsia" w:ascii="宋体" w:hAnsi="宋体"/>
          <w:highlight w:val="none"/>
        </w:rPr>
        <w:t>支持不良反应报告的查看</w:t>
      </w:r>
      <w:r>
        <w:rPr>
          <w:rFonts w:ascii="宋体" w:hAnsi="宋体"/>
          <w:highlight w:val="none"/>
        </w:rPr>
        <w:t>。</w:t>
      </w:r>
    </w:p>
    <w:p>
      <w:pPr>
        <w:pStyle w:val="4"/>
        <w:numPr>
          <w:ilvl w:val="2"/>
          <w:numId w:val="8"/>
        </w:numPr>
        <w:spacing w:line="360" w:lineRule="auto"/>
        <w:ind w:left="567"/>
        <w:rPr>
          <w:szCs w:val="24"/>
          <w:highlight w:val="none"/>
        </w:rPr>
      </w:pPr>
      <w:bookmarkStart w:id="158" w:name="_Toc154688597"/>
      <w:r>
        <w:rPr>
          <w:rFonts w:hint="eastAsia"/>
          <w:szCs w:val="24"/>
          <w:highlight w:val="none"/>
        </w:rPr>
        <w:t>电子药历查看</w:t>
      </w:r>
      <w:bookmarkEnd w:id="158"/>
    </w:p>
    <w:p>
      <w:pPr>
        <w:adjustRightInd w:val="0"/>
        <w:ind w:firstLine="420"/>
        <w:textAlignment w:val="baseline"/>
        <w:rPr>
          <w:rFonts w:ascii="宋体" w:hAnsi="宋体"/>
          <w:highlight w:val="none"/>
        </w:rPr>
      </w:pPr>
      <w:r>
        <w:rPr>
          <w:rFonts w:hint="eastAsia" w:ascii="宋体" w:hAnsi="宋体"/>
          <w:highlight w:val="none"/>
        </w:rPr>
        <w:t>支持查看患者的电子药历</w:t>
      </w:r>
      <w:r>
        <w:rPr>
          <w:rFonts w:ascii="宋体" w:hAnsi="宋体"/>
          <w:highlight w:val="none"/>
        </w:rPr>
        <w:t>。</w:t>
      </w:r>
    </w:p>
    <w:p>
      <w:pPr>
        <w:pStyle w:val="4"/>
        <w:numPr>
          <w:ilvl w:val="2"/>
          <w:numId w:val="8"/>
        </w:numPr>
        <w:spacing w:line="360" w:lineRule="auto"/>
        <w:ind w:left="567"/>
        <w:rPr>
          <w:szCs w:val="24"/>
          <w:highlight w:val="none"/>
        </w:rPr>
      </w:pPr>
      <w:bookmarkStart w:id="159" w:name="_Toc154688598"/>
      <w:r>
        <w:rPr>
          <w:rFonts w:hint="eastAsia"/>
          <w:szCs w:val="24"/>
          <w:highlight w:val="none"/>
        </w:rPr>
        <w:t>药物重整记录查看</w:t>
      </w:r>
      <w:bookmarkEnd w:id="159"/>
    </w:p>
    <w:p>
      <w:pPr>
        <w:adjustRightInd w:val="0"/>
        <w:ind w:firstLine="420"/>
        <w:textAlignment w:val="baseline"/>
        <w:rPr>
          <w:rFonts w:ascii="宋体" w:hAnsi="宋体"/>
          <w:highlight w:val="none"/>
        </w:rPr>
      </w:pPr>
      <w:r>
        <w:rPr>
          <w:rFonts w:hint="eastAsia" w:ascii="宋体" w:hAnsi="宋体"/>
          <w:highlight w:val="none"/>
        </w:rPr>
        <w:t>支持查看药师进行的药物重整记录</w:t>
      </w:r>
      <w:r>
        <w:rPr>
          <w:rFonts w:ascii="宋体" w:hAnsi="宋体"/>
          <w:highlight w:val="none"/>
        </w:rPr>
        <w:t>，</w:t>
      </w:r>
      <w:r>
        <w:rPr>
          <w:rFonts w:hint="eastAsia" w:ascii="宋体" w:hAnsi="宋体"/>
          <w:highlight w:val="none"/>
        </w:rPr>
        <w:t>并且能够进行记录的确认</w:t>
      </w:r>
      <w:r>
        <w:rPr>
          <w:rFonts w:ascii="宋体" w:hAnsi="宋体"/>
          <w:highlight w:val="none"/>
        </w:rPr>
        <w:t>。</w:t>
      </w:r>
    </w:p>
    <w:p>
      <w:pPr>
        <w:pStyle w:val="4"/>
        <w:numPr>
          <w:ilvl w:val="2"/>
          <w:numId w:val="8"/>
        </w:numPr>
        <w:spacing w:line="360" w:lineRule="auto"/>
        <w:ind w:left="567"/>
        <w:rPr>
          <w:szCs w:val="24"/>
          <w:highlight w:val="none"/>
        </w:rPr>
      </w:pPr>
      <w:bookmarkStart w:id="160" w:name="_Toc154688599"/>
      <w:r>
        <w:rPr>
          <w:szCs w:val="24"/>
          <w:highlight w:val="none"/>
        </w:rPr>
        <w:t>知识库查看</w:t>
      </w:r>
      <w:bookmarkEnd w:id="160"/>
    </w:p>
    <w:p>
      <w:pPr>
        <w:adjustRightInd w:val="0"/>
        <w:ind w:firstLine="420"/>
        <w:textAlignment w:val="baseline"/>
        <w:rPr>
          <w:rFonts w:ascii="宋体" w:hAnsi="宋体"/>
          <w:highlight w:val="none"/>
        </w:rPr>
      </w:pPr>
      <w:r>
        <w:rPr>
          <w:rFonts w:ascii="宋体" w:hAnsi="宋体"/>
          <w:highlight w:val="none"/>
        </w:rPr>
        <w:t>支持查看药品说明书及相关药学文献。</w:t>
      </w:r>
    </w:p>
    <w:p>
      <w:pPr>
        <w:pStyle w:val="32"/>
        <w:numPr>
          <w:ilvl w:val="0"/>
          <w:numId w:val="39"/>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说明书查询</w:t>
      </w:r>
    </w:p>
    <w:p>
      <w:pPr>
        <w:pStyle w:val="32"/>
        <w:numPr>
          <w:ilvl w:val="0"/>
          <w:numId w:val="39"/>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说明书查看（快速导航）</w:t>
      </w:r>
    </w:p>
    <w:p>
      <w:pPr>
        <w:pStyle w:val="32"/>
        <w:numPr>
          <w:ilvl w:val="0"/>
          <w:numId w:val="39"/>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说明书复制</w:t>
      </w:r>
    </w:p>
    <w:p>
      <w:pPr>
        <w:pStyle w:val="4"/>
        <w:numPr>
          <w:ilvl w:val="2"/>
          <w:numId w:val="8"/>
        </w:numPr>
        <w:spacing w:line="360" w:lineRule="auto"/>
        <w:ind w:left="567"/>
        <w:rPr>
          <w:szCs w:val="24"/>
          <w:highlight w:val="none"/>
        </w:rPr>
      </w:pPr>
      <w:bookmarkStart w:id="161" w:name="_Toc154688600"/>
      <w:r>
        <w:rPr>
          <w:szCs w:val="24"/>
          <w:highlight w:val="none"/>
        </w:rPr>
        <w:t>查房记录查看</w:t>
      </w:r>
      <w:bookmarkEnd w:id="161"/>
    </w:p>
    <w:p>
      <w:pPr>
        <w:adjustRightInd w:val="0"/>
        <w:ind w:firstLine="420"/>
        <w:textAlignment w:val="baseline"/>
        <w:rPr>
          <w:rFonts w:ascii="宋体" w:hAnsi="宋体"/>
          <w:highlight w:val="none"/>
        </w:rPr>
      </w:pPr>
      <w:r>
        <w:rPr>
          <w:rFonts w:hint="eastAsia" w:ascii="宋体" w:hAnsi="宋体"/>
          <w:highlight w:val="none"/>
        </w:rPr>
        <w:t>支持查看药师在查房记录。</w:t>
      </w:r>
    </w:p>
    <w:p>
      <w:pPr>
        <w:pStyle w:val="32"/>
        <w:numPr>
          <w:ilvl w:val="0"/>
          <w:numId w:val="40"/>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查看记录查询</w:t>
      </w:r>
    </w:p>
    <w:p>
      <w:pPr>
        <w:pStyle w:val="32"/>
        <w:numPr>
          <w:ilvl w:val="0"/>
          <w:numId w:val="40"/>
        </w:numPr>
        <w:adjustRightInd w:val="0"/>
        <w:spacing w:line="360" w:lineRule="auto"/>
        <w:ind w:firstLineChars="0"/>
        <w:textAlignment w:val="baseline"/>
        <w:rPr>
          <w:rFonts w:ascii="宋体" w:hAnsi="宋体"/>
          <w:szCs w:val="24"/>
          <w:highlight w:val="none"/>
        </w:rPr>
      </w:pPr>
      <w:r>
        <w:rPr>
          <w:rFonts w:hint="eastAsia" w:ascii="宋体" w:hAnsi="宋体"/>
          <w:szCs w:val="24"/>
          <w:highlight w:val="none"/>
        </w:rPr>
        <w:t>查房记录详情</w:t>
      </w:r>
    </w:p>
    <w:p>
      <w:pPr>
        <w:pStyle w:val="3"/>
        <w:numPr>
          <w:ilvl w:val="1"/>
          <w:numId w:val="8"/>
        </w:numPr>
        <w:spacing w:line="360" w:lineRule="auto"/>
        <w:ind w:left="567"/>
        <w:rPr>
          <w:szCs w:val="24"/>
          <w:highlight w:val="none"/>
        </w:rPr>
      </w:pPr>
      <w:bookmarkStart w:id="162" w:name="_Toc154688601"/>
      <w:r>
        <w:rPr>
          <w:rFonts w:hint="eastAsia"/>
          <w:szCs w:val="24"/>
          <w:highlight w:val="none"/>
        </w:rPr>
        <w:t>统计指标自定义功能</w:t>
      </w:r>
      <w:bookmarkEnd w:id="162"/>
    </w:p>
    <w:p>
      <w:pPr>
        <w:pStyle w:val="18"/>
        <w:rPr>
          <w:rFonts w:ascii="宋体" w:hAnsi="宋体" w:cs="宋体"/>
          <w:szCs w:val="24"/>
          <w:highlight w:val="none"/>
        </w:rPr>
      </w:pPr>
      <w:r>
        <w:rPr>
          <w:rFonts w:hint="eastAsia" w:ascii="宋体" w:hAnsi="宋体" w:cs="宋体"/>
          <w:szCs w:val="24"/>
          <w:highlight w:val="none"/>
        </w:rPr>
        <w:t>支持药师查看各类指标并根据需求自定义公式组合成列表，指标维度包含全院、科室、个人，可按任意时间段查看，并支持按同比、环比查看数据，不达标的指标自动统计汇总展示。药学部需定期统计的常见指标及口径如下:</w:t>
      </w:r>
    </w:p>
    <w:tbl>
      <w:tblPr>
        <w:tblStyle w:val="21"/>
        <w:tblW w:w="4998" w:type="pct"/>
        <w:tblInd w:w="0" w:type="dxa"/>
        <w:tblLayout w:type="autofit"/>
        <w:tblCellMar>
          <w:top w:w="0" w:type="dxa"/>
          <w:left w:w="108" w:type="dxa"/>
          <w:bottom w:w="0" w:type="dxa"/>
          <w:right w:w="108" w:type="dxa"/>
        </w:tblCellMar>
      </w:tblPr>
      <w:tblGrid>
        <w:gridCol w:w="577"/>
        <w:gridCol w:w="2090"/>
        <w:gridCol w:w="2127"/>
        <w:gridCol w:w="1945"/>
        <w:gridCol w:w="1786"/>
      </w:tblGrid>
      <w:tr>
        <w:tblPrEx>
          <w:tblCellMar>
            <w:top w:w="0" w:type="dxa"/>
            <w:left w:w="108" w:type="dxa"/>
            <w:bottom w:w="0" w:type="dxa"/>
            <w:right w:w="108" w:type="dxa"/>
          </w:tblCellMar>
        </w:tblPrEx>
        <w:trPr>
          <w:trHeight w:val="285" w:hRule="atLeast"/>
          <w:tblHead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序号</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项目名称</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目的</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统计口径</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备注</w:t>
            </w:r>
          </w:p>
        </w:tc>
      </w:tr>
      <w:tr>
        <w:tblPrEx>
          <w:tblCellMar>
            <w:top w:w="0" w:type="dxa"/>
            <w:left w:w="108" w:type="dxa"/>
            <w:bottom w:w="0" w:type="dxa"/>
            <w:right w:w="108" w:type="dxa"/>
          </w:tblCellMar>
        </w:tblPrEx>
        <w:trPr>
          <w:trHeight w:val="27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医生个人使用集采药物的比例</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了解指定时间段里面，医生使用集采药物的使用量比例</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某时间段，某个医生使用某个集采药物数量（最小单位）或金额/该医生使用药物数量或金额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1、药品名称以“J”结尾的是集采药品</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2、医生用药包含住院、门诊</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3、统计时间，住院按出区时间，门诊按缴费时间</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4、扣除退药部分</w:t>
            </w:r>
          </w:p>
        </w:tc>
      </w:tr>
      <w:tr>
        <w:tblPrEx>
          <w:tblCellMar>
            <w:top w:w="0" w:type="dxa"/>
            <w:left w:w="108" w:type="dxa"/>
            <w:bottom w:w="0" w:type="dxa"/>
            <w:right w:w="108" w:type="dxa"/>
          </w:tblCellMar>
        </w:tblPrEx>
        <w:trPr>
          <w:trHeight w:val="81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医生个人使用某个集采药物情况</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了解指定时间段里面，医生使用某个集采药物使用量</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某时间段，某个医生使用某个集采药物的数量或金额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35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科室（全院）使用某个集采药物的比例</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了解指定时间段里面，科室使用某个集采药物与非中标药物的使用量比例</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某时间段，某个科室使用某个集采药物数量或金额/该科室使用非中标药物数量或金额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81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4</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科室使用某个集采药物情况</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了解指定时间段里面，科室使用某个集采药物使用量</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某时间段，某个科室使用某个集采药物的数量或金额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数量指标维护科使用模板导入</w:t>
            </w: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5</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科室集采药物任务量完成情况</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了解指定时间内，科室使用每个集采药物任务量完成情况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某时间段，科室使用集采药物数量或金额/该科室分配到集采药物的任务数量或金额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能实时展示给管理部门/科室主任</w:t>
            </w:r>
          </w:p>
        </w:tc>
      </w:tr>
      <w:tr>
        <w:tblPrEx>
          <w:tblCellMar>
            <w:top w:w="0" w:type="dxa"/>
            <w:left w:w="108" w:type="dxa"/>
            <w:bottom w:w="0" w:type="dxa"/>
            <w:right w:w="108" w:type="dxa"/>
          </w:tblCellMar>
        </w:tblPrEx>
        <w:trPr>
          <w:trHeight w:val="81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6</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全院集采任务量完成情况</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了解指定时间内，全院集采药物任务量完成情况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某时间段，全院每个集采药物使用量/每个集采药物的任务量</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能实时展示给管理部门</w:t>
            </w:r>
          </w:p>
        </w:tc>
      </w:tr>
      <w:tr>
        <w:tblPrEx>
          <w:tblCellMar>
            <w:top w:w="0" w:type="dxa"/>
            <w:left w:w="108" w:type="dxa"/>
            <w:bottom w:w="0" w:type="dxa"/>
            <w:right w:w="108" w:type="dxa"/>
          </w:tblCellMar>
        </w:tblPrEx>
        <w:trPr>
          <w:trHeight w:val="18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7</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医生个人抗菌药物DDDS</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了解指定时间内，医生个人使用抗菌药物的DDDs.</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统计指定时间段，该科室出院患者用药中，该医生使用的每个抗菌药物用量（规格*数量）/该抗菌药物的DDD，比值之和即为DDDs，</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1、能实时展示给医生</w:t>
            </w:r>
          </w:p>
        </w:tc>
      </w:tr>
      <w:tr>
        <w:tblPrEx>
          <w:tblCellMar>
            <w:top w:w="0" w:type="dxa"/>
            <w:left w:w="108" w:type="dxa"/>
            <w:bottom w:w="0" w:type="dxa"/>
            <w:right w:w="108" w:type="dxa"/>
          </w:tblCellMar>
        </w:tblPrEx>
        <w:trPr>
          <w:trHeight w:val="274"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8</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科室抗菌药物使用强度</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了解指定时间内，科室抗菌药物使用强度</w:t>
            </w:r>
          </w:p>
        </w:tc>
        <w:tc>
          <w:tcPr>
            <w:tcW w:w="1140" w:type="pct"/>
            <w:tcBorders>
              <w:top w:val="single" w:color="000000" w:sz="4" w:space="0"/>
              <w:left w:val="single" w:color="000000" w:sz="4" w:space="0"/>
              <w:bottom w:val="single" w:color="000000" w:sz="4" w:space="0"/>
              <w:right w:val="single" w:color="000000" w:sz="4" w:space="0"/>
            </w:tcBorders>
            <w:shd w:val="clear" w:color="auto" w:fill="FFFF00"/>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某时间段，该科室出院患者用药中，使用的每个抗菌药物用量</w:t>
            </w:r>
            <w:r>
              <w:rPr>
                <w:rStyle w:val="68"/>
                <w:rFonts w:hint="default"/>
                <w:highlight w:val="none"/>
                <w:lang w:bidi="ar"/>
              </w:rPr>
              <w:t>（医嘱用量*药品系数）</w:t>
            </w:r>
            <w:r>
              <w:rPr>
                <w:rStyle w:val="67"/>
                <w:rFonts w:hint="default"/>
                <w:highlight w:val="none"/>
                <w:lang w:bidi="ar"/>
              </w:rPr>
              <w:t>/该抗菌药物的DDD，比值之和即为总DDDs；使用强度=总DDDs*100/该时间段的出院人数*平均住院天数</w:t>
            </w:r>
          </w:p>
        </w:tc>
        <w:tc>
          <w:tcPr>
            <w:tcW w:w="1047" w:type="pct"/>
            <w:tcBorders>
              <w:top w:val="single" w:color="000000" w:sz="4" w:space="0"/>
              <w:left w:val="single" w:color="000000" w:sz="4" w:space="0"/>
              <w:bottom w:val="single" w:color="000000" w:sz="4" w:space="0"/>
              <w:right w:val="single" w:color="000000" w:sz="4" w:space="0"/>
            </w:tcBorders>
            <w:shd w:val="clear" w:color="auto" w:fill="FFFF00"/>
            <w:vAlign w:val="center"/>
          </w:tcPr>
          <w:p>
            <w:pPr>
              <w:widowControl/>
              <w:jc w:val="center"/>
              <w:textAlignment w:val="center"/>
              <w:rPr>
                <w:rFonts w:ascii="宋体" w:hAnsi="宋体" w:cs="宋体"/>
                <w:color w:val="000000"/>
                <w:sz w:val="22"/>
                <w:szCs w:val="22"/>
                <w:highlight w:val="none"/>
              </w:rPr>
            </w:pPr>
            <w:r>
              <w:rPr>
                <w:rStyle w:val="67"/>
                <w:rFonts w:hint="default"/>
                <w:highlight w:val="none"/>
                <w:lang w:bidi="ar"/>
              </w:rPr>
              <w:t>能实时展示给科室主任，</w:t>
            </w:r>
            <w:r>
              <w:rPr>
                <w:rStyle w:val="68"/>
                <w:rFonts w:hint="default"/>
                <w:highlight w:val="none"/>
                <w:lang w:bidi="ar"/>
              </w:rPr>
              <w:t>药品系数需要可维护</w:t>
            </w:r>
          </w:p>
        </w:tc>
      </w:tr>
      <w:tr>
        <w:tblPrEx>
          <w:tblCellMar>
            <w:top w:w="0" w:type="dxa"/>
            <w:left w:w="108" w:type="dxa"/>
            <w:bottom w:w="0" w:type="dxa"/>
            <w:right w:w="108" w:type="dxa"/>
          </w:tblCellMar>
        </w:tblPrEx>
        <w:trPr>
          <w:trHeight w:val="243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9</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全院抗菌药物使用强度</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了解指定时间内，全院抗菌药物使用强度</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某时间段，医院出院患者用药中，使用的每个抗菌药物用量（规格*数量）/该抗菌药物的DDD，比值之和即为总DDDs；使用强度=总DDDs*100/该时间段的出院人数*平均住院天数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35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10</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科室I类切口预防使用抗菌药物使用率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了解指定时间内，科室I类切口抗菌药物使用率</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某时间段，科室出院患者中I类切口预防使用抗菌药物的病例数/该科室所有I类切口病例</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35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全院出院患者I类切口预防使用抗菌药物使用率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了解指定时间内，全院I类切口抗菌药物使用率</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某时间段，全院出院患者中I类切口预防使用抗菌药物的病例数/该时间段所有I类切口病例</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全院在院患者I类切口预防使用抗菌药物使用率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某时间段，全院患者中I类切口预防使用抗菌药物的病例数/改时间段所有I类切口病例</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351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13</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I类切口预防用药病例</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统计科室/全院所有I类切口预防用抗菌药物病例的病历，统计字段包括手术科室名称、患者病历号、患者姓名、手术名称、手术日期、手术持续时间、出院日期、开医嘱医生、药品代码、药品名称、药品规格、药品数量、数量单位、开方日期、停止日期</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35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14</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个人门诊抗菌药物使用率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某时间段，某医生使用抗菌药物人次/该医生挂号且开药患者人次</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使用抗菌药物人次：一次挂号，开多个抗菌药物或多张处方，都算作一次</w:t>
            </w:r>
          </w:p>
        </w:tc>
      </w:tr>
      <w:tr>
        <w:tblPrEx>
          <w:tblCellMar>
            <w:top w:w="0" w:type="dxa"/>
            <w:left w:w="108" w:type="dxa"/>
            <w:bottom w:w="0" w:type="dxa"/>
            <w:right w:w="108" w:type="dxa"/>
          </w:tblCellMar>
        </w:tblPrEx>
        <w:trPr>
          <w:trHeight w:val="135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15</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科室门诊抗菌药物使用率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某时间段，某科室使用抗菌药物人次/该科室挂号且开药患者人次</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使用抗菌药物人次：一次挂号，开多个抗菌药物或多张处方，都算作一次</w:t>
            </w:r>
          </w:p>
        </w:tc>
      </w:tr>
      <w:tr>
        <w:tblPrEx>
          <w:tblCellMar>
            <w:top w:w="0" w:type="dxa"/>
            <w:left w:w="108" w:type="dxa"/>
            <w:bottom w:w="0" w:type="dxa"/>
            <w:right w:w="108" w:type="dxa"/>
          </w:tblCellMar>
        </w:tblPrEx>
        <w:trPr>
          <w:trHeight w:val="135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16</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全院门诊抗菌药物使用率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某时间段，全院使用抗菌药物人次/挂号且开药患者人次</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使用抗菌药物人次：一次挂号，开多个抗菌药物或多张处方，都算作一次</w:t>
            </w:r>
          </w:p>
        </w:tc>
      </w:tr>
      <w:tr>
        <w:tblPrEx>
          <w:tblCellMar>
            <w:top w:w="0" w:type="dxa"/>
            <w:left w:w="108" w:type="dxa"/>
            <w:bottom w:w="0" w:type="dxa"/>
            <w:right w:w="108" w:type="dxa"/>
          </w:tblCellMar>
        </w:tblPrEx>
        <w:trPr>
          <w:trHeight w:val="243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17</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抗菌药物处方</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某时间段，统计医生个人/科室/全院使用抗菌药物处方，统计字段包括处方日期、科室名称、医生名称、临床诊断、药品代码、抗菌药物名称、药品规格、药品数量、数量单位</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18</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个人住院抗菌药物使用率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某时间段，出院患者中，该医生管床使用抗菌药物的患者数/该医生管床的患者数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1、管床医生：以开医嘱医生为准</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2、统计时间：按出区时间、转区时间</w:t>
            </w: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19</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科室住院抗菌药物使用率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某时间段，出院患者中，该科室使用抗菌药物的患者数/该科室的出院患者数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20</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全院住院抗菌药物使用率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某时间段，出院患者中，使用抗菌药物的患者数/全院出院患者数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27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抗菌药物病例</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某时间段，统计医生个人/科室/全院使用抗菌药物病例信息，统计字段包括科室名称、开医嘱医生名称、临床诊断、出院日期、药品代码、抗菌药物名称、药品规格、药品数量、数量单位</w:t>
            </w:r>
          </w:p>
        </w:tc>
        <w:tc>
          <w:tcPr>
            <w:tcW w:w="10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27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特殊使用级抗菌药物病例</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某时间段，统计医生个人/科室/全院使用特殊使用级抗菌药物病例信息，统计字段包括科室名称、开医嘱医生名称、临床诊断、出院日期、药品代码、抗菌药物名称、药品规格、药品数量、数量单位</w:t>
            </w:r>
          </w:p>
        </w:tc>
        <w:tc>
          <w:tcPr>
            <w:tcW w:w="10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23</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个人门诊质子泵抑制剂使用金额占比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某时间段，某医生使用质子泵抑制剂金额/该医生挂号且开质子泵抑制剂金额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2"/>
                <w:szCs w:val="22"/>
                <w:highlight w:val="none"/>
              </w:rPr>
            </w:pPr>
          </w:p>
        </w:tc>
      </w:tr>
      <w:tr>
        <w:tblPrEx>
          <w:tblCellMar>
            <w:top w:w="0" w:type="dxa"/>
            <w:left w:w="108" w:type="dxa"/>
            <w:bottom w:w="0" w:type="dxa"/>
            <w:right w:w="108" w:type="dxa"/>
          </w:tblCellMar>
        </w:tblPrEx>
        <w:trPr>
          <w:trHeight w:val="135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24</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个人住院质子泵抑制剂使用金额占比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某时间段，出院患者中，该医生管床患者使用质子泵抑制剂的金额/该医生管床的患者用药总金额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2"/>
                <w:szCs w:val="22"/>
                <w:highlight w:val="none"/>
              </w:rPr>
            </w:pP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25</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科室门诊质子泵抑制剂使用金额占比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某时间段，某科室使用质子泵抑制剂金额/该科室挂号且开质子泵抑制剂金额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2"/>
                <w:szCs w:val="22"/>
                <w:highlight w:val="none"/>
              </w:rPr>
            </w:pPr>
          </w:p>
        </w:tc>
      </w:tr>
      <w:tr>
        <w:tblPrEx>
          <w:tblCellMar>
            <w:top w:w="0" w:type="dxa"/>
            <w:left w:w="108" w:type="dxa"/>
            <w:bottom w:w="0" w:type="dxa"/>
            <w:right w:w="108" w:type="dxa"/>
          </w:tblCellMar>
        </w:tblPrEx>
        <w:trPr>
          <w:trHeight w:val="135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26</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科室住院质子泵抑制剂使用金额占比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某时间段，出院患者中，该科室使用质子泵抑制剂的金额/该科室的出院患者用药总金额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2"/>
                <w:szCs w:val="22"/>
                <w:highlight w:val="none"/>
              </w:rPr>
            </w:pP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27</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全院住院质子泵抑制剂使用金额占比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某时间段，出院患者中，使用质子泵抑制剂的金额/全院出院患者用药总金额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2"/>
                <w:szCs w:val="22"/>
                <w:highlight w:val="none"/>
              </w:rPr>
            </w:pPr>
          </w:p>
        </w:tc>
      </w:tr>
      <w:tr>
        <w:tblPrEx>
          <w:tblCellMar>
            <w:top w:w="0" w:type="dxa"/>
            <w:left w:w="108" w:type="dxa"/>
            <w:bottom w:w="0" w:type="dxa"/>
            <w:right w:w="108" w:type="dxa"/>
          </w:tblCellMar>
        </w:tblPrEx>
        <w:trPr>
          <w:trHeight w:val="243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28</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质子泵抑制剂处方</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某时间段，统计医生个人/科室/全院使用质子泵抑制剂处方，统计字段包括处方日期、科室名称、医生名称、临床诊断、药品代码、质子泵抑制剂名称、药品规格、药品数量、数量单位</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2"/>
                <w:szCs w:val="22"/>
                <w:highlight w:val="none"/>
              </w:rPr>
            </w:pPr>
          </w:p>
        </w:tc>
      </w:tr>
      <w:tr>
        <w:tblPrEx>
          <w:tblCellMar>
            <w:top w:w="0" w:type="dxa"/>
            <w:left w:w="108" w:type="dxa"/>
            <w:bottom w:w="0" w:type="dxa"/>
            <w:right w:w="108" w:type="dxa"/>
          </w:tblCellMar>
        </w:tblPrEx>
        <w:trPr>
          <w:trHeight w:val="27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29</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质子泵抑制剂病例</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某时间段，统计医生个人/科室/全院使用质子泵抑制剂病例信息，统计字段包括科室名称、开医嘱医生名称、临床诊断、出院日期、药品代码、质子泵抑制剂名称、药品规格、药品数量、数量单位</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2"/>
                <w:szCs w:val="22"/>
                <w:highlight w:val="none"/>
              </w:rPr>
            </w:pPr>
          </w:p>
        </w:tc>
      </w:tr>
      <w:tr>
        <w:tblPrEx>
          <w:tblCellMar>
            <w:top w:w="0" w:type="dxa"/>
            <w:left w:w="108" w:type="dxa"/>
            <w:bottom w:w="0" w:type="dxa"/>
            <w:right w:w="108" w:type="dxa"/>
          </w:tblCellMar>
        </w:tblPrEx>
        <w:trPr>
          <w:trHeight w:val="135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30</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个人住院中药注射剂使用金额占比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某时间段，出院患者中，该医生管床患者使用中药注射剂的金额/该医生管床的患者用药总金额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297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科室门诊中药注射剂使用金额占比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FF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某时间段，门诊患者中，该科室使用中药注射剂的金额/该科室的出院患者用药总金额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需要全院各科室门诊“中药注射剂使用金额占比”的结果显示在一张报表，可以导出。显示项目：科室名称、科室用药总金额（门诊）、使用中药注射剂金额（门诊）、中药注射剂使用金额占比</w:t>
            </w:r>
          </w:p>
        </w:tc>
      </w:tr>
      <w:tr>
        <w:tblPrEx>
          <w:tblCellMar>
            <w:top w:w="0" w:type="dxa"/>
            <w:left w:w="108" w:type="dxa"/>
            <w:bottom w:w="0" w:type="dxa"/>
            <w:right w:w="108" w:type="dxa"/>
          </w:tblCellMar>
        </w:tblPrEx>
        <w:trPr>
          <w:trHeight w:val="297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科室住院中药注射剂使用金额占比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某时间段，出院患者中，该科室使用中药注射剂的金额/该科室的出院患者用药总金额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需要全院各科室住院“中药注射剂使用金额占比”的结果显示在一张报表，可以导出。显示项目：科室名称、科室用药总金额（住院）、使用中药注射剂金额（住院）、中药注射剂使用金额占比</w:t>
            </w:r>
          </w:p>
        </w:tc>
      </w:tr>
      <w:tr>
        <w:tblPrEx>
          <w:tblCellMar>
            <w:top w:w="0" w:type="dxa"/>
            <w:left w:w="108" w:type="dxa"/>
            <w:bottom w:w="0" w:type="dxa"/>
            <w:right w:w="108" w:type="dxa"/>
          </w:tblCellMar>
        </w:tblPrEx>
        <w:trPr>
          <w:trHeight w:val="297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33</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科室中药注射剂使用金额占比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某时间段，该科室门诊+住院使用中药注射剂金额/该科室用药总金额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需要全院各科室“中药注射剂使用金额占比”的结果显示在一张报表，可以导出。显示项目：科室名称、科室用药总金额（门诊+住院）、使用中药注射剂金额（门诊+住院）、中药注射剂使用金额占比</w:t>
            </w: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34</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全院住院中药注射剂使用金额占比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某时间段，出院患者中，使用中药注射剂的金额/全院出院患者用药总金额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27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35</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中药注射剂病例</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某时间段，统计医生个人/科室/全院使用中药注射剂病例信息，统计字段包括科室名称、开医嘱医生名称、临床诊断、医嘱日期、出院日期、药品代码、中药注射剂名称、药品规格、药品数量、数量单位</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35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36</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个人住院中药饮片使用金额占比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某时间段，出院患者中，该医生管床患者使用中药饮片的金额/该医生管床的患者用药总金额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中药饮片（代码33/34开头、体外培育牛黄）</w:t>
            </w: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37</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科室住院中药饮片使用金额占比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某时间段，出院患者中，该科室使用中药饮片的金额/该科室的出院患者用药总金额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38</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科室中药饮片使用金额占比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某时间段，该科室门诊+住院使用中药饮片金额/该科室用药总金额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39</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全院住院中药饮片使用金额占比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某时间段，出院患者中，使用中药饮片的金额/全院出院患者用药总金额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40</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个人门诊某个/某类药物使用金额占比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某时间段，某医生使用某个/某类药物金额/该医生挂号且开质子泵抑制剂金额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需明确到具体药品类型（暂时无法确定）</w:t>
            </w:r>
          </w:p>
        </w:tc>
      </w:tr>
      <w:tr>
        <w:tblPrEx>
          <w:tblCellMar>
            <w:top w:w="0" w:type="dxa"/>
            <w:left w:w="108" w:type="dxa"/>
            <w:bottom w:w="0" w:type="dxa"/>
            <w:right w:w="108" w:type="dxa"/>
          </w:tblCellMar>
        </w:tblPrEx>
        <w:trPr>
          <w:trHeight w:val="135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41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个人住院某个/某类药物使用金额占比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某时间段，出院患者中，该医生管床患者使用某个/某类药物的金额/该医生管床的患者用药总金额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需明确到具体药品类型（暂时无法确定）</w:t>
            </w: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42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科室门诊某个/某类药物使用金额占比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某时间段，某科室使用某个/某类药物金额/该科室挂号且开质子泵抑制剂金额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需明确到具体药品类型（暂时无法确定）</w:t>
            </w:r>
          </w:p>
        </w:tc>
      </w:tr>
      <w:tr>
        <w:tblPrEx>
          <w:tblCellMar>
            <w:top w:w="0" w:type="dxa"/>
            <w:left w:w="108" w:type="dxa"/>
            <w:bottom w:w="0" w:type="dxa"/>
            <w:right w:w="108" w:type="dxa"/>
          </w:tblCellMar>
        </w:tblPrEx>
        <w:trPr>
          <w:trHeight w:val="135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43</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科室住院某个/某类药物使用金额占比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某时间段，出院患者中，该科室使用某个/某类药物的金额/该科室的出院患者用药总金额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需明确到具体药品类型（暂时无法确定）</w:t>
            </w: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44</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全院住院某个/某类药物使用金额占比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某时间段，出院患者中，使用某个/某类药物的金额/全院出院患者用药总金额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需明确到具体药品类型（暂时无法确定）</w:t>
            </w:r>
          </w:p>
        </w:tc>
      </w:tr>
      <w:tr>
        <w:tblPrEx>
          <w:tblCellMar>
            <w:top w:w="0" w:type="dxa"/>
            <w:left w:w="108" w:type="dxa"/>
            <w:bottom w:w="0" w:type="dxa"/>
            <w:right w:w="108" w:type="dxa"/>
          </w:tblCellMar>
        </w:tblPrEx>
        <w:trPr>
          <w:trHeight w:val="243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45</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某个/某类药物处方</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某时间段，统计医生个人/科室/全院使用某个/某类药物处方，统计字段包括处方日期、科室名称、医生名称、临床诊断、药品代码、某个/某类药物名称、药品规格、药品数量、数量单位</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需明确到具体药品类型（暂时无法确定）</w:t>
            </w:r>
          </w:p>
        </w:tc>
      </w:tr>
      <w:tr>
        <w:tblPrEx>
          <w:tblCellMar>
            <w:top w:w="0" w:type="dxa"/>
            <w:left w:w="108" w:type="dxa"/>
            <w:bottom w:w="0" w:type="dxa"/>
            <w:right w:w="108" w:type="dxa"/>
          </w:tblCellMar>
        </w:tblPrEx>
        <w:trPr>
          <w:trHeight w:val="27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46</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某个/某类药物病例</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某时间段，统计医生个人/科室/全院使用某个/某类药物病例信息，统计字段包括科室名称、开医嘱医生名称、临床诊断、出院日期、药品代码、某个/某类药物名称、药品规格、药品数量、数量单位</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需明确到具体药品类型（暂时无法确定）</w:t>
            </w:r>
          </w:p>
        </w:tc>
      </w:tr>
      <w:tr>
        <w:tblPrEx>
          <w:tblCellMar>
            <w:top w:w="0" w:type="dxa"/>
            <w:left w:w="108" w:type="dxa"/>
            <w:bottom w:w="0" w:type="dxa"/>
            <w:right w:w="108" w:type="dxa"/>
          </w:tblCellMar>
        </w:tblPrEx>
        <w:trPr>
          <w:trHeight w:val="18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47</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16.1 处方总数</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各类处方总数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1、药品处方总数=门诊处方张数+急诊处方张数+出院带药处方</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2、门诊处方按缴费时间、住院按出区时间</w:t>
            </w:r>
          </w:p>
        </w:tc>
      </w:tr>
      <w:tr>
        <w:tblPrEx>
          <w:tblCellMar>
            <w:top w:w="0" w:type="dxa"/>
            <w:left w:w="108" w:type="dxa"/>
            <w:bottom w:w="0" w:type="dxa"/>
            <w:right w:w="108" w:type="dxa"/>
          </w:tblCellMar>
        </w:tblPrEx>
        <w:trPr>
          <w:trHeight w:val="54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48</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16.2 同期出院人数</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同期出院人数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需要剔除住院期间未用药的患者</w:t>
            </w:r>
          </w:p>
        </w:tc>
      </w:tr>
      <w:tr>
        <w:tblPrEx>
          <w:tblCellMar>
            <w:top w:w="0" w:type="dxa"/>
            <w:left w:w="108" w:type="dxa"/>
            <w:bottom w:w="0" w:type="dxa"/>
            <w:right w:w="108" w:type="dxa"/>
          </w:tblCellMar>
        </w:tblPrEx>
        <w:trPr>
          <w:trHeight w:val="432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49</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17.抗菌药物使用强度（DDDs）</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DDDs 可反映不同年度的用药动态和用药结构，某抗菌药物DDDs 大，说明用药频度高，用药强度大，对该药的选择倾向性大</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抗菌药物使用强度（DDDs）=住院患者抗菌药物消耗量（累计DDD数）*100/同期收治患者人天数</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同期收治人天数=出院患者人次数*出院患者平均住院天数</w:t>
            </w:r>
          </w:p>
        </w:tc>
        <w:tc>
          <w:tcPr>
            <w:tcW w:w="1047" w:type="pct"/>
            <w:tcBorders>
              <w:top w:val="single" w:color="000000" w:sz="4" w:space="0"/>
              <w:left w:val="single" w:color="000000" w:sz="4" w:space="0"/>
              <w:bottom w:val="single" w:color="000000" w:sz="4" w:space="0"/>
              <w:right w:val="single" w:color="000000" w:sz="4" w:space="0"/>
            </w:tcBorders>
            <w:shd w:val="clear" w:color="auto" w:fill="FFFF00"/>
            <w:vAlign w:val="center"/>
          </w:tcPr>
          <w:p>
            <w:pPr>
              <w:widowControl/>
              <w:jc w:val="left"/>
              <w:textAlignment w:val="center"/>
              <w:rPr>
                <w:rFonts w:ascii="宋体" w:hAnsi="宋体" w:cs="宋体"/>
                <w:color w:val="000000"/>
                <w:sz w:val="22"/>
                <w:szCs w:val="22"/>
                <w:highlight w:val="none"/>
              </w:rPr>
            </w:pPr>
            <w:r>
              <w:rPr>
                <w:rStyle w:val="69"/>
                <w:rFonts w:hint="default"/>
                <w:highlight w:val="none"/>
                <w:lang w:bidi="ar"/>
              </w:rPr>
              <w:t>①同期表示同一时间段。</w:t>
            </w:r>
            <w:r>
              <w:rPr>
                <w:rStyle w:val="69"/>
                <w:rFonts w:hint="default"/>
                <w:highlight w:val="none"/>
                <w:lang w:bidi="ar"/>
              </w:rPr>
              <w:br w:type="textWrapping"/>
            </w:r>
            <w:r>
              <w:rPr>
                <w:rStyle w:val="69"/>
                <w:rFonts w:hint="default"/>
                <w:highlight w:val="none"/>
                <w:lang w:bidi="ar"/>
              </w:rPr>
              <w:t>②住院患者抗菌药物消耗量是指出院患者在住院期间使用的抗菌药物</w:t>
            </w:r>
            <w:r>
              <w:rPr>
                <w:rStyle w:val="68"/>
                <w:rFonts w:hint="default"/>
                <w:highlight w:val="none"/>
                <w:lang w:bidi="ar"/>
              </w:rPr>
              <w:t>实际</w:t>
            </w:r>
            <w:r>
              <w:rPr>
                <w:rStyle w:val="69"/>
                <w:rFonts w:hint="default"/>
                <w:highlight w:val="none"/>
                <w:lang w:bidi="ar"/>
              </w:rPr>
              <w:t>消耗量</w:t>
            </w:r>
            <w:r>
              <w:rPr>
                <w:rStyle w:val="68"/>
                <w:rFonts w:hint="default"/>
                <w:highlight w:val="none"/>
                <w:lang w:bidi="ar"/>
              </w:rPr>
              <w:t>（即医嘱用量）</w:t>
            </w:r>
            <w:r>
              <w:rPr>
                <w:rStyle w:val="69"/>
                <w:rFonts w:hint="default"/>
                <w:highlight w:val="none"/>
                <w:lang w:bidi="ar"/>
              </w:rPr>
              <w:t>。要除外出院患者带走的抗菌药物的量。</w:t>
            </w:r>
            <w:r>
              <w:rPr>
                <w:rStyle w:val="69"/>
                <w:rFonts w:hint="default"/>
                <w:highlight w:val="none"/>
                <w:lang w:bidi="ar"/>
              </w:rPr>
              <w:br w:type="textWrapping"/>
            </w:r>
            <w:r>
              <w:rPr>
                <w:rStyle w:val="69"/>
                <w:rFonts w:hint="default"/>
                <w:highlight w:val="none"/>
                <w:lang w:bidi="ar"/>
              </w:rPr>
              <w:t>③各临床科室情况见附表1、附表2</w:t>
            </w:r>
            <w:r>
              <w:rPr>
                <w:rStyle w:val="69"/>
                <w:rFonts w:hint="default"/>
                <w:highlight w:val="none"/>
                <w:lang w:bidi="ar"/>
              </w:rPr>
              <w:br w:type="textWrapping"/>
            </w:r>
            <w:r>
              <w:rPr>
                <w:rStyle w:val="69"/>
                <w:rFonts w:hint="default"/>
                <w:highlight w:val="none"/>
                <w:lang w:bidi="ar"/>
              </w:rPr>
              <w:t>④要求某时间段全院数据，各临床科室数据，各临床科室医生数据</w:t>
            </w:r>
          </w:p>
        </w:tc>
      </w:tr>
      <w:tr>
        <w:tblPrEx>
          <w:tblCellMar>
            <w:top w:w="0" w:type="dxa"/>
            <w:left w:w="108" w:type="dxa"/>
            <w:bottom w:w="0" w:type="dxa"/>
            <w:right w:w="108" w:type="dxa"/>
          </w:tblCellMar>
        </w:tblPrEx>
        <w:trPr>
          <w:trHeight w:val="81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50</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18.门诊患者基本药物处方占比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了解门诊患者基本药物使用情况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门诊使用基药人次数/同期门诊诊疗总人次数*100%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全院及各临床科室门诊使用基药人次数（处方中含有其中一种及以上基本药物则为1人次），门诊诊疗总人次数</w:t>
            </w:r>
            <w:r>
              <w:rPr>
                <w:rFonts w:hint="eastAsia" w:ascii="宋体" w:hAnsi="宋体" w:cs="宋体"/>
                <w:color w:val="FF0000"/>
                <w:kern w:val="0"/>
                <w:sz w:val="22"/>
                <w:szCs w:val="22"/>
                <w:highlight w:val="none"/>
                <w:lang w:bidi="ar"/>
              </w:rPr>
              <w:br w:type="textWrapping"/>
            </w:r>
            <w:r>
              <w:rPr>
                <w:rFonts w:hint="eastAsia" w:ascii="宋体" w:hAnsi="宋体" w:cs="宋体"/>
                <w:color w:val="FF0000"/>
                <w:kern w:val="0"/>
                <w:sz w:val="22"/>
                <w:szCs w:val="22"/>
                <w:highlight w:val="none"/>
                <w:lang w:bidi="ar"/>
              </w:rPr>
              <w:t>（注意：基本药物包括标注为#的药品，</w:t>
            </w:r>
            <w:r>
              <w:rPr>
                <w:rFonts w:hint="eastAsia" w:ascii="宋体" w:hAnsi="宋体" w:cs="宋体"/>
                <w:color w:val="FF0000"/>
                <w:kern w:val="0"/>
                <w:sz w:val="22"/>
                <w:szCs w:val="22"/>
                <w:highlight w:val="none"/>
                <w:lang w:bidi="ar"/>
              </w:rPr>
              <w:br w:type="textWrapping"/>
            </w:r>
            <w:r>
              <w:rPr>
                <w:rFonts w:hint="eastAsia" w:ascii="宋体" w:hAnsi="宋体" w:cs="宋体"/>
                <w:color w:val="FF0000"/>
                <w:kern w:val="0"/>
                <w:sz w:val="22"/>
                <w:szCs w:val="22"/>
                <w:highlight w:val="none"/>
                <w:lang w:bidi="ar"/>
              </w:rPr>
              <w:t>1.不包括同组医嘱不少于2种药品而且包括代码为15001、150011、150012、15003、150031、150032、15004、150041、150042、150043、150046、150047、150048、150052、150054、150063、15014、150142、1151013、1151014、1151015、1151016、1151017、1151021的药品（即单个药品为一组的不需要剔除）；</w:t>
            </w:r>
            <w:r>
              <w:rPr>
                <w:rFonts w:hint="eastAsia" w:ascii="宋体" w:hAnsi="宋体" w:cs="宋体"/>
                <w:color w:val="FF0000"/>
                <w:kern w:val="0"/>
                <w:sz w:val="22"/>
                <w:szCs w:val="22"/>
                <w:highlight w:val="none"/>
                <w:lang w:bidi="ar"/>
              </w:rPr>
              <w:br w:type="textWrapping"/>
            </w:r>
            <w:r>
              <w:rPr>
                <w:rFonts w:hint="eastAsia" w:ascii="宋体" w:hAnsi="宋体" w:cs="宋体"/>
                <w:color w:val="FF0000"/>
                <w:kern w:val="0"/>
                <w:sz w:val="22"/>
                <w:szCs w:val="22"/>
                <w:highlight w:val="none"/>
                <w:lang w:bidi="ar"/>
              </w:rPr>
              <w:t>2.不包括急诊患者、健康体检者及未开具药物处方者；</w:t>
            </w:r>
            <w:r>
              <w:rPr>
                <w:rFonts w:hint="eastAsia" w:ascii="宋体" w:hAnsi="宋体" w:cs="宋体"/>
                <w:color w:val="FF0000"/>
                <w:kern w:val="0"/>
                <w:sz w:val="22"/>
                <w:szCs w:val="22"/>
                <w:highlight w:val="none"/>
                <w:lang w:bidi="ar"/>
              </w:rPr>
              <w:br w:type="textWrapping"/>
            </w:r>
            <w:r>
              <w:rPr>
                <w:rFonts w:hint="eastAsia" w:ascii="宋体" w:hAnsi="宋体" w:cs="宋体"/>
                <w:color w:val="FF0000"/>
                <w:kern w:val="0"/>
                <w:sz w:val="22"/>
                <w:szCs w:val="22"/>
                <w:highlight w:val="none"/>
                <w:lang w:bidi="ar"/>
              </w:rPr>
              <w:t>3.不包括单纯使用中草药的人次数（全院提供1个总数，各科室提供明细）EMR导。</w:t>
            </w:r>
            <w:r>
              <w:rPr>
                <w:rFonts w:hint="eastAsia" w:ascii="宋体" w:hAnsi="宋体" w:cs="宋体"/>
                <w:color w:val="FF0000"/>
                <w:kern w:val="0"/>
                <w:sz w:val="22"/>
                <w:szCs w:val="22"/>
                <w:highlight w:val="none"/>
                <w:lang w:bidi="ar"/>
              </w:rPr>
              <w:br w:type="textWrapping"/>
            </w:r>
            <w:r>
              <w:rPr>
                <w:rFonts w:hint="eastAsia" w:ascii="宋体" w:hAnsi="宋体" w:cs="宋体"/>
                <w:color w:val="FF0000"/>
                <w:kern w:val="0"/>
                <w:sz w:val="22"/>
                <w:szCs w:val="22"/>
                <w:highlight w:val="none"/>
                <w:lang w:bidi="ar"/>
              </w:rPr>
              <w:t>⑤要求某时间段全院数据，各临床科室数据，各临床科室医生数据</w:t>
            </w:r>
          </w:p>
        </w:tc>
      </w:tr>
      <w:tr>
        <w:tblPrEx>
          <w:tblCellMar>
            <w:top w:w="0" w:type="dxa"/>
            <w:left w:w="108" w:type="dxa"/>
            <w:bottom w:w="0" w:type="dxa"/>
            <w:right w:w="108" w:type="dxa"/>
          </w:tblCellMar>
        </w:tblPrEx>
        <w:trPr>
          <w:trHeight w:val="81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51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18.延伸指标：门诊患者基本药物处方使用占比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FF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门诊使用基本药物品种数量/同期门诊使用药品品种数量*100%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（例如A 患者使用了150058这个药品，B患者也使用了150058这个药品，使用药品品种数量为2）</w:t>
            </w:r>
            <w:r>
              <w:rPr>
                <w:rFonts w:hint="eastAsia" w:ascii="宋体" w:hAnsi="宋体" w:cs="宋体"/>
                <w:color w:val="FF0000"/>
                <w:kern w:val="0"/>
                <w:sz w:val="22"/>
                <w:szCs w:val="22"/>
                <w:highlight w:val="none"/>
                <w:lang w:bidi="ar"/>
              </w:rPr>
              <w:br w:type="textWrapping"/>
            </w:r>
            <w:r>
              <w:rPr>
                <w:rFonts w:hint="eastAsia" w:ascii="宋体" w:hAnsi="宋体" w:cs="宋体"/>
                <w:color w:val="FF0000"/>
                <w:kern w:val="0"/>
                <w:sz w:val="22"/>
                <w:szCs w:val="22"/>
                <w:highlight w:val="none"/>
                <w:lang w:bidi="ar"/>
              </w:rPr>
              <w:t>（注意：基本药物包括系统标注为#的药品，基本药物及同期门诊使用药品，</w:t>
            </w:r>
            <w:r>
              <w:rPr>
                <w:rFonts w:hint="eastAsia" w:ascii="宋体" w:hAnsi="宋体" w:cs="宋体"/>
                <w:color w:val="FF0000"/>
                <w:kern w:val="0"/>
                <w:sz w:val="22"/>
                <w:szCs w:val="22"/>
                <w:highlight w:val="none"/>
                <w:lang w:bidi="ar"/>
              </w:rPr>
              <w:br w:type="textWrapping"/>
            </w:r>
            <w:r>
              <w:rPr>
                <w:rFonts w:hint="eastAsia" w:ascii="宋体" w:hAnsi="宋体" w:cs="宋体"/>
                <w:color w:val="FF0000"/>
                <w:kern w:val="0"/>
                <w:sz w:val="22"/>
                <w:szCs w:val="22"/>
                <w:highlight w:val="none"/>
                <w:lang w:bidi="ar"/>
              </w:rPr>
              <w:t>1.不包括同组医嘱不少于2种药品而且包括代码为15001、150011、150012、15003、150031、150032、15004、150041、150042、150043、150046、150047、150048、150052、150054、150063、15014、150142、1151013、1151014、1151015、1151016、1151017、1151021的药品（即单个药品为一组的不需要剔除）；</w:t>
            </w:r>
            <w:r>
              <w:rPr>
                <w:rFonts w:hint="eastAsia" w:ascii="宋体" w:hAnsi="宋体" w:cs="宋体"/>
                <w:color w:val="FF0000"/>
                <w:kern w:val="0"/>
                <w:sz w:val="22"/>
                <w:szCs w:val="22"/>
                <w:highlight w:val="none"/>
                <w:lang w:bidi="ar"/>
              </w:rPr>
              <w:br w:type="textWrapping"/>
            </w:r>
            <w:r>
              <w:rPr>
                <w:rFonts w:hint="eastAsia" w:ascii="宋体" w:hAnsi="宋体" w:cs="宋体"/>
                <w:color w:val="FF0000"/>
                <w:kern w:val="0"/>
                <w:sz w:val="22"/>
                <w:szCs w:val="22"/>
                <w:highlight w:val="none"/>
                <w:lang w:bidi="ar"/>
              </w:rPr>
              <w:t>2.不包括中草药（包括体外培育牛黄）；</w:t>
            </w:r>
            <w:r>
              <w:rPr>
                <w:rFonts w:hint="eastAsia" w:ascii="宋体" w:hAnsi="宋体" w:cs="宋体"/>
                <w:color w:val="FF0000"/>
                <w:kern w:val="0"/>
                <w:sz w:val="22"/>
                <w:szCs w:val="22"/>
                <w:highlight w:val="none"/>
                <w:lang w:bidi="ar"/>
              </w:rPr>
              <w:br w:type="textWrapping"/>
            </w:r>
            <w:r>
              <w:rPr>
                <w:rFonts w:hint="eastAsia" w:ascii="宋体" w:hAnsi="宋体" w:cs="宋体"/>
                <w:color w:val="FF0000"/>
                <w:kern w:val="0"/>
                <w:sz w:val="22"/>
                <w:szCs w:val="22"/>
                <w:highlight w:val="none"/>
                <w:lang w:bidi="ar"/>
              </w:rPr>
              <w:t>3.不包含急诊患者、健康体检者及未开具药物处方患者。（全院提供1个数，各科室提供明细）</w:t>
            </w:r>
          </w:p>
        </w:tc>
      </w:tr>
      <w:tr>
        <w:tblPrEx>
          <w:tblCellMar>
            <w:top w:w="0" w:type="dxa"/>
            <w:left w:w="108" w:type="dxa"/>
            <w:bottom w:w="0" w:type="dxa"/>
            <w:right w:w="108" w:type="dxa"/>
          </w:tblCellMar>
        </w:tblPrEx>
        <w:trPr>
          <w:trHeight w:val="81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52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19.住院患者基本药物使用率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了解住院患者基本药物使用情况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出院患者使用基本药物总人次数/</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同期出院总人次数*100%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bCs/>
                <w:color w:val="FF0000"/>
                <w:sz w:val="22"/>
                <w:szCs w:val="22"/>
                <w:highlight w:val="none"/>
              </w:rPr>
            </w:pPr>
            <w:r>
              <w:rPr>
                <w:rStyle w:val="70"/>
                <w:rFonts w:hint="default"/>
                <w:highlight w:val="none"/>
                <w:lang w:bidi="ar"/>
              </w:rPr>
              <w:t>（各科室数据）</w:t>
            </w:r>
            <w:r>
              <w:rPr>
                <w:rStyle w:val="68"/>
                <w:rFonts w:hint="default"/>
                <w:highlight w:val="none"/>
                <w:lang w:bidi="ar"/>
              </w:rPr>
              <w:t>：各临床科室出院患者使用基药人次数（按药品使用科室统计)（诊疗用药中含有基本药物者则为 1 人次，包括出院带药），使用药物出院人次数（按药品使用科室统计)，出院人次数（转科患者按出院统计)。</w:t>
            </w:r>
            <w:r>
              <w:rPr>
                <w:rStyle w:val="68"/>
                <w:rFonts w:hint="default"/>
                <w:highlight w:val="none"/>
                <w:lang w:bidi="ar"/>
              </w:rPr>
              <w:br w:type="textWrapping"/>
            </w:r>
            <w:r>
              <w:rPr>
                <w:rStyle w:val="68"/>
                <w:rFonts w:hint="default"/>
                <w:highlight w:val="none"/>
                <w:lang w:bidi="ar"/>
              </w:rPr>
              <w:t>（注意：国基药物包括标注为#的药品，</w:t>
            </w:r>
            <w:r>
              <w:rPr>
                <w:rStyle w:val="68"/>
                <w:rFonts w:hint="default"/>
                <w:highlight w:val="none"/>
                <w:lang w:bidi="ar"/>
              </w:rPr>
              <w:br w:type="textWrapping"/>
            </w:r>
            <w:r>
              <w:rPr>
                <w:rStyle w:val="68"/>
                <w:rFonts w:hint="default"/>
                <w:highlight w:val="none"/>
                <w:lang w:bidi="ar"/>
              </w:rPr>
              <w:t>1.不包括同组医嘱不少于2种药品而且包括代码为15001、150011、150012、15003、150031、150032、15004、150041、150042、150043、150046、150047、150048、150052、150054、150063、15014、150142、1151013、1151014、1151015、1151016、1151017、1151021的药品（即单个药品为一组的不需要剔除）；</w:t>
            </w:r>
            <w:r>
              <w:rPr>
                <w:rStyle w:val="68"/>
                <w:rFonts w:hint="default"/>
                <w:highlight w:val="none"/>
                <w:lang w:bidi="ar"/>
              </w:rPr>
              <w:br w:type="textWrapping"/>
            </w:r>
            <w:r>
              <w:rPr>
                <w:rStyle w:val="68"/>
                <w:rFonts w:hint="default"/>
                <w:highlight w:val="none"/>
                <w:lang w:bidi="ar"/>
              </w:rPr>
              <w:t>2.不包括单纯使用中草药的人次数）；</w:t>
            </w:r>
            <w:r>
              <w:rPr>
                <w:rStyle w:val="68"/>
                <w:rFonts w:hint="default"/>
                <w:highlight w:val="none"/>
                <w:lang w:bidi="ar"/>
              </w:rPr>
              <w:br w:type="textWrapping"/>
            </w:r>
            <w:r>
              <w:rPr>
                <w:rStyle w:val="68"/>
                <w:rFonts w:hint="default"/>
                <w:highlight w:val="none"/>
                <w:lang w:bidi="ar"/>
              </w:rPr>
              <w:t>3.不包括血透室病人、产科出院新生儿（各科室提供明细）EMR导</w:t>
            </w:r>
            <w:r>
              <w:rPr>
                <w:rStyle w:val="68"/>
                <w:rFonts w:hint="default"/>
                <w:highlight w:val="none"/>
                <w:lang w:bidi="ar"/>
              </w:rPr>
              <w:br w:type="textWrapping"/>
            </w:r>
            <w:r>
              <w:rPr>
                <w:rStyle w:val="70"/>
                <w:rFonts w:hint="default"/>
                <w:highlight w:val="none"/>
                <w:lang w:bidi="ar"/>
              </w:rPr>
              <w:t>全院统计数据：</w:t>
            </w:r>
            <w:r>
              <w:rPr>
                <w:rStyle w:val="68"/>
                <w:rFonts w:hint="default"/>
                <w:highlight w:val="none"/>
                <w:lang w:bidi="ar"/>
              </w:rPr>
              <w:br w:type="textWrapping"/>
            </w:r>
            <w:r>
              <w:rPr>
                <w:rStyle w:val="68"/>
                <w:rFonts w:hint="default"/>
                <w:highlight w:val="none"/>
                <w:lang w:bidi="ar"/>
              </w:rPr>
              <w:t>10.2-1、2023年3月全院出院患者使用基药人次数（以出院科室患者统计）（诊疗用药中含有基本药物者则为 1 人次，包括出院带药），使用药物出院人次数，出院人次数。</w:t>
            </w:r>
            <w:r>
              <w:rPr>
                <w:rStyle w:val="68"/>
                <w:rFonts w:hint="default"/>
                <w:highlight w:val="none"/>
                <w:lang w:bidi="ar"/>
              </w:rPr>
              <w:br w:type="textWrapping"/>
            </w:r>
            <w:r>
              <w:rPr>
                <w:rStyle w:val="68"/>
                <w:rFonts w:hint="default"/>
                <w:highlight w:val="none"/>
                <w:lang w:bidi="ar"/>
              </w:rPr>
              <w:t>（注意：国基药物包括标注为#的药品，</w:t>
            </w:r>
            <w:r>
              <w:rPr>
                <w:rStyle w:val="68"/>
                <w:rFonts w:hint="default"/>
                <w:highlight w:val="none"/>
                <w:lang w:bidi="ar"/>
              </w:rPr>
              <w:br w:type="textWrapping"/>
            </w:r>
            <w:r>
              <w:rPr>
                <w:rStyle w:val="68"/>
                <w:rFonts w:hint="default"/>
                <w:highlight w:val="none"/>
                <w:lang w:bidi="ar"/>
              </w:rPr>
              <w:t>1.不包括同组医嘱不少于2种药品而且包括代码为15001、150011、150012、15003、150031、150032、15004、150041、150042、150043、150046、150047、150048、150052、150054、150063、15014、150142、1151013、1151014、1151015、1151016、1151017、1151021的药品（即单个药品为一组的不需要剔除）；</w:t>
            </w:r>
            <w:r>
              <w:rPr>
                <w:rStyle w:val="68"/>
                <w:rFonts w:hint="default"/>
                <w:highlight w:val="none"/>
                <w:lang w:bidi="ar"/>
              </w:rPr>
              <w:br w:type="textWrapping"/>
            </w:r>
            <w:r>
              <w:rPr>
                <w:rStyle w:val="68"/>
                <w:rFonts w:hint="default"/>
                <w:highlight w:val="none"/>
                <w:lang w:bidi="ar"/>
              </w:rPr>
              <w:t>2.不包括单纯使用中草药的人次数</w:t>
            </w:r>
            <w:r>
              <w:rPr>
                <w:rStyle w:val="68"/>
                <w:rFonts w:hint="default"/>
                <w:highlight w:val="none"/>
                <w:lang w:bidi="ar"/>
              </w:rPr>
              <w:br w:type="textWrapping"/>
            </w:r>
            <w:r>
              <w:rPr>
                <w:rStyle w:val="68"/>
                <w:rFonts w:hint="default"/>
                <w:highlight w:val="none"/>
                <w:lang w:bidi="ar"/>
              </w:rPr>
              <w:t>3.不包括血透室病人、产科出院新生儿（全院提供1个总数）</w:t>
            </w:r>
          </w:p>
        </w:tc>
      </w:tr>
      <w:tr>
        <w:tblPrEx>
          <w:tblCellMar>
            <w:top w:w="0" w:type="dxa"/>
            <w:left w:w="108" w:type="dxa"/>
            <w:bottom w:w="0" w:type="dxa"/>
            <w:right w:w="108" w:type="dxa"/>
          </w:tblCellMar>
        </w:tblPrEx>
        <w:trPr>
          <w:trHeight w:val="81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53</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19.延伸指标：住院患者基本药物使用占比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FF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出院患者使用基本药物品种数量/同期住院使用药品品种数量*100%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bCs/>
                <w:color w:val="FF0000"/>
                <w:sz w:val="22"/>
                <w:szCs w:val="22"/>
                <w:highlight w:val="none"/>
              </w:rPr>
            </w:pPr>
            <w:r>
              <w:rPr>
                <w:rStyle w:val="70"/>
                <w:rFonts w:hint="default"/>
                <w:highlight w:val="none"/>
                <w:lang w:bidi="ar"/>
              </w:rPr>
              <w:t>10.2-2（各科室数据：以药品使用科室统计）：</w:t>
            </w:r>
            <w:r>
              <w:rPr>
                <w:rStyle w:val="68"/>
                <w:rFonts w:hint="default"/>
                <w:highlight w:val="none"/>
                <w:lang w:bidi="ar"/>
              </w:rPr>
              <w:t>出院患者住院医嘱基本药物使用品种数量，同期出院患者住院医嘱所有药物使用品种数量。</w:t>
            </w:r>
            <w:r>
              <w:rPr>
                <w:rStyle w:val="68"/>
                <w:rFonts w:hint="default"/>
                <w:highlight w:val="none"/>
                <w:lang w:bidi="ar"/>
              </w:rPr>
              <w:br w:type="textWrapping"/>
            </w:r>
            <w:r>
              <w:rPr>
                <w:rStyle w:val="68"/>
                <w:rFonts w:hint="default"/>
                <w:highlight w:val="none"/>
                <w:lang w:bidi="ar"/>
              </w:rPr>
              <w:t>临时医嘱和出院带药医嘱按药品医嘱条目数量累计</w:t>
            </w:r>
            <w:r>
              <w:rPr>
                <w:rStyle w:val="68"/>
                <w:rFonts w:hint="default"/>
                <w:highlight w:val="none"/>
                <w:lang w:bidi="ar"/>
              </w:rPr>
              <w:br w:type="textWrapping"/>
            </w:r>
            <w:r>
              <w:rPr>
                <w:rStyle w:val="68"/>
                <w:rFonts w:hint="default"/>
                <w:highlight w:val="none"/>
                <w:lang w:bidi="ar"/>
              </w:rPr>
              <w:t>长期医嘱药品医嘱条目数量按给药频次*天数 累计。</w:t>
            </w:r>
            <w:r>
              <w:rPr>
                <w:rStyle w:val="68"/>
                <w:rFonts w:hint="default"/>
                <w:highlight w:val="none"/>
                <w:lang w:bidi="ar"/>
              </w:rPr>
              <w:br w:type="textWrapping"/>
            </w:r>
            <w:r>
              <w:rPr>
                <w:rStyle w:val="68"/>
                <w:rFonts w:hint="default"/>
                <w:highlight w:val="none"/>
                <w:lang w:bidi="ar"/>
              </w:rPr>
              <w:t>（注意：国基药物包括标注为#的药品，国基药物及住院医嘱所有药物，</w:t>
            </w:r>
            <w:r>
              <w:rPr>
                <w:rStyle w:val="68"/>
                <w:rFonts w:hint="default"/>
                <w:highlight w:val="none"/>
                <w:lang w:bidi="ar"/>
              </w:rPr>
              <w:br w:type="textWrapping"/>
            </w:r>
            <w:r>
              <w:rPr>
                <w:rStyle w:val="68"/>
                <w:rFonts w:hint="default"/>
                <w:highlight w:val="none"/>
                <w:lang w:bidi="ar"/>
              </w:rPr>
              <w:t>1.不包括同组医嘱不少于2种药品而且含有代码为15001、150011、150012、15003、150031、150032、15004、150041、150042、150043、150046、150047、150048、150052、150054、150063、15014、150142、1151013、1151014、1151015、1151016、1151017、1151021的药品（即单个药品为一组的不需要剔除）；</w:t>
            </w:r>
            <w:r>
              <w:rPr>
                <w:rStyle w:val="68"/>
                <w:rFonts w:hint="default"/>
                <w:highlight w:val="none"/>
                <w:lang w:bidi="ar"/>
              </w:rPr>
              <w:br w:type="textWrapping"/>
            </w:r>
            <w:r>
              <w:rPr>
                <w:rStyle w:val="68"/>
                <w:rFonts w:hint="default"/>
                <w:highlight w:val="none"/>
                <w:lang w:bidi="ar"/>
              </w:rPr>
              <w:t>2.不包括中草药；</w:t>
            </w:r>
            <w:r>
              <w:rPr>
                <w:rStyle w:val="68"/>
                <w:rFonts w:hint="default"/>
                <w:highlight w:val="none"/>
                <w:lang w:bidi="ar"/>
              </w:rPr>
              <w:br w:type="textWrapping"/>
            </w:r>
            <w:r>
              <w:rPr>
                <w:rStyle w:val="68"/>
                <w:rFonts w:hint="default"/>
                <w:highlight w:val="none"/>
                <w:lang w:bidi="ar"/>
              </w:rPr>
              <w:t>3.不包括血透室病人、产科出院新生儿（全院提供1个数，各科室提供明细）</w:t>
            </w:r>
            <w:r>
              <w:rPr>
                <w:rStyle w:val="70"/>
                <w:rFonts w:hint="default"/>
                <w:highlight w:val="none"/>
                <w:lang w:bidi="ar"/>
              </w:rPr>
              <w:br w:type="textWrapping"/>
            </w:r>
            <w:r>
              <w:rPr>
                <w:rStyle w:val="70"/>
                <w:rFonts w:hint="default"/>
                <w:highlight w:val="none"/>
                <w:lang w:bidi="ar"/>
              </w:rPr>
              <w:t>10.2-2（全院数据：以出院科室患者统计）：</w:t>
            </w:r>
            <w:r>
              <w:rPr>
                <w:rStyle w:val="68"/>
                <w:rFonts w:hint="default"/>
                <w:highlight w:val="none"/>
                <w:lang w:bidi="ar"/>
              </w:rPr>
              <w:t>出院患者住院医嘱基本药物使用品种数量，同期出院患者住院医嘱所有药物使用品种数量。</w:t>
            </w:r>
            <w:r>
              <w:rPr>
                <w:rStyle w:val="68"/>
                <w:rFonts w:hint="default"/>
                <w:highlight w:val="none"/>
                <w:lang w:bidi="ar"/>
              </w:rPr>
              <w:br w:type="textWrapping"/>
            </w:r>
            <w:r>
              <w:rPr>
                <w:rStyle w:val="68"/>
                <w:rFonts w:hint="default"/>
                <w:highlight w:val="none"/>
                <w:lang w:bidi="ar"/>
              </w:rPr>
              <w:t>临时医嘱和出院带药医嘱按药品医嘱条目数量累计</w:t>
            </w:r>
            <w:r>
              <w:rPr>
                <w:rStyle w:val="68"/>
                <w:rFonts w:hint="default"/>
                <w:highlight w:val="none"/>
                <w:lang w:bidi="ar"/>
              </w:rPr>
              <w:br w:type="textWrapping"/>
            </w:r>
            <w:r>
              <w:rPr>
                <w:rStyle w:val="68"/>
                <w:rFonts w:hint="default"/>
                <w:highlight w:val="none"/>
                <w:lang w:bidi="ar"/>
              </w:rPr>
              <w:t>长期医嘱药品医嘱条目数量按给药频次*天数 累计。</w:t>
            </w:r>
            <w:r>
              <w:rPr>
                <w:rStyle w:val="68"/>
                <w:rFonts w:hint="default"/>
                <w:highlight w:val="none"/>
                <w:lang w:bidi="ar"/>
              </w:rPr>
              <w:br w:type="textWrapping"/>
            </w:r>
            <w:r>
              <w:rPr>
                <w:rStyle w:val="68"/>
                <w:rFonts w:hint="default"/>
                <w:highlight w:val="none"/>
                <w:lang w:bidi="ar"/>
              </w:rPr>
              <w:t>（注意：国基药物包括标注为#的药品，国基药物及住院医嘱所有药物，</w:t>
            </w:r>
            <w:r>
              <w:rPr>
                <w:rStyle w:val="68"/>
                <w:rFonts w:hint="default"/>
                <w:highlight w:val="none"/>
                <w:lang w:bidi="ar"/>
              </w:rPr>
              <w:br w:type="textWrapping"/>
            </w:r>
            <w:r>
              <w:rPr>
                <w:rStyle w:val="68"/>
                <w:rFonts w:hint="default"/>
                <w:highlight w:val="none"/>
                <w:lang w:bidi="ar"/>
              </w:rPr>
              <w:t>1.不包括同组医嘱不少于2种药品而且含有代码为15001、150011、150012、15003、150031、150032、15004、150041、150042、150043、150046、150047、150048、150052、150054、150063、15014、150142、1151013、1151014、1151015、1151016、1151017、1151021的药品（即单个药品为一组的不需要剔除）；</w:t>
            </w:r>
            <w:r>
              <w:rPr>
                <w:rStyle w:val="68"/>
                <w:rFonts w:hint="default"/>
                <w:highlight w:val="none"/>
                <w:lang w:bidi="ar"/>
              </w:rPr>
              <w:br w:type="textWrapping"/>
            </w:r>
            <w:r>
              <w:rPr>
                <w:rStyle w:val="68"/>
                <w:rFonts w:hint="default"/>
                <w:highlight w:val="none"/>
                <w:lang w:bidi="ar"/>
              </w:rPr>
              <w:t>2.不包括中草药；</w:t>
            </w:r>
            <w:r>
              <w:rPr>
                <w:rStyle w:val="68"/>
                <w:rFonts w:hint="default"/>
                <w:highlight w:val="none"/>
                <w:lang w:bidi="ar"/>
              </w:rPr>
              <w:br w:type="textWrapping"/>
            </w:r>
            <w:r>
              <w:rPr>
                <w:rStyle w:val="68"/>
                <w:rFonts w:hint="default"/>
                <w:highlight w:val="none"/>
                <w:lang w:bidi="ar"/>
              </w:rPr>
              <w:t>3.不包括血透室病人、产科出院新生儿（全院提供1个数，各科室提供明细）</w:t>
            </w:r>
          </w:p>
        </w:tc>
      </w:tr>
      <w:tr>
        <w:tblPrEx>
          <w:tblCellMar>
            <w:top w:w="0" w:type="dxa"/>
            <w:left w:w="108" w:type="dxa"/>
            <w:bottom w:w="0" w:type="dxa"/>
            <w:right w:w="108" w:type="dxa"/>
          </w:tblCellMar>
        </w:tblPrEx>
        <w:trPr>
          <w:trHeight w:val="216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54</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20.1基本药物采购品种数占比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了解医院基本药物配备情况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[医院采购基本药物品种数]/[医院同期采购药物品种总数]×100%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①药品名称包括#号为基本药物，但不包括中药饮片（代码为33/34开头）的药品；</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②药品品种数按照通用名进行统计；</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③输出表格见附表5</w:t>
            </w:r>
          </w:p>
        </w:tc>
      </w:tr>
      <w:tr>
        <w:tblPrEx>
          <w:tblCellMar>
            <w:top w:w="0" w:type="dxa"/>
            <w:left w:w="108" w:type="dxa"/>
            <w:bottom w:w="0" w:type="dxa"/>
            <w:right w:w="108" w:type="dxa"/>
          </w:tblCellMar>
        </w:tblPrEx>
        <w:trPr>
          <w:trHeight w:val="81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55</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20.2 国家基本药物配备使用金额比例</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了解医院基本药物配备使用情况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医院配备使用基本药物金额/医院同期全部药品配备使用总金额×100%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9"/>
                <w:rFonts w:hint="default"/>
                <w:highlight w:val="none"/>
                <w:lang w:bidi="ar"/>
              </w:rPr>
              <w:t>各科室/全院配备使用基本药物总金额,同期全部药品配备使用总金额。</w:t>
            </w:r>
            <w:r>
              <w:rPr>
                <w:rStyle w:val="69"/>
                <w:rFonts w:hint="default"/>
                <w:highlight w:val="none"/>
                <w:lang w:bidi="ar"/>
              </w:rPr>
              <w:br w:type="textWrapping"/>
            </w:r>
            <w:r>
              <w:rPr>
                <w:rStyle w:val="69"/>
                <w:rFonts w:hint="default"/>
                <w:highlight w:val="none"/>
                <w:lang w:bidi="ar"/>
              </w:rPr>
              <w:t>（注意：国基药物包括标注为#的药品，</w:t>
            </w:r>
            <w:r>
              <w:rPr>
                <w:rStyle w:val="69"/>
                <w:rFonts w:hint="default"/>
                <w:highlight w:val="none"/>
                <w:lang w:bidi="ar"/>
              </w:rPr>
              <w:br w:type="textWrapping"/>
            </w:r>
            <w:r>
              <w:rPr>
                <w:rStyle w:val="69"/>
                <w:rFonts w:hint="default"/>
                <w:highlight w:val="none"/>
                <w:lang w:bidi="ar"/>
              </w:rPr>
              <w:t>1.医院配备使用基本药物及医院同期全部药品不包括代码为15001、150011、150012、15003、150031、150032、15004、150041、150042、150043、150046、150047、150048、150052、150054、150063、15014、150142、1151013、1151014、1151015、1151016、1151017、1151021的药品（即单个药品为一组的不需要剔除）；</w:t>
            </w:r>
            <w:r>
              <w:rPr>
                <w:rStyle w:val="69"/>
                <w:rFonts w:hint="default"/>
                <w:highlight w:val="none"/>
                <w:lang w:bidi="ar"/>
              </w:rPr>
              <w:br w:type="textWrapping"/>
            </w:r>
            <w:r>
              <w:rPr>
                <w:rStyle w:val="69"/>
                <w:rFonts w:hint="default"/>
                <w:highlight w:val="none"/>
                <w:lang w:bidi="ar"/>
              </w:rPr>
              <w:t>2.不包括中草药（含体外培育牛黄）；</w:t>
            </w:r>
            <w:r>
              <w:rPr>
                <w:rStyle w:val="69"/>
                <w:rFonts w:hint="default"/>
                <w:highlight w:val="none"/>
                <w:lang w:bidi="ar"/>
              </w:rPr>
              <w:br w:type="textWrapping"/>
            </w:r>
            <w:r>
              <w:rPr>
                <w:rStyle w:val="69"/>
                <w:rFonts w:hint="default"/>
                <w:highlight w:val="none"/>
                <w:lang w:bidi="ar"/>
              </w:rPr>
              <w:t>3.不包括临购目录药品；(2022年临购目录药品见附表2-2）</w:t>
            </w:r>
            <w:r>
              <w:rPr>
                <w:rStyle w:val="69"/>
                <w:rFonts w:hint="default"/>
                <w:highlight w:val="none"/>
                <w:lang w:bidi="ar"/>
              </w:rPr>
              <w:br w:type="textWrapping"/>
            </w:r>
            <w:r>
              <w:rPr>
                <w:rStyle w:val="71"/>
                <w:rFonts w:hint="default"/>
                <w:highlight w:val="none"/>
                <w:lang w:bidi="ar"/>
              </w:rPr>
              <w:t>（从财务系统以最新药品名称导出）（全院提供1个数，各科室提供明细））</w:t>
            </w:r>
          </w:p>
        </w:tc>
      </w:tr>
      <w:tr>
        <w:tblPrEx>
          <w:tblCellMar>
            <w:top w:w="0" w:type="dxa"/>
            <w:left w:w="108" w:type="dxa"/>
            <w:bottom w:w="0" w:type="dxa"/>
            <w:right w:w="108" w:type="dxa"/>
          </w:tblCellMar>
        </w:tblPrEx>
        <w:trPr>
          <w:trHeight w:val="216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56</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21.国家组织药品集中采购中标药品使用比例</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了解医院国家组织药品集中采购中标药品使用情况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[中标药品用量（金额）]/[同种药品用量（金额）]×100%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1、药品名称包括J号为集中采购</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2、同种药品，即药品通用名相同（通用名暂未维护完整），如布洛芬，有布洛芬片、布洛芬胶囊、布洛芬针</w:t>
            </w:r>
          </w:p>
        </w:tc>
      </w:tr>
      <w:tr>
        <w:tblPrEx>
          <w:tblCellMar>
            <w:top w:w="0" w:type="dxa"/>
            <w:left w:w="108" w:type="dxa"/>
            <w:bottom w:w="0" w:type="dxa"/>
            <w:right w:w="108" w:type="dxa"/>
          </w:tblCellMar>
        </w:tblPrEx>
        <w:trPr>
          <w:trHeight w:val="27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57</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32.辅助用药收入占比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9"/>
                <w:rFonts w:hint="default"/>
                <w:highlight w:val="none"/>
                <w:lang w:bidi="ar"/>
              </w:rPr>
              <w:t>了解</w:t>
            </w:r>
            <w:r>
              <w:rPr>
                <w:rStyle w:val="68"/>
                <w:rFonts w:hint="default"/>
                <w:highlight w:val="none"/>
                <w:lang w:bidi="ar"/>
              </w:rPr>
              <w:t>医院和科室</w:t>
            </w:r>
            <w:r>
              <w:rPr>
                <w:rStyle w:val="69"/>
                <w:rFonts w:hint="default"/>
                <w:highlight w:val="none"/>
                <w:lang w:bidi="ar"/>
              </w:rPr>
              <w:t>辅助用药使用情况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[辅助用药收入]/[药品总收入]×100%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①辅助用药目录见附表A“辅助用药目录”</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②临床科室药品总收入（以实际消耗金额为准）</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③要求某时间段全院数据，各临床科室数据，各临床科室医生数据</w:t>
            </w:r>
          </w:p>
        </w:tc>
      </w:tr>
      <w:tr>
        <w:tblPrEx>
          <w:tblCellMar>
            <w:top w:w="0" w:type="dxa"/>
            <w:left w:w="108" w:type="dxa"/>
            <w:bottom w:w="0" w:type="dxa"/>
            <w:right w:w="108" w:type="dxa"/>
          </w:tblCellMar>
        </w:tblPrEx>
        <w:trPr>
          <w:trHeight w:val="64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58</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39.门诊次均药品费用增幅</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([本年度门诊患者次均药品费用]-[上一年度门诊患者次均药品费用])÷[上一年度门诊患者次均药品费用]×100%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9"/>
                <w:rFonts w:hint="default"/>
                <w:highlight w:val="none"/>
                <w:lang w:bidi="ar"/>
              </w:rPr>
              <w:t>①要求某时间段全院数据，各临床科室数据，各临床科室医生数据；</w:t>
            </w:r>
            <w:r>
              <w:rPr>
                <w:rStyle w:val="69"/>
                <w:rFonts w:hint="default"/>
                <w:highlight w:val="none"/>
                <w:lang w:bidi="ar"/>
              </w:rPr>
              <w:br w:type="textWrapping"/>
            </w:r>
            <w:r>
              <w:rPr>
                <w:rStyle w:val="69"/>
                <w:rFonts w:hint="default"/>
                <w:highlight w:val="none"/>
                <w:lang w:bidi="ar"/>
              </w:rPr>
              <w:t>②见附表8</w:t>
            </w:r>
            <w:r>
              <w:rPr>
                <w:rStyle w:val="69"/>
                <w:rFonts w:hint="default"/>
                <w:highlight w:val="none"/>
                <w:lang w:bidi="ar"/>
              </w:rPr>
              <w:br w:type="textWrapping"/>
            </w:r>
            <w:r>
              <w:rPr>
                <w:rStyle w:val="69"/>
                <w:rFonts w:hint="default"/>
                <w:highlight w:val="none"/>
                <w:lang w:bidi="ar"/>
              </w:rPr>
              <w:t>③要求某时间段全院数据，各临床科室数据，各临床科室医生数据</w:t>
            </w:r>
            <w:r>
              <w:rPr>
                <w:rStyle w:val="69"/>
                <w:rFonts w:hint="default"/>
                <w:highlight w:val="none"/>
                <w:lang w:bidi="ar"/>
              </w:rPr>
              <w:br w:type="textWrapping"/>
            </w:r>
            <w:r>
              <w:rPr>
                <w:rStyle w:val="68"/>
                <w:rFonts w:hint="default"/>
                <w:highlight w:val="none"/>
                <w:lang w:bidi="ar"/>
              </w:rPr>
              <w:t>目前存在问题：个别科室开设多个门诊，数据提取后需要合并该科室多个门诊的数据方为该科室真实数据，例如，神经内二科门诊和眩晕门诊，同为神经内二科开设的门诊，需要合并数据；中医风湿和中医内科、中医针灸三个门诊均为中医科开设门诊，需合并数据。</w:t>
            </w:r>
          </w:p>
        </w:tc>
      </w:tr>
      <w:tr>
        <w:tblPrEx>
          <w:tblCellMar>
            <w:top w:w="0" w:type="dxa"/>
            <w:left w:w="108" w:type="dxa"/>
            <w:bottom w:w="0" w:type="dxa"/>
            <w:right w:w="108" w:type="dxa"/>
          </w:tblCellMar>
        </w:tblPrEx>
        <w:trPr>
          <w:trHeight w:val="216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59</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39.1 剔除有关项后门诊次均药品费用增幅</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FF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([本年度剔除有关项后门诊患者次均药品费用]-[上一年度剔除有关项后门诊患者次均药品费用])÷[上一年度剔除有关项后门诊患者次均药品费用]×100%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需要剔除项为：在门诊用药金额中剔除中药饮片金额、国谈药品金额、长期处方用药金额、罕见病用药金额</w:t>
            </w:r>
          </w:p>
        </w:tc>
      </w:tr>
      <w:tr>
        <w:tblPrEx>
          <w:tblCellMar>
            <w:top w:w="0" w:type="dxa"/>
            <w:left w:w="108" w:type="dxa"/>
            <w:bottom w:w="0" w:type="dxa"/>
            <w:right w:w="108" w:type="dxa"/>
          </w:tblCellMar>
        </w:tblPrEx>
        <w:trPr>
          <w:trHeight w:val="64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60</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41.住院次均药品费用增幅</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([本年度出院患者次均药品费用]-[上一年度出院患者次均药品费用])÷[上一年度出院患者次均药品费用]×100%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9"/>
                <w:rFonts w:hint="default"/>
                <w:highlight w:val="none"/>
                <w:lang w:bidi="ar"/>
              </w:rPr>
              <w:t>①要求某时间段全院数据，各临床科室数据，各临床科室医生数据；</w:t>
            </w:r>
            <w:r>
              <w:rPr>
                <w:rStyle w:val="69"/>
                <w:rFonts w:hint="default"/>
                <w:highlight w:val="none"/>
                <w:lang w:bidi="ar"/>
              </w:rPr>
              <w:br w:type="textWrapping"/>
            </w:r>
            <w:r>
              <w:rPr>
                <w:rStyle w:val="69"/>
                <w:rFonts w:hint="default"/>
                <w:highlight w:val="none"/>
                <w:lang w:bidi="ar"/>
              </w:rPr>
              <w:t>②见附表9</w:t>
            </w:r>
            <w:r>
              <w:rPr>
                <w:rStyle w:val="69"/>
                <w:rFonts w:hint="default"/>
                <w:highlight w:val="none"/>
                <w:lang w:bidi="ar"/>
              </w:rPr>
              <w:br w:type="textWrapping"/>
            </w:r>
            <w:r>
              <w:rPr>
                <w:rStyle w:val="69"/>
                <w:rFonts w:hint="default"/>
                <w:highlight w:val="none"/>
                <w:lang w:bidi="ar"/>
              </w:rPr>
              <w:t>③要求某时间段全院数据，各临床科室数据，各临床科室医生数据</w:t>
            </w:r>
            <w:r>
              <w:rPr>
                <w:rStyle w:val="69"/>
                <w:rFonts w:hint="default"/>
                <w:highlight w:val="none"/>
                <w:lang w:bidi="ar"/>
              </w:rPr>
              <w:br w:type="textWrapping"/>
            </w:r>
            <w:r>
              <w:rPr>
                <w:rStyle w:val="68"/>
                <w:rFonts w:hint="default"/>
                <w:highlight w:val="none"/>
                <w:lang w:bidi="ar"/>
              </w:rPr>
              <w:t>目前存在问题：个别科室开设多个门诊，数据提取后需要合并该科室多个门诊的数据方为该科室真实数据，例如，神经内二科门诊和眩晕门诊，同为神经内二科开设的门诊，需要合并数据；中医风湿和中医内科、中医针灸三个门诊均为中医科开设门诊，需合并数据。</w:t>
            </w:r>
          </w:p>
        </w:tc>
      </w:tr>
      <w:tr>
        <w:tblPrEx>
          <w:tblCellMar>
            <w:top w:w="0" w:type="dxa"/>
            <w:left w:w="108" w:type="dxa"/>
            <w:bottom w:w="0" w:type="dxa"/>
            <w:right w:w="108" w:type="dxa"/>
          </w:tblCellMar>
        </w:tblPrEx>
        <w:trPr>
          <w:trHeight w:val="216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61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41.1 剔除有关项后门诊次均药品费用增幅</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FF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([本年度剔除有关项后住院患者次均药品费用]-[上一年度剔除有关项后住院患者次均药品费用])÷[上一年度剔除有关项后住院患者次均药品费用]×100%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需要剔除项为：在住院用药金额中剔除中药饮片金额、国谈药品金额、罕见病用药金额</w:t>
            </w:r>
          </w:p>
        </w:tc>
      </w:tr>
      <w:tr>
        <w:tblPrEx>
          <w:tblCellMar>
            <w:top w:w="0" w:type="dxa"/>
            <w:left w:w="108" w:type="dxa"/>
            <w:bottom w:w="0" w:type="dxa"/>
            <w:right w:w="108" w:type="dxa"/>
          </w:tblCellMar>
        </w:tblPrEx>
        <w:trPr>
          <w:trHeight w:val="297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62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指标1、药学专业技术人员占比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反映医疗机构药事管理质量的重要结构性指标</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 xml:space="preserve">                            药学专业技术人员数</w:t>
            </w:r>
            <w:r>
              <w:rPr>
                <w:rStyle w:val="67"/>
                <w:rFonts w:hint="default"/>
                <w:highlight w:val="none"/>
                <w:lang w:bidi="ar"/>
              </w:rPr>
              <w:br w:type="textWrapping"/>
            </w:r>
            <w:r>
              <w:rPr>
                <w:rStyle w:val="67"/>
                <w:rFonts w:hint="default"/>
                <w:highlight w:val="none"/>
                <w:lang w:bidi="ar"/>
              </w:rPr>
              <w:t xml:space="preserve">药学专业技术人员占比=    </w:t>
            </w:r>
            <w:r>
              <w:rPr>
                <w:rStyle w:val="72"/>
                <w:rFonts w:hint="default"/>
                <w:highlight w:val="none"/>
                <w:lang w:bidi="ar"/>
              </w:rPr>
              <w:t xml:space="preserve">                         </w:t>
            </w:r>
            <w:r>
              <w:rPr>
                <w:rStyle w:val="67"/>
                <w:rFonts w:hint="default"/>
                <w:highlight w:val="none"/>
                <w:lang w:bidi="ar"/>
              </w:rPr>
              <w:t xml:space="preserve">  x 100%</w:t>
            </w:r>
            <w:r>
              <w:rPr>
                <w:rStyle w:val="72"/>
                <w:rFonts w:hint="default"/>
                <w:highlight w:val="none"/>
                <w:lang w:bidi="ar"/>
              </w:rPr>
              <w:br w:type="textWrapping"/>
            </w:r>
            <w:r>
              <w:rPr>
                <w:rStyle w:val="67"/>
                <w:rFonts w:hint="default"/>
                <w:highlight w:val="none"/>
                <w:lang w:bidi="ar"/>
              </w:rPr>
              <w:t xml:space="preserve">                       同期医疗机构卫生专业技术人员总数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药学专业技术人员是指按照有关规定取得药学专业任职资格的由医疗机构聘任的在职人员。卫生专业技术人员是指由医疗机构聘任的在职卫生专业技术人员，不含后勤等辅助部门的人员。</w:t>
            </w:r>
          </w:p>
        </w:tc>
      </w:tr>
      <w:tr>
        <w:tblPrEx>
          <w:tblCellMar>
            <w:top w:w="0" w:type="dxa"/>
            <w:left w:w="108" w:type="dxa"/>
            <w:bottom w:w="0" w:type="dxa"/>
            <w:right w:w="108" w:type="dxa"/>
          </w:tblCellMar>
        </w:tblPrEx>
        <w:trPr>
          <w:trHeight w:val="18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63</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指标2、每百张床位临床药师人数</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反映医疗机构临床药师配置情况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 xml:space="preserve">                              临床药师人数</w:t>
            </w:r>
            <w:r>
              <w:rPr>
                <w:rStyle w:val="67"/>
                <w:rFonts w:hint="default"/>
                <w:highlight w:val="none"/>
                <w:lang w:bidi="ar"/>
              </w:rPr>
              <w:br w:type="textWrapping"/>
            </w:r>
            <w:r>
              <w:rPr>
                <w:rStyle w:val="67"/>
                <w:rFonts w:hint="default"/>
                <w:highlight w:val="none"/>
                <w:lang w:bidi="ar"/>
              </w:rPr>
              <w:t xml:space="preserve">每百张床位临床药师人数=  </w:t>
            </w:r>
            <w:r>
              <w:rPr>
                <w:rStyle w:val="72"/>
                <w:rFonts w:hint="default"/>
                <w:highlight w:val="none"/>
                <w:lang w:bidi="ar"/>
              </w:rPr>
              <w:t xml:space="preserve">                        </w:t>
            </w:r>
            <w:r>
              <w:rPr>
                <w:rStyle w:val="67"/>
                <w:rFonts w:hint="default"/>
                <w:highlight w:val="none"/>
                <w:lang w:bidi="ar"/>
              </w:rPr>
              <w:t xml:space="preserve"> x 100</w:t>
            </w:r>
            <w:r>
              <w:rPr>
                <w:rStyle w:val="67"/>
                <w:rFonts w:hint="default"/>
                <w:highlight w:val="none"/>
                <w:lang w:bidi="ar"/>
              </w:rPr>
              <w:br w:type="textWrapping"/>
            </w:r>
            <w:r>
              <w:rPr>
                <w:rStyle w:val="67"/>
                <w:rFonts w:hint="default"/>
                <w:highlight w:val="none"/>
                <w:lang w:bidi="ar"/>
              </w:rPr>
              <w:t xml:space="preserve">                            同期实际开放床位数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b/>
                <w:bCs/>
                <w:color w:val="000000"/>
                <w:sz w:val="22"/>
                <w:szCs w:val="22"/>
                <w:highlight w:val="none"/>
              </w:rPr>
            </w:pPr>
          </w:p>
        </w:tc>
      </w:tr>
      <w:tr>
        <w:tblPrEx>
          <w:tblCellMar>
            <w:top w:w="0" w:type="dxa"/>
            <w:left w:w="108" w:type="dxa"/>
            <w:bottom w:w="0" w:type="dxa"/>
            <w:right w:w="108" w:type="dxa"/>
          </w:tblCellMar>
        </w:tblPrEx>
        <w:trPr>
          <w:trHeight w:val="216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64</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指标3、处方审核率（一）门诊处方审核率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反映医疗机构药师对门诊处方的审核情况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 xml:space="preserve">                  药品收费前药师审核门诊处方人次数</w:t>
            </w:r>
            <w:r>
              <w:rPr>
                <w:rStyle w:val="67"/>
                <w:rFonts w:hint="default"/>
                <w:highlight w:val="none"/>
                <w:lang w:bidi="ar"/>
              </w:rPr>
              <w:br w:type="textWrapping"/>
            </w:r>
            <w:r>
              <w:rPr>
                <w:rStyle w:val="67"/>
                <w:rFonts w:hint="default"/>
                <w:highlight w:val="none"/>
                <w:lang w:bidi="ar"/>
              </w:rPr>
              <w:t xml:space="preserve">门诊处方审核率= </w:t>
            </w:r>
            <w:r>
              <w:rPr>
                <w:rStyle w:val="72"/>
                <w:rFonts w:hint="default"/>
                <w:highlight w:val="none"/>
                <w:lang w:bidi="ar"/>
              </w:rPr>
              <w:t xml:space="preserve">                                  </w:t>
            </w:r>
            <w:r>
              <w:rPr>
                <w:rStyle w:val="67"/>
                <w:rFonts w:hint="default"/>
                <w:highlight w:val="none"/>
                <w:lang w:bidi="ar"/>
              </w:rPr>
              <w:t xml:space="preserve"> x 100%</w:t>
            </w:r>
            <w:r>
              <w:rPr>
                <w:rStyle w:val="67"/>
                <w:rFonts w:hint="default"/>
                <w:highlight w:val="none"/>
                <w:lang w:bidi="ar"/>
              </w:rPr>
              <w:br w:type="textWrapping"/>
            </w:r>
            <w:r>
              <w:rPr>
                <w:rStyle w:val="67"/>
                <w:rFonts w:hint="default"/>
                <w:highlight w:val="none"/>
                <w:lang w:bidi="ar"/>
              </w:rPr>
              <w:t xml:space="preserve">                        同期门诊处方总人次数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b/>
                <w:bCs/>
                <w:color w:val="000000"/>
                <w:sz w:val="22"/>
                <w:szCs w:val="22"/>
                <w:highlight w:val="none"/>
              </w:rPr>
            </w:pPr>
          </w:p>
        </w:tc>
      </w:tr>
      <w:tr>
        <w:tblPrEx>
          <w:tblCellMar>
            <w:top w:w="0" w:type="dxa"/>
            <w:left w:w="108" w:type="dxa"/>
            <w:bottom w:w="0" w:type="dxa"/>
            <w:right w:w="108" w:type="dxa"/>
          </w:tblCellMar>
        </w:tblPrEx>
        <w:trPr>
          <w:trHeight w:val="216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65</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指标3、处方审核率（二）急诊处方审核率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反映医疗机构药师对急诊处方的审核情况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 xml:space="preserve">                  药品收费前药师审核急诊处方人次数</w:t>
            </w:r>
            <w:r>
              <w:rPr>
                <w:rStyle w:val="67"/>
                <w:rFonts w:hint="default"/>
                <w:highlight w:val="none"/>
                <w:lang w:bidi="ar"/>
              </w:rPr>
              <w:br w:type="textWrapping"/>
            </w:r>
            <w:r>
              <w:rPr>
                <w:rStyle w:val="67"/>
                <w:rFonts w:hint="default"/>
                <w:highlight w:val="none"/>
                <w:lang w:bidi="ar"/>
              </w:rPr>
              <w:t xml:space="preserve">急诊处方审核率= </w:t>
            </w:r>
            <w:r>
              <w:rPr>
                <w:rStyle w:val="72"/>
                <w:rFonts w:hint="default"/>
                <w:highlight w:val="none"/>
                <w:lang w:bidi="ar"/>
              </w:rPr>
              <w:t xml:space="preserve">                                   </w:t>
            </w:r>
            <w:r>
              <w:rPr>
                <w:rStyle w:val="67"/>
                <w:rFonts w:hint="default"/>
                <w:highlight w:val="none"/>
                <w:lang w:bidi="ar"/>
              </w:rPr>
              <w:t xml:space="preserve"> x 100%</w:t>
            </w:r>
            <w:r>
              <w:rPr>
                <w:rStyle w:val="67"/>
                <w:rFonts w:hint="default"/>
                <w:highlight w:val="none"/>
                <w:lang w:bidi="ar"/>
              </w:rPr>
              <w:br w:type="textWrapping"/>
            </w:r>
            <w:r>
              <w:rPr>
                <w:rStyle w:val="67"/>
                <w:rFonts w:hint="default"/>
                <w:highlight w:val="none"/>
                <w:lang w:bidi="ar"/>
              </w:rPr>
              <w:t xml:space="preserve">                        同期急诊处方总人次数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急诊处方审核率仅统计急诊患者，</w:t>
            </w:r>
            <w:r>
              <w:rPr>
                <w:rStyle w:val="73"/>
                <w:rFonts w:hint="default"/>
                <w:highlight w:val="none"/>
                <w:lang w:bidi="ar"/>
              </w:rPr>
              <w:t>急诊留观和抢救患者</w:t>
            </w:r>
            <w:r>
              <w:rPr>
                <w:rStyle w:val="67"/>
                <w:rFonts w:hint="default"/>
                <w:highlight w:val="none"/>
                <w:lang w:bidi="ar"/>
              </w:rPr>
              <w:t>除外。</w:t>
            </w:r>
          </w:p>
        </w:tc>
      </w:tr>
      <w:tr>
        <w:tblPrEx>
          <w:tblCellMar>
            <w:top w:w="0" w:type="dxa"/>
            <w:left w:w="108" w:type="dxa"/>
            <w:bottom w:w="0" w:type="dxa"/>
            <w:right w:w="108" w:type="dxa"/>
          </w:tblCellMar>
        </w:tblPrEx>
        <w:trPr>
          <w:trHeight w:val="27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66</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指标4、住院用药医嘱审核率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反映医疗机构药师对住院用药医嘱的审核情况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 xml:space="preserve">                       药品调配前药师审核住院患者</w:t>
            </w:r>
            <w:r>
              <w:rPr>
                <w:rStyle w:val="67"/>
                <w:rFonts w:hint="default"/>
                <w:highlight w:val="none"/>
                <w:lang w:bidi="ar"/>
              </w:rPr>
              <w:br w:type="textWrapping"/>
            </w:r>
            <w:r>
              <w:rPr>
                <w:rStyle w:val="67"/>
                <w:rFonts w:hint="default"/>
                <w:highlight w:val="none"/>
                <w:lang w:bidi="ar"/>
              </w:rPr>
              <w:t xml:space="preserve">                             用药医嘱条目数</w:t>
            </w:r>
            <w:r>
              <w:rPr>
                <w:rStyle w:val="67"/>
                <w:rFonts w:hint="default"/>
                <w:highlight w:val="none"/>
                <w:lang w:bidi="ar"/>
              </w:rPr>
              <w:br w:type="textWrapping"/>
            </w:r>
            <w:r>
              <w:rPr>
                <w:rStyle w:val="67"/>
                <w:rFonts w:hint="default"/>
                <w:highlight w:val="none"/>
                <w:lang w:bidi="ar"/>
              </w:rPr>
              <w:t xml:space="preserve">住院用药医嘱审核率= </w:t>
            </w:r>
            <w:r>
              <w:rPr>
                <w:rStyle w:val="72"/>
                <w:rFonts w:hint="default"/>
                <w:highlight w:val="none"/>
                <w:lang w:bidi="ar"/>
              </w:rPr>
              <w:t xml:space="preserve">                                  </w:t>
            </w:r>
            <w:r>
              <w:rPr>
                <w:rStyle w:val="67"/>
                <w:rFonts w:hint="default"/>
                <w:highlight w:val="none"/>
                <w:lang w:bidi="ar"/>
              </w:rPr>
              <w:t xml:space="preserve"> x 100%</w:t>
            </w:r>
            <w:r>
              <w:rPr>
                <w:rStyle w:val="67"/>
                <w:rFonts w:hint="default"/>
                <w:highlight w:val="none"/>
                <w:lang w:bidi="ar"/>
              </w:rPr>
              <w:br w:type="textWrapping"/>
            </w:r>
            <w:r>
              <w:rPr>
                <w:rStyle w:val="67"/>
                <w:rFonts w:hint="default"/>
                <w:highlight w:val="none"/>
                <w:lang w:bidi="ar"/>
              </w:rPr>
              <w:t xml:space="preserve">                           同期住院患者用药医嘱总条目数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住院患者用药医嘱（总）条目数均以出院患者用药医嘱（总）条目数计算</w:t>
            </w:r>
          </w:p>
        </w:tc>
      </w:tr>
      <w:tr>
        <w:tblPrEx>
          <w:tblCellMar>
            <w:top w:w="0" w:type="dxa"/>
            <w:left w:w="108" w:type="dxa"/>
            <w:bottom w:w="0" w:type="dxa"/>
            <w:right w:w="108" w:type="dxa"/>
          </w:tblCellMar>
        </w:tblPrEx>
        <w:trPr>
          <w:trHeight w:val="27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67</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指标5、静脉用药集中调配医嘱干预率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反映静脉用药集中调配医嘱质量与药学服务处方审核能方。</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 xml:space="preserve">                    医师同意修改的不适宜</w:t>
            </w:r>
            <w:r>
              <w:rPr>
                <w:rStyle w:val="67"/>
                <w:rFonts w:hint="default"/>
                <w:highlight w:val="none"/>
                <w:lang w:bidi="ar"/>
              </w:rPr>
              <w:br w:type="textWrapping"/>
            </w:r>
            <w:r>
              <w:rPr>
                <w:rStyle w:val="67"/>
                <w:rFonts w:hint="default"/>
                <w:highlight w:val="none"/>
                <w:lang w:bidi="ar"/>
              </w:rPr>
              <w:t xml:space="preserve">静脉用药集中调配  </w:t>
            </w:r>
            <w:r>
              <w:rPr>
                <w:rStyle w:val="72"/>
                <w:rFonts w:hint="default"/>
                <w:highlight w:val="none"/>
                <w:lang w:bidi="ar"/>
              </w:rPr>
              <w:t xml:space="preserve">  静脉用药集中调配医嘱条目数     </w:t>
            </w:r>
            <w:r>
              <w:rPr>
                <w:rStyle w:val="67"/>
                <w:rFonts w:hint="default"/>
                <w:highlight w:val="none"/>
                <w:lang w:bidi="ar"/>
              </w:rPr>
              <w:t xml:space="preserve"> x100%</w:t>
            </w:r>
            <w:r>
              <w:rPr>
                <w:rStyle w:val="67"/>
                <w:rFonts w:hint="default"/>
                <w:highlight w:val="none"/>
                <w:lang w:bidi="ar"/>
              </w:rPr>
              <w:br w:type="textWrapping"/>
            </w:r>
            <w:r>
              <w:rPr>
                <w:rStyle w:val="67"/>
                <w:rFonts w:hint="default"/>
                <w:highlight w:val="none"/>
                <w:lang w:bidi="ar"/>
              </w:rPr>
              <w:t>医嘱干预率      =  同期静脉用药集中调配医嘱总条目数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62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68</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指标6、门诊处方点评率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反映医疗机构药学服务质量的指标</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 xml:space="preserve">门诊处方点评率= </w:t>
            </w:r>
            <w:r>
              <w:rPr>
                <w:rStyle w:val="72"/>
                <w:rFonts w:hint="default"/>
                <w:highlight w:val="none"/>
                <w:lang w:bidi="ar"/>
              </w:rPr>
              <w:t xml:space="preserve">  点评的门诊处方人次数  </w:t>
            </w:r>
            <w:r>
              <w:rPr>
                <w:rStyle w:val="67"/>
                <w:rFonts w:hint="default"/>
                <w:highlight w:val="none"/>
                <w:lang w:bidi="ar"/>
              </w:rPr>
              <w:t xml:space="preserve">  x100%</w:t>
            </w:r>
            <w:r>
              <w:rPr>
                <w:rStyle w:val="72"/>
                <w:rFonts w:hint="default"/>
                <w:highlight w:val="none"/>
                <w:lang w:bidi="ar"/>
              </w:rPr>
              <w:br w:type="textWrapping"/>
            </w:r>
            <w:r>
              <w:rPr>
                <w:rStyle w:val="67"/>
                <w:rFonts w:hint="default"/>
                <w:highlight w:val="none"/>
                <w:lang w:bidi="ar"/>
              </w:rPr>
              <w:t xml:space="preserve">                  同期门诊处方总人次数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8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69</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指标7、门诊处方合格率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反映医疗机构门诊医师处方质量的重要指标。</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br w:type="textWrapping"/>
            </w:r>
            <w:r>
              <w:rPr>
                <w:rStyle w:val="67"/>
                <w:rFonts w:hint="default"/>
                <w:highlight w:val="none"/>
                <w:lang w:bidi="ar"/>
              </w:rPr>
              <w:t xml:space="preserve">门诊处方合格率= </w:t>
            </w:r>
            <w:r>
              <w:rPr>
                <w:rStyle w:val="72"/>
                <w:rFonts w:hint="default"/>
                <w:highlight w:val="none"/>
                <w:lang w:bidi="ar"/>
              </w:rPr>
              <w:t xml:space="preserve"> 合格的门诊处方人次数      </w:t>
            </w:r>
            <w:r>
              <w:rPr>
                <w:rStyle w:val="67"/>
                <w:rFonts w:hint="default"/>
                <w:highlight w:val="none"/>
                <w:lang w:bidi="ar"/>
              </w:rPr>
              <w:t xml:space="preserve"> x100%</w:t>
            </w:r>
            <w:r>
              <w:rPr>
                <w:rStyle w:val="67"/>
                <w:rFonts w:hint="default"/>
                <w:highlight w:val="none"/>
                <w:lang w:bidi="ar"/>
              </w:rPr>
              <w:br w:type="textWrapping"/>
            </w:r>
            <w:r>
              <w:rPr>
                <w:rStyle w:val="67"/>
                <w:rFonts w:hint="default"/>
                <w:highlight w:val="none"/>
                <w:lang w:bidi="ar"/>
              </w:rPr>
              <w:t xml:space="preserve">                 同期点评门诊处方总人次数 </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不合格处方包括不规范处方、用药不适宜处方及超常处方。</w:t>
            </w:r>
          </w:p>
        </w:tc>
      </w:tr>
      <w:tr>
        <w:tblPrEx>
          <w:tblCellMar>
            <w:top w:w="0" w:type="dxa"/>
            <w:left w:w="108" w:type="dxa"/>
            <w:bottom w:w="0" w:type="dxa"/>
            <w:right w:w="108" w:type="dxa"/>
          </w:tblCellMar>
        </w:tblPrEx>
        <w:trPr>
          <w:trHeight w:val="324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70</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指标8：住院患者药学监护率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反映临床药师为住院患者提供药学服务的情况。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 xml:space="preserve">住院患者药学监护率= </w:t>
            </w:r>
            <w:r>
              <w:rPr>
                <w:rStyle w:val="72"/>
                <w:rFonts w:hint="default"/>
                <w:highlight w:val="none"/>
                <w:lang w:bidi="ar"/>
              </w:rPr>
              <w:t xml:space="preserve"> 实施药学监护的住院患者数  </w:t>
            </w:r>
            <w:r>
              <w:rPr>
                <w:rStyle w:val="67"/>
                <w:rFonts w:hint="default"/>
                <w:highlight w:val="none"/>
                <w:lang w:bidi="ar"/>
              </w:rPr>
              <w:t xml:space="preserve">  x100%</w:t>
            </w:r>
            <w:r>
              <w:rPr>
                <w:rStyle w:val="67"/>
                <w:rFonts w:hint="default"/>
                <w:highlight w:val="none"/>
                <w:lang w:bidi="ar"/>
              </w:rPr>
              <w:br w:type="textWrapping"/>
            </w:r>
            <w:r>
              <w:rPr>
                <w:rStyle w:val="67"/>
                <w:rFonts w:hint="default"/>
                <w:highlight w:val="none"/>
                <w:lang w:bidi="ar"/>
              </w:rPr>
              <w:t xml:space="preserve">                      同期住院患者总数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74"/>
                <w:rFonts w:hint="default"/>
                <w:highlight w:val="none"/>
                <w:lang w:bidi="ar"/>
              </w:rPr>
              <w:t>（1）药学监护主要内容包括药学查房、制订监护计划、患者用药教育、药学会诊等在病历中记录的工作。</w:t>
            </w:r>
            <w:r>
              <w:rPr>
                <w:rStyle w:val="74"/>
                <w:rFonts w:hint="default"/>
                <w:highlight w:val="none"/>
                <w:lang w:bidi="ar"/>
              </w:rPr>
              <w:br w:type="textWrapping"/>
            </w:r>
            <w:r>
              <w:rPr>
                <w:rStyle w:val="74"/>
                <w:rFonts w:hint="default"/>
                <w:highlight w:val="none"/>
                <w:lang w:bidi="ar"/>
              </w:rPr>
              <w:t>（2）实施药学监护的住院患者数和同期住院患者总数均以</w:t>
            </w:r>
            <w:r>
              <w:rPr>
                <w:rStyle w:val="68"/>
                <w:rFonts w:hint="default"/>
                <w:highlight w:val="none"/>
                <w:lang w:bidi="ar"/>
              </w:rPr>
              <w:t>出院患者的人数计算</w:t>
            </w:r>
            <w:r>
              <w:rPr>
                <w:rStyle w:val="74"/>
                <w:rFonts w:hint="default"/>
                <w:highlight w:val="none"/>
                <w:lang w:bidi="ar"/>
              </w:rPr>
              <w:t>。</w:t>
            </w:r>
          </w:p>
        </w:tc>
      </w:tr>
      <w:tr>
        <w:tblPrEx>
          <w:tblCellMar>
            <w:top w:w="0" w:type="dxa"/>
            <w:left w:w="108" w:type="dxa"/>
            <w:bottom w:w="0" w:type="dxa"/>
            <w:right w:w="108" w:type="dxa"/>
          </w:tblCellMar>
        </w:tblPrEx>
        <w:trPr>
          <w:trHeight w:val="1365"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71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指标9：用药错误报告率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反映医疗机构用药错误主动报告情况。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74"/>
                <w:rFonts w:hint="default"/>
                <w:highlight w:val="none"/>
                <w:lang w:bidi="ar"/>
              </w:rPr>
              <w:t>用药错误报告率=报吿给医疗机构管理部门的用药错误人次数÷同期用药患者总数</w:t>
            </w:r>
            <w:r>
              <w:rPr>
                <w:rStyle w:val="75"/>
                <w:highlight w:val="none"/>
                <w:lang w:bidi="ar"/>
              </w:rPr>
              <w:t>×</w:t>
            </w:r>
            <w:r>
              <w:rPr>
                <w:rStyle w:val="74"/>
                <w:rFonts w:hint="default"/>
                <w:highlight w:val="none"/>
                <w:lang w:bidi="ar"/>
              </w:rPr>
              <w:t>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74"/>
                <w:rFonts w:hint="default"/>
                <w:highlight w:val="none"/>
                <w:lang w:bidi="ar"/>
              </w:rPr>
              <w:t>同期用药患者总数指单位时间内</w:t>
            </w:r>
            <w:r>
              <w:rPr>
                <w:rStyle w:val="68"/>
                <w:rFonts w:hint="default"/>
                <w:highlight w:val="none"/>
                <w:lang w:bidi="ar"/>
              </w:rPr>
              <w:t>门诊、急诊和住院患者用药</w:t>
            </w:r>
            <w:r>
              <w:rPr>
                <w:rStyle w:val="74"/>
                <w:rFonts w:hint="default"/>
                <w:highlight w:val="none"/>
                <w:lang w:bidi="ar"/>
              </w:rPr>
              <w:t>人数总和。</w:t>
            </w:r>
          </w:p>
        </w:tc>
      </w:tr>
      <w:tr>
        <w:tblPrEx>
          <w:tblCellMar>
            <w:top w:w="0" w:type="dxa"/>
            <w:left w:w="108" w:type="dxa"/>
            <w:bottom w:w="0" w:type="dxa"/>
            <w:right w:w="108" w:type="dxa"/>
          </w:tblCellMar>
        </w:tblPrEx>
        <w:trPr>
          <w:trHeight w:val="1365"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72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指标10：严重或新的药品不良反应上报率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反映医疗机构重视用药安全的指标。</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74"/>
                <w:rFonts w:hint="default"/>
                <w:highlight w:val="none"/>
                <w:lang w:bidi="ar"/>
              </w:rPr>
              <w:t>严重或新的药品不良反应上报率=严重的或新的药品不良反应申报人数÷同期用药患者总数</w:t>
            </w:r>
            <w:r>
              <w:rPr>
                <w:rStyle w:val="76"/>
                <w:highlight w:val="none"/>
                <w:lang w:bidi="ar"/>
              </w:rPr>
              <w:t>×</w:t>
            </w:r>
            <w:r>
              <w:rPr>
                <w:rStyle w:val="74"/>
                <w:rFonts w:hint="default"/>
                <w:highlight w:val="none"/>
                <w:lang w:bidi="ar"/>
              </w:rPr>
              <w:t>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74"/>
                <w:rFonts w:hint="default"/>
                <w:highlight w:val="none"/>
                <w:lang w:bidi="ar"/>
              </w:rPr>
              <w:t xml:space="preserve"> 同期用药患者总数指单位时间内</w:t>
            </w:r>
            <w:r>
              <w:rPr>
                <w:rStyle w:val="73"/>
                <w:rFonts w:hint="default"/>
                <w:highlight w:val="none"/>
                <w:lang w:bidi="ar"/>
              </w:rPr>
              <w:t>门诊、急诊和住院患者用药</w:t>
            </w:r>
            <w:r>
              <w:rPr>
                <w:rStyle w:val="74"/>
                <w:rFonts w:hint="default"/>
                <w:highlight w:val="none"/>
                <w:lang w:bidi="ar"/>
              </w:rPr>
              <w:t>人数总和。</w:t>
            </w:r>
          </w:p>
        </w:tc>
      </w:tr>
      <w:tr>
        <w:tblPrEx>
          <w:tblCellMar>
            <w:top w:w="0" w:type="dxa"/>
            <w:left w:w="108" w:type="dxa"/>
            <w:bottom w:w="0" w:type="dxa"/>
            <w:right w:w="108" w:type="dxa"/>
          </w:tblCellMar>
        </w:tblPrEx>
        <w:trPr>
          <w:trHeight w:val="1395"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73</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指标11：住院患者抗菌药物使用情况，住院患者抗菌药物使用率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反映医疗机构住院患者抗菌药物使用情况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74"/>
                <w:rFonts w:hint="default"/>
                <w:highlight w:val="none"/>
                <w:lang w:bidi="ar"/>
              </w:rPr>
              <w:t>住院患者抗菌药物使用率</w:t>
            </w:r>
            <w:r>
              <w:rPr>
                <w:rStyle w:val="77"/>
                <w:highlight w:val="none"/>
                <w:lang w:bidi="ar"/>
              </w:rPr>
              <w:t>=</w:t>
            </w:r>
            <w:r>
              <w:rPr>
                <w:rStyle w:val="74"/>
                <w:rFonts w:hint="default"/>
                <w:highlight w:val="none"/>
                <w:lang w:bidi="ar"/>
              </w:rPr>
              <w:t>住院患者使用抗菌药物人数÷同期医疗机构住院患者总数</w:t>
            </w:r>
            <w:r>
              <w:rPr>
                <w:rStyle w:val="75"/>
                <w:highlight w:val="none"/>
                <w:lang w:bidi="ar"/>
              </w:rPr>
              <w:t>×</w:t>
            </w:r>
            <w:r>
              <w:rPr>
                <w:rStyle w:val="74"/>
                <w:rFonts w:hint="default"/>
                <w:highlight w:val="none"/>
                <w:lang w:bidi="ar"/>
              </w:rPr>
              <w:t>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74"/>
                <w:rFonts w:hint="default"/>
                <w:highlight w:val="none"/>
                <w:lang w:bidi="ar"/>
              </w:rPr>
              <w:t>住院患者使用抗菌药物人数和住院患者总数均以</w:t>
            </w:r>
            <w:r>
              <w:rPr>
                <w:rStyle w:val="73"/>
                <w:rFonts w:hint="default"/>
                <w:highlight w:val="none"/>
                <w:lang w:bidi="ar"/>
              </w:rPr>
              <w:t>出院患者的人数</w:t>
            </w:r>
            <w:r>
              <w:rPr>
                <w:rStyle w:val="74"/>
                <w:rFonts w:hint="default"/>
                <w:highlight w:val="none"/>
                <w:lang w:bidi="ar"/>
              </w:rPr>
              <w:t>计算</w:t>
            </w:r>
          </w:p>
        </w:tc>
      </w:tr>
      <w:tr>
        <w:tblPrEx>
          <w:tblCellMar>
            <w:top w:w="0" w:type="dxa"/>
            <w:left w:w="108" w:type="dxa"/>
            <w:bottom w:w="0" w:type="dxa"/>
            <w:right w:w="108" w:type="dxa"/>
          </w:tblCellMar>
        </w:tblPrEx>
        <w:trPr>
          <w:trHeight w:val="1425"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74</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指标11：住院患者抗菌药物使用情况，住院患者抗菌药物使用强度</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反映医疗机构住院患者抗菌药物的使用情况。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74"/>
                <w:rFonts w:hint="default"/>
                <w:highlight w:val="none"/>
                <w:lang w:bidi="ar"/>
              </w:rPr>
              <w:t>住院患者抗菌药物使用强度</w:t>
            </w:r>
            <w:r>
              <w:rPr>
                <w:rStyle w:val="77"/>
                <w:highlight w:val="none"/>
                <w:lang w:bidi="ar"/>
              </w:rPr>
              <w:t>=</w:t>
            </w:r>
            <w:r>
              <w:rPr>
                <w:rStyle w:val="74"/>
                <w:rFonts w:hint="default"/>
                <w:highlight w:val="none"/>
                <w:lang w:bidi="ar"/>
              </w:rPr>
              <w:t>住院患者抗菌药物使用量（累计</w:t>
            </w:r>
            <w:r>
              <w:rPr>
                <w:rStyle w:val="77"/>
                <w:highlight w:val="none"/>
                <w:lang w:bidi="ar"/>
              </w:rPr>
              <w:t>DDD</w:t>
            </w:r>
            <w:r>
              <w:rPr>
                <w:rStyle w:val="74"/>
                <w:rFonts w:hint="default"/>
                <w:highlight w:val="none"/>
                <w:lang w:bidi="ar"/>
              </w:rPr>
              <w:t>数）÷同期住院患者床日数</w:t>
            </w:r>
            <w:r>
              <w:rPr>
                <w:rStyle w:val="75"/>
                <w:highlight w:val="none"/>
                <w:lang w:bidi="ar"/>
              </w:rPr>
              <w:t>×</w:t>
            </w:r>
            <w:r>
              <w:rPr>
                <w:rStyle w:val="74"/>
                <w:rFonts w:hint="default"/>
                <w:highlight w:val="none"/>
                <w:lang w:bidi="ar"/>
              </w:rPr>
              <w:t>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74"/>
                <w:rFonts w:hint="default"/>
                <w:highlight w:val="none"/>
                <w:lang w:bidi="ar"/>
              </w:rPr>
              <w:t>住院患者床日数=平均住院天数</w:t>
            </w:r>
            <w:r>
              <w:rPr>
                <w:rStyle w:val="75"/>
                <w:highlight w:val="none"/>
                <w:lang w:bidi="ar"/>
              </w:rPr>
              <w:t>×</w:t>
            </w:r>
            <w:r>
              <w:rPr>
                <w:rStyle w:val="74"/>
                <w:rFonts w:hint="default"/>
                <w:highlight w:val="none"/>
                <w:lang w:bidi="ar"/>
              </w:rPr>
              <w:t>同期出院患者总数。</w:t>
            </w:r>
          </w:p>
        </w:tc>
      </w:tr>
      <w:tr>
        <w:tblPrEx>
          <w:tblCellMar>
            <w:top w:w="0" w:type="dxa"/>
            <w:left w:w="108" w:type="dxa"/>
            <w:bottom w:w="0" w:type="dxa"/>
            <w:right w:w="108" w:type="dxa"/>
          </w:tblCellMar>
        </w:tblPrEx>
        <w:trPr>
          <w:trHeight w:val="2235"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75</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指标11：住院患者抗菌药物使用情况，住院患者特殊使用级抗菌药物使用量占比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反映医疗机构特殊使用级抗菌药物的使用情况。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74"/>
                <w:rFonts w:hint="default"/>
                <w:highlight w:val="none"/>
                <w:lang w:bidi="ar"/>
              </w:rPr>
              <w:t>住院患者特殊使用级抗菌药物使用量占比</w:t>
            </w:r>
            <w:r>
              <w:rPr>
                <w:rStyle w:val="77"/>
                <w:highlight w:val="none"/>
                <w:lang w:bidi="ar"/>
              </w:rPr>
              <w:t>=</w:t>
            </w:r>
            <w:r>
              <w:rPr>
                <w:rStyle w:val="74"/>
                <w:rFonts w:hint="default"/>
                <w:highlight w:val="none"/>
                <w:lang w:bidi="ar"/>
              </w:rPr>
              <w:t>住院患者特殊使用级抗菌药物使用量（累计DDD数）÷同期住院患者抗菌药物使用量（累计</w:t>
            </w:r>
            <w:r>
              <w:rPr>
                <w:rStyle w:val="77"/>
                <w:highlight w:val="none"/>
                <w:lang w:bidi="ar"/>
              </w:rPr>
              <w:t>DDD</w:t>
            </w:r>
            <w:r>
              <w:rPr>
                <w:rStyle w:val="74"/>
                <w:rFonts w:hint="default"/>
                <w:highlight w:val="none"/>
                <w:lang w:bidi="ar"/>
              </w:rPr>
              <w:t>数）</w:t>
            </w:r>
            <w:r>
              <w:rPr>
                <w:rStyle w:val="75"/>
                <w:highlight w:val="none"/>
                <w:lang w:bidi="ar"/>
              </w:rPr>
              <w:t>×</w:t>
            </w:r>
            <w:r>
              <w:rPr>
                <w:rStyle w:val="74"/>
                <w:rFonts w:hint="default"/>
                <w:highlight w:val="none"/>
                <w:lang w:bidi="ar"/>
              </w:rPr>
              <w:t>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1725"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76</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74"/>
                <w:rFonts w:hint="default"/>
                <w:highlight w:val="none"/>
                <w:lang w:bidi="ar"/>
              </w:rPr>
              <w:t>指标</w:t>
            </w:r>
            <w:r>
              <w:rPr>
                <w:rStyle w:val="78"/>
                <w:highlight w:val="none"/>
                <w:lang w:bidi="ar"/>
              </w:rPr>
              <w:t>11</w:t>
            </w:r>
            <w:r>
              <w:rPr>
                <w:rStyle w:val="74"/>
                <w:rFonts w:hint="default"/>
                <w:highlight w:val="none"/>
                <w:lang w:bidi="ar"/>
              </w:rPr>
              <w:t>：住院患者抗菌药物使用情况，</w:t>
            </w:r>
            <w:r>
              <w:rPr>
                <w:rStyle w:val="78"/>
                <w:highlight w:val="none"/>
                <w:lang w:bidi="ar"/>
              </w:rPr>
              <w:t xml:space="preserve"> </w:t>
            </w:r>
            <w:r>
              <w:rPr>
                <w:rStyle w:val="77"/>
                <w:highlight w:val="none"/>
                <w:lang w:bidi="ar"/>
              </w:rPr>
              <w:t>I</w:t>
            </w:r>
            <w:r>
              <w:rPr>
                <w:rStyle w:val="74"/>
                <w:rFonts w:hint="default"/>
                <w:highlight w:val="none"/>
                <w:lang w:bidi="ar"/>
              </w:rPr>
              <w:t>类切口手术抗菌药物预防使用率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反映医疗机构抗菌药物预防用药情况。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Arial" w:hAnsi="Arial" w:cs="Arial"/>
                <w:color w:val="000000"/>
                <w:sz w:val="22"/>
                <w:szCs w:val="22"/>
                <w:highlight w:val="none"/>
              </w:rPr>
            </w:pPr>
            <w:r>
              <w:rPr>
                <w:rStyle w:val="78"/>
                <w:highlight w:val="none"/>
                <w:lang w:bidi="ar"/>
              </w:rPr>
              <w:t xml:space="preserve"> </w:t>
            </w:r>
            <w:r>
              <w:rPr>
                <w:rStyle w:val="77"/>
                <w:highlight w:val="none"/>
                <w:lang w:bidi="ar"/>
              </w:rPr>
              <w:t>I</w:t>
            </w:r>
            <w:r>
              <w:rPr>
                <w:rStyle w:val="79"/>
                <w:rFonts w:hint="default"/>
                <w:highlight w:val="none"/>
                <w:lang w:bidi="ar"/>
              </w:rPr>
              <w:t>类切口手术抗菌药物预防使用率</w:t>
            </w:r>
            <w:r>
              <w:rPr>
                <w:rStyle w:val="77"/>
                <w:highlight w:val="none"/>
                <w:lang w:bidi="ar"/>
              </w:rPr>
              <w:t>=I</w:t>
            </w:r>
            <w:r>
              <w:rPr>
                <w:rStyle w:val="79"/>
                <w:rFonts w:hint="default"/>
                <w:highlight w:val="none"/>
                <w:lang w:bidi="ar"/>
              </w:rPr>
              <w:t>类切口手术预防使用抗菌药物的患者数</w:t>
            </w:r>
            <w:r>
              <w:rPr>
                <w:rStyle w:val="78"/>
                <w:highlight w:val="none"/>
                <w:lang w:bidi="ar"/>
              </w:rPr>
              <w:t>÷</w:t>
            </w:r>
            <w:r>
              <w:rPr>
                <w:rStyle w:val="79"/>
                <w:rFonts w:hint="default"/>
                <w:highlight w:val="none"/>
                <w:lang w:bidi="ar"/>
              </w:rPr>
              <w:t>同期</w:t>
            </w:r>
            <w:r>
              <w:rPr>
                <w:rStyle w:val="77"/>
                <w:highlight w:val="none"/>
                <w:lang w:bidi="ar"/>
              </w:rPr>
              <w:t>I</w:t>
            </w:r>
            <w:r>
              <w:rPr>
                <w:rStyle w:val="79"/>
                <w:rFonts w:hint="default"/>
                <w:highlight w:val="none"/>
                <w:lang w:bidi="ar"/>
              </w:rPr>
              <w:t>类切口手术患者总数</w:t>
            </w:r>
            <w:r>
              <w:rPr>
                <w:rStyle w:val="78"/>
                <w:highlight w:val="none"/>
                <w:lang w:bidi="ar"/>
              </w:rPr>
              <w:t>×</w:t>
            </w:r>
            <w:r>
              <w:rPr>
                <w:rStyle w:val="79"/>
                <w:rFonts w:hint="default"/>
                <w:highlight w:val="none"/>
                <w:lang w:bidi="ar"/>
              </w:rPr>
              <w:t>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r>
      <w:tr>
        <w:tblPrEx>
          <w:tblCellMar>
            <w:top w:w="0" w:type="dxa"/>
            <w:left w:w="108" w:type="dxa"/>
            <w:bottom w:w="0" w:type="dxa"/>
            <w:right w:w="108" w:type="dxa"/>
          </w:tblCellMar>
        </w:tblPrEx>
        <w:trPr>
          <w:trHeight w:val="45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77</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指标12：住院患者静脉输液使用率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反映医疗机构住院患者静脉输液的使用情况。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住院患者静脉输液使用率=使用静脉输液的住院患者数÷同期住院患者总数×100%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74"/>
                <w:rFonts w:hint="default"/>
                <w:highlight w:val="none"/>
                <w:lang w:bidi="ar"/>
              </w:rPr>
              <w:t>（1）静脉输液包括静脉滴注和静脉推注。疫苗、溶媒、局麻、封闭、结膜下、肌肉、皮下、球后注射药、皮试液等不列入静脉输液的统计范围。</w:t>
            </w:r>
            <w:r>
              <w:rPr>
                <w:rStyle w:val="74"/>
                <w:rFonts w:hint="default"/>
                <w:highlight w:val="none"/>
                <w:lang w:bidi="ar"/>
              </w:rPr>
              <w:br w:type="textWrapping"/>
            </w:r>
            <w:r>
              <w:rPr>
                <w:rStyle w:val="74"/>
                <w:rFonts w:hint="default"/>
                <w:highlight w:val="none"/>
                <w:lang w:bidi="ar"/>
              </w:rPr>
              <w:t xml:space="preserve">（2） </w:t>
            </w:r>
            <w:r>
              <w:rPr>
                <w:rStyle w:val="68"/>
                <w:rFonts w:hint="default"/>
                <w:highlight w:val="none"/>
                <w:lang w:bidi="ar"/>
              </w:rPr>
              <w:t>同一患者使用多种静脉输注药物（含中药注射剂）, 记为1例。</w:t>
            </w:r>
            <w:r>
              <w:rPr>
                <w:rStyle w:val="74"/>
                <w:rFonts w:hint="default"/>
                <w:highlight w:val="none"/>
                <w:lang w:bidi="ar"/>
              </w:rPr>
              <w:br w:type="textWrapping"/>
            </w:r>
            <w:r>
              <w:rPr>
                <w:rStyle w:val="74"/>
                <w:rFonts w:hint="default"/>
                <w:highlight w:val="none"/>
                <w:lang w:bidi="ar"/>
              </w:rPr>
              <w:t>(3） 使用静脉输液的住院患者数和住院患者总数均以</w:t>
            </w:r>
            <w:r>
              <w:rPr>
                <w:rStyle w:val="68"/>
                <w:rFonts w:hint="default"/>
                <w:highlight w:val="none"/>
                <w:lang w:bidi="ar"/>
              </w:rPr>
              <w:t>出院患者</w:t>
            </w:r>
            <w:r>
              <w:rPr>
                <w:rStyle w:val="74"/>
                <w:rFonts w:hint="default"/>
                <w:highlight w:val="none"/>
                <w:lang w:bidi="ar"/>
              </w:rPr>
              <w:t>的人数计算。</w:t>
            </w:r>
          </w:p>
        </w:tc>
      </w:tr>
      <w:tr>
        <w:tblPrEx>
          <w:tblCellMar>
            <w:top w:w="0" w:type="dxa"/>
            <w:left w:w="108" w:type="dxa"/>
            <w:bottom w:w="0" w:type="dxa"/>
            <w:right w:w="108" w:type="dxa"/>
          </w:tblCellMar>
        </w:tblPrEx>
        <w:trPr>
          <w:trHeight w:val="216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78</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指标13：住院患者中药注射剂静脉输液使用率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反映医疗机构住院患者中药注射剂静脉输液使用情况。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 xml:space="preserve">                     使用中药注射剂静脉输液</w:t>
            </w:r>
            <w:r>
              <w:rPr>
                <w:rStyle w:val="67"/>
                <w:rFonts w:hint="default"/>
                <w:highlight w:val="none"/>
                <w:lang w:bidi="ar"/>
              </w:rPr>
              <w:br w:type="textWrapping"/>
            </w:r>
            <w:r>
              <w:rPr>
                <w:rStyle w:val="67"/>
                <w:rFonts w:hint="default"/>
                <w:highlight w:val="none"/>
                <w:lang w:bidi="ar"/>
              </w:rPr>
              <w:t xml:space="preserve">住院患者中药注射剂 =    </w:t>
            </w:r>
            <w:r>
              <w:rPr>
                <w:rStyle w:val="72"/>
                <w:rFonts w:hint="default"/>
                <w:highlight w:val="none"/>
                <w:lang w:bidi="ar"/>
              </w:rPr>
              <w:t xml:space="preserve">   住院患者数   </w:t>
            </w:r>
            <w:r>
              <w:rPr>
                <w:rStyle w:val="67"/>
                <w:rFonts w:hint="default"/>
                <w:highlight w:val="none"/>
                <w:lang w:bidi="ar"/>
              </w:rPr>
              <w:t xml:space="preserve">    X 100%</w:t>
            </w:r>
            <w:r>
              <w:rPr>
                <w:rStyle w:val="67"/>
                <w:rFonts w:hint="default"/>
                <w:highlight w:val="none"/>
                <w:lang w:bidi="ar"/>
              </w:rPr>
              <w:br w:type="textWrapping"/>
            </w:r>
            <w:r>
              <w:rPr>
                <w:rStyle w:val="67"/>
                <w:rFonts w:hint="default"/>
                <w:highlight w:val="none"/>
                <w:lang w:bidi="ar"/>
              </w:rPr>
              <w:t xml:space="preserve">    静脉输液使用率          同期住院患者总数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(1)中药注射剂指批准文号为国药准字</w:t>
            </w:r>
            <w:r>
              <w:rPr>
                <w:rStyle w:val="68"/>
                <w:rFonts w:hint="default"/>
                <w:highlight w:val="none"/>
                <w:lang w:bidi="ar"/>
              </w:rPr>
              <w:t>Z</w:t>
            </w:r>
            <w:r>
              <w:rPr>
                <w:rStyle w:val="67"/>
                <w:rFonts w:hint="default"/>
                <w:highlight w:val="none"/>
                <w:lang w:bidi="ar"/>
              </w:rPr>
              <w:t>开头的注射剂。</w:t>
            </w:r>
            <w:r>
              <w:rPr>
                <w:rStyle w:val="67"/>
                <w:rFonts w:hint="default"/>
                <w:highlight w:val="none"/>
                <w:lang w:bidi="ar"/>
              </w:rPr>
              <w:br w:type="textWrapping"/>
            </w:r>
            <w:r>
              <w:rPr>
                <w:rStyle w:val="67"/>
                <w:rFonts w:hint="default"/>
                <w:highlight w:val="none"/>
                <w:lang w:bidi="ar"/>
              </w:rPr>
              <w:t>(2)使用中药注射剂静脉输液住院患者数和住院患者总数均以</w:t>
            </w:r>
            <w:r>
              <w:rPr>
                <w:rStyle w:val="68"/>
                <w:rFonts w:hint="default"/>
                <w:highlight w:val="none"/>
                <w:lang w:bidi="ar"/>
              </w:rPr>
              <w:t>出院患者数</w:t>
            </w:r>
            <w:r>
              <w:rPr>
                <w:rStyle w:val="67"/>
                <w:rFonts w:hint="default"/>
                <w:highlight w:val="none"/>
                <w:lang w:bidi="ar"/>
              </w:rPr>
              <w:t>计算。</w:t>
            </w:r>
          </w:p>
        </w:tc>
      </w:tr>
      <w:tr>
        <w:tblPrEx>
          <w:tblCellMar>
            <w:top w:w="0" w:type="dxa"/>
            <w:left w:w="108" w:type="dxa"/>
            <w:bottom w:w="0" w:type="dxa"/>
            <w:right w:w="108" w:type="dxa"/>
          </w:tblCellMar>
        </w:tblPrEx>
        <w:trPr>
          <w:trHeight w:val="243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79</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指标14：急诊患者糖皮质激素静脉输液使用率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反映医疗机构急诊患者静脉使用糖皮质激素情况。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急诊患者糖皮质激素   =    急诊患者静脉使用</w:t>
            </w:r>
            <w:r>
              <w:rPr>
                <w:rStyle w:val="67"/>
                <w:rFonts w:hint="default"/>
                <w:highlight w:val="none"/>
                <w:lang w:bidi="ar"/>
              </w:rPr>
              <w:br w:type="textWrapping"/>
            </w:r>
            <w:r>
              <w:rPr>
                <w:rStyle w:val="67"/>
                <w:rFonts w:hint="default"/>
                <w:highlight w:val="none"/>
                <w:lang w:bidi="ar"/>
              </w:rPr>
              <w:t xml:space="preserve">  静脉输液使用率        </w:t>
            </w:r>
            <w:r>
              <w:rPr>
                <w:rStyle w:val="72"/>
                <w:rFonts w:hint="default"/>
                <w:highlight w:val="none"/>
                <w:lang w:bidi="ar"/>
              </w:rPr>
              <w:t xml:space="preserve">   糖皮质激素人数  </w:t>
            </w:r>
            <w:r>
              <w:rPr>
                <w:rStyle w:val="67"/>
                <w:rFonts w:hint="default"/>
                <w:highlight w:val="none"/>
                <w:lang w:bidi="ar"/>
              </w:rPr>
              <w:t xml:space="preserve">   X 100%</w:t>
            </w:r>
            <w:r>
              <w:rPr>
                <w:rStyle w:val="67"/>
                <w:rFonts w:hint="default"/>
                <w:highlight w:val="none"/>
                <w:lang w:bidi="ar"/>
              </w:rPr>
              <w:br w:type="textWrapping"/>
            </w:r>
            <w:r>
              <w:rPr>
                <w:rStyle w:val="67"/>
                <w:rFonts w:hint="default"/>
                <w:highlight w:val="none"/>
                <w:lang w:bidi="ar"/>
              </w:rPr>
              <w:t xml:space="preserve">                          同期急诊患者总数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对不能区分门急诊的基层医疗机构按门诊患者计算</w:t>
            </w:r>
          </w:p>
        </w:tc>
      </w:tr>
      <w:tr>
        <w:tblPrEx>
          <w:tblCellMar>
            <w:top w:w="0" w:type="dxa"/>
            <w:left w:w="108" w:type="dxa"/>
            <w:bottom w:w="0" w:type="dxa"/>
            <w:right w:w="108" w:type="dxa"/>
          </w:tblCellMar>
        </w:tblPrEx>
        <w:trPr>
          <w:trHeight w:val="432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80</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指标15：住院患者质子泵抑制药注射剂静脉使用率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反映医疗机构质子泵抑制药注射剂的使用情况。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 xml:space="preserve"> 住院患者质子泵     =  静脉使用质子泵抑制药注射剂的</w:t>
            </w:r>
            <w:r>
              <w:rPr>
                <w:rStyle w:val="67"/>
                <w:rFonts w:hint="default"/>
                <w:highlight w:val="none"/>
                <w:lang w:bidi="ar"/>
              </w:rPr>
              <w:br w:type="textWrapping"/>
            </w:r>
            <w:r>
              <w:rPr>
                <w:rStyle w:val="67"/>
                <w:rFonts w:hint="default"/>
                <w:highlight w:val="none"/>
                <w:lang w:bidi="ar"/>
              </w:rPr>
              <w:t xml:space="preserve">抑制药注射剂静脉使用率  </w:t>
            </w:r>
            <w:r>
              <w:rPr>
                <w:rStyle w:val="72"/>
                <w:rFonts w:hint="default"/>
                <w:highlight w:val="none"/>
                <w:lang w:bidi="ar"/>
              </w:rPr>
              <w:t xml:space="preserve">     住院患者数        </w:t>
            </w:r>
            <w:r>
              <w:rPr>
                <w:rStyle w:val="67"/>
                <w:rFonts w:hint="default"/>
                <w:highlight w:val="none"/>
                <w:lang w:bidi="ar"/>
              </w:rPr>
              <w:t xml:space="preserve">   X 100%</w:t>
            </w:r>
            <w:r>
              <w:rPr>
                <w:rStyle w:val="67"/>
                <w:rFonts w:hint="default"/>
                <w:highlight w:val="none"/>
                <w:lang w:bidi="ar"/>
              </w:rPr>
              <w:br w:type="textWrapping"/>
            </w:r>
            <w:r>
              <w:rPr>
                <w:rStyle w:val="67"/>
                <w:rFonts w:hint="default"/>
                <w:highlight w:val="none"/>
                <w:lang w:bidi="ar"/>
              </w:rPr>
              <w:t xml:space="preserve">                           同期住院患者总数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Style w:val="67"/>
                <w:rFonts w:hint="default"/>
                <w:highlight w:val="none"/>
                <w:lang w:bidi="ar"/>
              </w:rPr>
              <w:t>(1)质子泵抑制药包括奥美拉唑、艾司奥美拉唑、 泮托拉唑、兰索拉唑、雷贝拉唑、艾普拉唑、埃索美拉唑。</w:t>
            </w:r>
            <w:r>
              <w:rPr>
                <w:rStyle w:val="67"/>
                <w:rFonts w:hint="default"/>
                <w:highlight w:val="none"/>
                <w:lang w:bidi="ar"/>
              </w:rPr>
              <w:br w:type="textWrapping"/>
            </w:r>
            <w:r>
              <w:rPr>
                <w:rStyle w:val="67"/>
                <w:rFonts w:hint="default"/>
                <w:highlight w:val="none"/>
                <w:lang w:bidi="ar"/>
              </w:rPr>
              <w:t>(2)静脉使用质子泵抑制药注射剂的住院患者数和住院患者总数均以</w:t>
            </w:r>
            <w:r>
              <w:rPr>
                <w:rStyle w:val="68"/>
                <w:rFonts w:hint="default"/>
                <w:highlight w:val="none"/>
                <w:lang w:bidi="ar"/>
              </w:rPr>
              <w:t>出院患者</w:t>
            </w:r>
            <w:r>
              <w:rPr>
                <w:rStyle w:val="67"/>
                <w:rFonts w:hint="default"/>
                <w:highlight w:val="none"/>
                <w:lang w:bidi="ar"/>
              </w:rPr>
              <w:t>的人数计算。</w:t>
            </w:r>
            <w:r>
              <w:rPr>
                <w:rStyle w:val="67"/>
                <w:rFonts w:hint="default"/>
                <w:highlight w:val="none"/>
                <w:lang w:bidi="ar"/>
              </w:rPr>
              <w:br w:type="textWrapping"/>
            </w:r>
            <w:r>
              <w:rPr>
                <w:rStyle w:val="68"/>
                <w:rFonts w:hint="default"/>
                <w:highlight w:val="none"/>
                <w:lang w:bidi="ar"/>
              </w:rPr>
              <w:t>统计全院（以出院科室统计）、统计科室（以使用科室统计）；</w:t>
            </w:r>
          </w:p>
        </w:tc>
      </w:tr>
      <w:tr>
        <w:tblPrEx>
          <w:tblCellMar>
            <w:top w:w="0" w:type="dxa"/>
            <w:left w:w="108" w:type="dxa"/>
            <w:bottom w:w="0" w:type="dxa"/>
            <w:right w:w="108" w:type="dxa"/>
          </w:tblCellMar>
        </w:tblPrEx>
        <w:trPr>
          <w:trHeight w:val="81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81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成员单位情况调查</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了解抗菌药物临床应用监测网成员单位情况：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1.所属省、所属市、所属县、医院编码、医院名称、医院等级、医院类别、医院性质、医保定点（是/否）、实际开放床位数、平均床位使用率；</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2.药事管理与药物治疗学委员会情况：建立/未建立、负责人职务、委员会人数；</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3.医院感染管理部门情况：建立/未建立、负责人职务/职称；</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4.抗菌药物管理组情况：建立/未建立、负责人职务/职称；管理组成员包括：医务管理人员：__名；医院感染管理人员：__名；微生物专业人员：__名；抗感染专业临床药师__名；临床感染性疾病医师：__名；护士：__名；</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5.抗菌药物临床应用指导原则实施办法：制定/未制定；抗菌药物应用分级管理：实行/未实行；微生物检测与药敏试验：有/没有；本院细菌耐药情况通报：有/无；通报时间：一月/三月/半年/一年;抗菌药物TDM监测：有/没有；在医院基本药品目录中：抗菌药物__品种；抗菌药物__品规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每年报一次，9月上报</w:t>
            </w:r>
          </w:p>
        </w:tc>
      </w:tr>
      <w:tr>
        <w:tblPrEx>
          <w:tblCellMar>
            <w:top w:w="0" w:type="dxa"/>
            <w:left w:w="108" w:type="dxa"/>
            <w:bottom w:w="0" w:type="dxa"/>
            <w:right w:w="108" w:type="dxa"/>
          </w:tblCellMar>
        </w:tblPrEx>
        <w:trPr>
          <w:trHeight w:val="45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82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抗菌药物消耗金额调查</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了解抗菌药物消耗金额调查情况：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年医院总收入（金额）__万元（不含政府拨款）、政府拨款（金额）__万元、年药品总收入（金额）__万元、药品进销差价收入（金额）__万元、西药全年使用金额（零售价）：__万元（其中门诊药房：__万元、住院药房：__万元）、、抗菌药物全年使用金额（零售价）：__万元（其中门诊药房：__万元、住院药房：__万元）</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每年报一次，9月上报</w:t>
            </w:r>
          </w:p>
        </w:tc>
      </w:tr>
      <w:tr>
        <w:tblPrEx>
          <w:tblCellMar>
            <w:top w:w="0" w:type="dxa"/>
            <w:left w:w="108" w:type="dxa"/>
            <w:bottom w:w="0" w:type="dxa"/>
            <w:right w:w="108" w:type="dxa"/>
          </w:tblCellMar>
        </w:tblPrEx>
        <w:trPr>
          <w:trHeight w:val="18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83</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门诊处方</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了解指定时间段里面，门诊处方总量、单张处方内容：</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患者姓名、年龄、诊断、处方金额、药品品种数、药品名称、用法用量、有无抗菌药、抗菌药金额、使用基本药物目录品种数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每月上报</w:t>
            </w:r>
          </w:p>
        </w:tc>
      </w:tr>
      <w:tr>
        <w:tblPrEx>
          <w:tblCellMar>
            <w:top w:w="0" w:type="dxa"/>
            <w:left w:w="108" w:type="dxa"/>
            <w:bottom w:w="0" w:type="dxa"/>
            <w:right w:w="108" w:type="dxa"/>
          </w:tblCellMar>
        </w:tblPrEx>
        <w:trPr>
          <w:trHeight w:val="18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84</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抗菌药物消耗情况</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了解指定时间内，季度住院病人的抗菌药物使用情况/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（收治患者人天数:该季度出院人数__ *同期平均住院天数：__ ）</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抗菌药物表：通用名/剂型/规格/单位/数量/总费用）</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季度报一次：3/6/9/12</w:t>
            </w:r>
          </w:p>
        </w:tc>
      </w:tr>
      <w:tr>
        <w:tblPrEx>
          <w:tblCellMar>
            <w:top w:w="0" w:type="dxa"/>
            <w:left w:w="108" w:type="dxa"/>
            <w:bottom w:w="0" w:type="dxa"/>
            <w:right w:w="108" w:type="dxa"/>
          </w:tblCellMar>
        </w:tblPrEx>
        <w:trPr>
          <w:trHeight w:val="18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85</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急诊处方</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了解指定时间段里面，急诊处方总量、单张处方内容：</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患者姓名、患者年龄、诊断、处方金额、药品品种数、药品名称、用法用量、有无抗菌药、抗菌药金额、使用基本药物目录品种数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每月数据</w:t>
            </w:r>
          </w:p>
        </w:tc>
      </w:tr>
      <w:tr>
        <w:tblPrEx>
          <w:tblCellMar>
            <w:top w:w="0" w:type="dxa"/>
            <w:left w:w="108" w:type="dxa"/>
            <w:bottom w:w="0" w:type="dxa"/>
            <w:right w:w="108" w:type="dxa"/>
          </w:tblCellMar>
        </w:tblPrEx>
        <w:trPr>
          <w:trHeight w:val="81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86</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静脉用药调配中心工作量</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了解指定时间内,静脉用药调配中心的工作量情况：</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 xml:space="preserve">1.现承担输液加药调配床位 :     张  占医院总床位     张                       2..每位患者日均轮流用量(含不需调配的治疗性输液和静脉滴注给药中药注射液):    (袋/瓶)                                   </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 xml:space="preserve">3.本6个月加药调配输液总量:  __  (袋/瓶)                  </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 xml:space="preserve">4.本6个月发出治疗性输液总量:  __ (袋/瓶)          </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 xml:space="preserve">5.静脉滴注给药中药注射液: __    (袋/瓶)        </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 xml:space="preserve">6.每人(药学+护理)每日平均调配工作量 :   (袋/瓶)                               7.本6个月审核发现不适宜用药:   条   其中: 医师同意修改医嘱   条  %                     不同意修改(简述原因,请附原医嘱)   条   %                            </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 xml:space="preserve">8.不适宜用药医嘱分析:其中:适应证不符  例,用法用量不正确   例,溶媒不合适  例,基础输液不适宜  例；配伍禁忌__例；其他（简述）__例；                     9.本季度加药调配差错发生情况:   件,差错原因分析另附,加药调配差错发生率  %,占全部调配的  %                           </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 xml:space="preserve">10.新发现配伍禁忌:   例,应提供详细报告  </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 xml:space="preserve">11.其中输液使用情况:其中:中药注射剂名称         选择的基础输液名称         </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每年报2次：6/12月；每年7月10日和次年1月10日前填报上个半年数据</w:t>
            </w:r>
          </w:p>
        </w:tc>
      </w:tr>
      <w:tr>
        <w:tblPrEx>
          <w:tblCellMar>
            <w:top w:w="0" w:type="dxa"/>
            <w:left w:w="108" w:type="dxa"/>
            <w:bottom w:w="0" w:type="dxa"/>
            <w:right w:w="108" w:type="dxa"/>
          </w:tblCellMar>
        </w:tblPrEx>
        <w:trPr>
          <w:trHeight w:val="135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87</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药品销售情况</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阳光用药上报平台要求</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输出表格按日期、科室名称、科室代码、开具医生、药品名称、药品代码、规格、金额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要求按某时间段提取全院、门诊、住院、各临床科室及各临床科室医生数据</w:t>
            </w:r>
          </w:p>
        </w:tc>
      </w:tr>
      <w:tr>
        <w:tblPrEx>
          <w:tblCellMar>
            <w:top w:w="0" w:type="dxa"/>
            <w:left w:w="108" w:type="dxa"/>
            <w:bottom w:w="0" w:type="dxa"/>
            <w:right w:w="108" w:type="dxa"/>
          </w:tblCellMar>
        </w:tblPrEx>
        <w:trPr>
          <w:trHeight w:val="243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88</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全院用药结构</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阳光用药上报平台要求</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包括药品总收入、重点监控药品收入、谈判药品收入，其他政策免药比的药品收入、住院自费药物收入、抗菌药物收入、中成药收入、中药饮片收入、质子泵抑制剂收入、医疗总收入。</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要求按某时间段提取全院、门诊、住院</w:t>
            </w:r>
          </w:p>
        </w:tc>
      </w:tr>
      <w:tr>
        <w:tblPrEx>
          <w:tblCellMar>
            <w:top w:w="0" w:type="dxa"/>
            <w:left w:w="108" w:type="dxa"/>
            <w:bottom w:w="0" w:type="dxa"/>
            <w:right w:w="108" w:type="dxa"/>
          </w:tblCellMar>
        </w:tblPrEx>
        <w:trPr>
          <w:trHeight w:val="27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89</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各科室用药结构</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阳光用药上报平台要求</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包括临床科室名称、药品总收入、重点监控药品收入、谈判药品收入，其他政策免药比的药品收入、住院自费药物收入、抗菌药物收入、中成药收入、中药饮片收入、质子泵抑制剂收入、医疗总收入。</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要求按某时间段提取各临床科室门诊及住院数据</w:t>
            </w:r>
          </w:p>
        </w:tc>
      </w:tr>
      <w:tr>
        <w:tblPrEx>
          <w:tblCellMar>
            <w:top w:w="0" w:type="dxa"/>
            <w:left w:w="108" w:type="dxa"/>
            <w:bottom w:w="0" w:type="dxa"/>
            <w:right w:w="108" w:type="dxa"/>
          </w:tblCellMar>
        </w:tblPrEx>
        <w:trPr>
          <w:trHeight w:val="297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90</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药品使用金额排名</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阳光用药上报平台要求</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药品使用金额排名前六十的药品，每种药品使用前三科室及前三名医师（附科室）：导出表格为：排名、药品名称、药品代码、单价、规格、数量、使用金额、使用前三科室、使用前三名医师及所在科室</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要求按某时间段提取</w:t>
            </w:r>
          </w:p>
        </w:tc>
      </w:tr>
      <w:tr>
        <w:tblPrEx>
          <w:tblCellMar>
            <w:top w:w="0" w:type="dxa"/>
            <w:left w:w="108" w:type="dxa"/>
            <w:bottom w:w="0" w:type="dxa"/>
            <w:right w:w="108" w:type="dxa"/>
          </w:tblCellMar>
        </w:tblPrEx>
        <w:trPr>
          <w:trHeight w:val="243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91</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重点监控药物排名</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阳光用药上报平台要求</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重点监控药物前三科室及前三医生（附科室），导出表格为：辅助药品名称、药品代码、排名、单价、规格、数量、使用金额、使用前三科室、使用前三名医师及所在科室</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要求按某时间段提取，重点监控药物清单见附表</w:t>
            </w:r>
          </w:p>
        </w:tc>
      </w:tr>
      <w:tr>
        <w:tblPrEx>
          <w:tblCellMar>
            <w:top w:w="0" w:type="dxa"/>
            <w:left w:w="108" w:type="dxa"/>
            <w:bottom w:w="0" w:type="dxa"/>
            <w:right w:w="108" w:type="dxa"/>
          </w:tblCellMar>
        </w:tblPrEx>
        <w:trPr>
          <w:trHeight w:val="216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92</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省监控药品排名</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阳光用药上报平台要求</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省监控药品前三科室及前三医生，导出表格为：辅助药品名称、药品代码、排名、单价、规格、数量、使用金额、使用前三科室、使用前三名医师及所在科室</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要求按某时间段提取，省监控药物清单见附表</w:t>
            </w:r>
          </w:p>
        </w:tc>
      </w:tr>
      <w:tr>
        <w:tblPrEx>
          <w:tblCellMar>
            <w:top w:w="0" w:type="dxa"/>
            <w:left w:w="108" w:type="dxa"/>
            <w:bottom w:w="0" w:type="dxa"/>
            <w:right w:w="108" w:type="dxa"/>
          </w:tblCellMar>
        </w:tblPrEx>
        <w:trPr>
          <w:trHeight w:val="270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93</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抗菌药物金额排名</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阳光用药上报平台要求</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抗菌药物金额排名前十的药品，每种药品使用前三科室及前三名医师（附科室）；药品名称、药品代码、排名、单价、规格、数量、使用金额、使用前三科室、使用前三名医师及所在科室</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要求按某时间段提取</w:t>
            </w:r>
          </w:p>
        </w:tc>
      </w:tr>
      <w:tr>
        <w:tblPrEx>
          <w:tblCellMar>
            <w:top w:w="0" w:type="dxa"/>
            <w:left w:w="108" w:type="dxa"/>
            <w:bottom w:w="0" w:type="dxa"/>
            <w:right w:w="108" w:type="dxa"/>
          </w:tblCellMar>
        </w:tblPrEx>
        <w:trPr>
          <w:trHeight w:val="162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94</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门诊处方金额前100位排名</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阳光用药上报平台要求</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导出表格为：序号、处方流水号、开单科室、开单医生、药品名称、规格、剂量、用量、药品单价、处方金额</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要求按某时间段提取</w:t>
            </w:r>
          </w:p>
        </w:tc>
      </w:tr>
      <w:tr>
        <w:tblPrEx>
          <w:tblCellMar>
            <w:top w:w="0" w:type="dxa"/>
            <w:left w:w="108" w:type="dxa"/>
            <w:bottom w:w="0" w:type="dxa"/>
            <w:right w:w="108" w:type="dxa"/>
          </w:tblCellMar>
        </w:tblPrEx>
        <w:trPr>
          <w:trHeight w:val="54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95</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药品收入报表</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阳光用药上报平台要求</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导出表格为见附表10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要求按某时间段提取</w:t>
            </w:r>
          </w:p>
        </w:tc>
      </w:tr>
      <w:tr>
        <w:tblPrEx>
          <w:tblCellMar>
            <w:top w:w="0" w:type="dxa"/>
            <w:left w:w="108" w:type="dxa"/>
            <w:bottom w:w="0" w:type="dxa"/>
            <w:right w:w="108" w:type="dxa"/>
          </w:tblCellMar>
        </w:tblPrEx>
        <w:trPr>
          <w:trHeight w:val="108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96</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病原菌送检率</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抗菌药物治疗性使用前病原学送检人数/同期住院患者人数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1、医生开抗菌药物时，EMR系统会提示输入“预防”或“治疗”</w:t>
            </w:r>
          </w:p>
        </w:tc>
      </w:tr>
      <w:tr>
        <w:tblPrEx>
          <w:tblCellMar>
            <w:top w:w="0" w:type="dxa"/>
            <w:left w:w="108" w:type="dxa"/>
            <w:bottom w:w="0" w:type="dxa"/>
            <w:right w:w="108" w:type="dxa"/>
          </w:tblCellMar>
        </w:tblPrEx>
        <w:trPr>
          <w:trHeight w:val="18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97</w:t>
            </w:r>
          </w:p>
        </w:tc>
        <w:tc>
          <w:tcPr>
            <w:tcW w:w="1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药品占比</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FF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Style w:val="68"/>
                <w:rFonts w:hint="default"/>
                <w:highlight w:val="none"/>
                <w:lang w:bidi="ar"/>
              </w:rPr>
              <w:t xml:space="preserve">                     全院及各科室住院患者用药金额</w:t>
            </w:r>
            <w:r>
              <w:rPr>
                <w:rStyle w:val="68"/>
                <w:rFonts w:hint="default"/>
                <w:highlight w:val="none"/>
                <w:lang w:bidi="ar"/>
              </w:rPr>
              <w:br w:type="textWrapping"/>
            </w:r>
            <w:r>
              <w:rPr>
                <w:rStyle w:val="68"/>
                <w:rFonts w:hint="default"/>
                <w:highlight w:val="none"/>
                <w:lang w:bidi="ar"/>
              </w:rPr>
              <w:t xml:space="preserve">各科室住院药比 =    </w:t>
            </w:r>
            <w:r>
              <w:rPr>
                <w:rStyle w:val="80"/>
                <w:rFonts w:hint="default"/>
                <w:highlight w:val="none"/>
                <w:lang w:bidi="ar"/>
              </w:rPr>
              <w:t xml:space="preserve">                        </w:t>
            </w:r>
            <w:r>
              <w:rPr>
                <w:rStyle w:val="68"/>
                <w:rFonts w:hint="default"/>
                <w:highlight w:val="none"/>
                <w:lang w:bidi="ar"/>
              </w:rPr>
              <w:t xml:space="preserve">    X 100%</w:t>
            </w:r>
            <w:r>
              <w:rPr>
                <w:rStyle w:val="68"/>
                <w:rFonts w:hint="default"/>
                <w:highlight w:val="none"/>
                <w:lang w:bidi="ar"/>
              </w:rPr>
              <w:br w:type="textWrapping"/>
            </w:r>
            <w:r>
              <w:rPr>
                <w:rStyle w:val="68"/>
                <w:rFonts w:hint="default"/>
                <w:highlight w:val="none"/>
                <w:lang w:bidi="ar"/>
              </w:rPr>
              <w:t xml:space="preserve">                    各科室住院医疗收入</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要求按某时间段提取，可选择剔除某些药物</w:t>
            </w:r>
          </w:p>
        </w:tc>
      </w:tr>
      <w:tr>
        <w:tblPrEx>
          <w:tblCellMar>
            <w:top w:w="0" w:type="dxa"/>
            <w:left w:w="108" w:type="dxa"/>
            <w:bottom w:w="0" w:type="dxa"/>
            <w:right w:w="108" w:type="dxa"/>
          </w:tblCellMar>
        </w:tblPrEx>
        <w:trPr>
          <w:trHeight w:val="18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98</w:t>
            </w:r>
          </w:p>
        </w:tc>
        <w:tc>
          <w:tcPr>
            <w:tcW w:w="1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2"/>
                <w:szCs w:val="22"/>
                <w:highlight w:val="none"/>
              </w:rPr>
            </w:pP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FF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Style w:val="68"/>
                <w:rFonts w:hint="default"/>
                <w:highlight w:val="none"/>
                <w:lang w:bidi="ar"/>
              </w:rPr>
              <w:t xml:space="preserve">                     全院及各科室门诊患者用药金额</w:t>
            </w:r>
            <w:r>
              <w:rPr>
                <w:rStyle w:val="68"/>
                <w:rFonts w:hint="default"/>
                <w:highlight w:val="none"/>
                <w:lang w:bidi="ar"/>
              </w:rPr>
              <w:br w:type="textWrapping"/>
            </w:r>
            <w:r>
              <w:rPr>
                <w:rStyle w:val="68"/>
                <w:rFonts w:hint="default"/>
                <w:highlight w:val="none"/>
                <w:lang w:bidi="ar"/>
              </w:rPr>
              <w:t xml:space="preserve">各科室门诊药比 =    </w:t>
            </w:r>
            <w:r>
              <w:rPr>
                <w:rStyle w:val="80"/>
                <w:rFonts w:hint="default"/>
                <w:highlight w:val="none"/>
                <w:lang w:bidi="ar"/>
              </w:rPr>
              <w:t xml:space="preserve">                        </w:t>
            </w:r>
            <w:r>
              <w:rPr>
                <w:rStyle w:val="68"/>
                <w:rFonts w:hint="default"/>
                <w:highlight w:val="none"/>
                <w:lang w:bidi="ar"/>
              </w:rPr>
              <w:t xml:space="preserve">    X 100%</w:t>
            </w:r>
            <w:r>
              <w:rPr>
                <w:rStyle w:val="68"/>
                <w:rFonts w:hint="default"/>
                <w:highlight w:val="none"/>
                <w:lang w:bidi="ar"/>
              </w:rPr>
              <w:br w:type="textWrapping"/>
            </w:r>
            <w:r>
              <w:rPr>
                <w:rStyle w:val="68"/>
                <w:rFonts w:hint="default"/>
                <w:highlight w:val="none"/>
                <w:lang w:bidi="ar"/>
              </w:rPr>
              <w:t xml:space="preserve">                    各科室门诊医疗收入</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要求按某时间段提取，可选择剔除某些药物</w:t>
            </w:r>
          </w:p>
        </w:tc>
      </w:tr>
      <w:tr>
        <w:tblPrEx>
          <w:tblCellMar>
            <w:top w:w="0" w:type="dxa"/>
            <w:left w:w="108" w:type="dxa"/>
            <w:bottom w:w="0" w:type="dxa"/>
            <w:right w:w="108" w:type="dxa"/>
          </w:tblCellMar>
        </w:tblPrEx>
        <w:trPr>
          <w:trHeight w:val="18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99</w:t>
            </w:r>
          </w:p>
        </w:tc>
        <w:tc>
          <w:tcPr>
            <w:tcW w:w="1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2"/>
                <w:szCs w:val="22"/>
                <w:highlight w:val="none"/>
              </w:rPr>
            </w:pP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FF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Style w:val="68"/>
                <w:rFonts w:hint="default"/>
                <w:highlight w:val="none"/>
                <w:lang w:bidi="ar"/>
              </w:rPr>
              <w:t xml:space="preserve">                            全院及各科室用药总金额</w:t>
            </w:r>
            <w:r>
              <w:rPr>
                <w:rStyle w:val="68"/>
                <w:rFonts w:hint="default"/>
                <w:highlight w:val="none"/>
                <w:lang w:bidi="ar"/>
              </w:rPr>
              <w:br w:type="textWrapping"/>
            </w:r>
            <w:r>
              <w:rPr>
                <w:rStyle w:val="68"/>
                <w:rFonts w:hint="default"/>
                <w:highlight w:val="none"/>
                <w:lang w:bidi="ar"/>
              </w:rPr>
              <w:t xml:space="preserve">（门诊+住院）各科室药比 =  </w:t>
            </w:r>
            <w:r>
              <w:rPr>
                <w:rStyle w:val="80"/>
                <w:rFonts w:hint="default"/>
                <w:highlight w:val="none"/>
                <w:lang w:bidi="ar"/>
              </w:rPr>
              <w:t xml:space="preserve">                      </w:t>
            </w:r>
            <w:r>
              <w:rPr>
                <w:rStyle w:val="68"/>
                <w:rFonts w:hint="default"/>
                <w:highlight w:val="none"/>
                <w:lang w:bidi="ar"/>
              </w:rPr>
              <w:t>X 100%</w:t>
            </w:r>
            <w:r>
              <w:rPr>
                <w:rStyle w:val="68"/>
                <w:rFonts w:hint="default"/>
                <w:highlight w:val="none"/>
                <w:lang w:bidi="ar"/>
              </w:rPr>
              <w:br w:type="textWrapping"/>
            </w:r>
            <w:r>
              <w:rPr>
                <w:rStyle w:val="68"/>
                <w:rFonts w:hint="default"/>
                <w:highlight w:val="none"/>
                <w:lang w:bidi="ar"/>
              </w:rPr>
              <w:t xml:space="preserve">                            各科室医疗总收入</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要求按某时间段提取，可选择剔除某些药物</w:t>
            </w:r>
          </w:p>
        </w:tc>
      </w:tr>
      <w:tr>
        <w:tblPrEx>
          <w:tblCellMar>
            <w:top w:w="0" w:type="dxa"/>
            <w:left w:w="108" w:type="dxa"/>
            <w:bottom w:w="0" w:type="dxa"/>
            <w:right w:w="108" w:type="dxa"/>
          </w:tblCellMar>
        </w:tblPrEx>
        <w:trPr>
          <w:trHeight w:val="216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100</w:t>
            </w:r>
          </w:p>
        </w:tc>
        <w:tc>
          <w:tcPr>
            <w:tcW w:w="1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2"/>
                <w:szCs w:val="22"/>
                <w:highlight w:val="none"/>
              </w:rPr>
            </w:pP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FF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Style w:val="68"/>
                <w:rFonts w:hint="default"/>
                <w:highlight w:val="none"/>
                <w:lang w:bidi="ar"/>
              </w:rPr>
              <w:t xml:space="preserve">                                                各科室用药总金额</w:t>
            </w:r>
            <w:r>
              <w:rPr>
                <w:rStyle w:val="68"/>
                <w:rFonts w:hint="default"/>
                <w:highlight w:val="none"/>
                <w:lang w:bidi="ar"/>
              </w:rPr>
              <w:br w:type="textWrapping"/>
            </w:r>
            <w:r>
              <w:rPr>
                <w:rStyle w:val="68"/>
                <w:rFonts w:hint="default"/>
                <w:highlight w:val="none"/>
                <w:lang w:bidi="ar"/>
              </w:rPr>
              <w:t xml:space="preserve">（门诊+住院）各科室药比 （不含中药饮片、国谈药）=  </w:t>
            </w:r>
            <w:r>
              <w:rPr>
                <w:rStyle w:val="80"/>
                <w:rFonts w:hint="default"/>
                <w:highlight w:val="none"/>
                <w:lang w:bidi="ar"/>
              </w:rPr>
              <w:t xml:space="preserve">                      </w:t>
            </w:r>
            <w:r>
              <w:rPr>
                <w:rStyle w:val="68"/>
                <w:rFonts w:hint="default"/>
                <w:highlight w:val="none"/>
                <w:lang w:bidi="ar"/>
              </w:rPr>
              <w:t>X 100%</w:t>
            </w:r>
            <w:r>
              <w:rPr>
                <w:rStyle w:val="68"/>
                <w:rFonts w:hint="default"/>
                <w:highlight w:val="none"/>
                <w:lang w:bidi="ar"/>
              </w:rPr>
              <w:br w:type="textWrapping"/>
            </w:r>
            <w:r>
              <w:rPr>
                <w:rStyle w:val="68"/>
                <w:rFonts w:hint="default"/>
                <w:highlight w:val="none"/>
                <w:lang w:bidi="ar"/>
              </w:rPr>
              <w:t xml:space="preserve">                                                各科室医疗总收入</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要求按某时间段提取</w:t>
            </w:r>
          </w:p>
        </w:tc>
      </w:tr>
      <w:tr>
        <w:tblPrEx>
          <w:tblCellMar>
            <w:top w:w="0" w:type="dxa"/>
            <w:left w:w="108" w:type="dxa"/>
            <w:bottom w:w="0" w:type="dxa"/>
            <w:right w:w="108" w:type="dxa"/>
          </w:tblCellMar>
        </w:tblPrEx>
        <w:trPr>
          <w:trHeight w:val="162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101</w:t>
            </w:r>
          </w:p>
        </w:tc>
        <w:tc>
          <w:tcPr>
            <w:tcW w:w="1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2"/>
                <w:szCs w:val="22"/>
                <w:highlight w:val="none"/>
              </w:rPr>
            </w:pP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Style w:val="68"/>
                <w:rFonts w:hint="default"/>
                <w:highlight w:val="none"/>
                <w:lang w:bidi="ar"/>
              </w:rPr>
              <w:t xml:space="preserve">              药品收入</w:t>
            </w:r>
            <w:r>
              <w:rPr>
                <w:rStyle w:val="68"/>
                <w:rFonts w:hint="default"/>
                <w:highlight w:val="none"/>
                <w:lang w:bidi="ar"/>
              </w:rPr>
              <w:br w:type="textWrapping"/>
            </w:r>
            <w:r>
              <w:rPr>
                <w:rStyle w:val="68"/>
                <w:rFonts w:hint="default"/>
                <w:highlight w:val="none"/>
                <w:lang w:bidi="ar"/>
              </w:rPr>
              <w:t xml:space="preserve">全院药比 =  </w:t>
            </w:r>
            <w:r>
              <w:rPr>
                <w:rStyle w:val="81"/>
                <w:rFonts w:hint="default"/>
                <w:highlight w:val="none"/>
                <w:lang w:bidi="ar"/>
              </w:rPr>
              <w:t xml:space="preserve">                      </w:t>
            </w:r>
            <w:r>
              <w:rPr>
                <w:rStyle w:val="68"/>
                <w:rFonts w:hint="default"/>
                <w:highlight w:val="none"/>
                <w:lang w:bidi="ar"/>
              </w:rPr>
              <w:t>X 100%</w:t>
            </w:r>
            <w:r>
              <w:rPr>
                <w:rStyle w:val="68"/>
                <w:rFonts w:hint="default"/>
                <w:highlight w:val="none"/>
                <w:lang w:bidi="ar"/>
              </w:rPr>
              <w:br w:type="textWrapping"/>
            </w:r>
            <w:r>
              <w:rPr>
                <w:rStyle w:val="68"/>
                <w:rFonts w:hint="default"/>
                <w:highlight w:val="none"/>
                <w:lang w:bidi="ar"/>
              </w:rPr>
              <w:t xml:space="preserve">              医疗总收入</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要求按某时间段提取</w:t>
            </w:r>
          </w:p>
        </w:tc>
      </w:tr>
      <w:tr>
        <w:tblPrEx>
          <w:tblCellMar>
            <w:top w:w="0" w:type="dxa"/>
            <w:left w:w="108" w:type="dxa"/>
            <w:bottom w:w="0" w:type="dxa"/>
            <w:right w:w="108" w:type="dxa"/>
          </w:tblCellMar>
        </w:tblPrEx>
        <w:trPr>
          <w:trHeight w:val="18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102</w:t>
            </w:r>
          </w:p>
        </w:tc>
        <w:tc>
          <w:tcPr>
            <w:tcW w:w="1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FF0000"/>
                <w:sz w:val="22"/>
                <w:szCs w:val="22"/>
                <w:highlight w:val="none"/>
              </w:rPr>
            </w:pP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Style w:val="68"/>
                <w:rFonts w:hint="default"/>
                <w:highlight w:val="none"/>
                <w:lang w:bidi="ar"/>
              </w:rPr>
              <w:t xml:space="preserve">                                        药品收入</w:t>
            </w:r>
            <w:r>
              <w:rPr>
                <w:rStyle w:val="68"/>
                <w:rFonts w:hint="default"/>
                <w:highlight w:val="none"/>
                <w:lang w:bidi="ar"/>
              </w:rPr>
              <w:br w:type="textWrapping"/>
            </w:r>
            <w:r>
              <w:rPr>
                <w:rStyle w:val="68"/>
                <w:rFonts w:hint="default"/>
                <w:highlight w:val="none"/>
                <w:lang w:bidi="ar"/>
              </w:rPr>
              <w:t xml:space="preserve">全院药比（不含中药饮片、国谈药） =  </w:t>
            </w:r>
            <w:r>
              <w:rPr>
                <w:rStyle w:val="80"/>
                <w:rFonts w:hint="default"/>
                <w:highlight w:val="none"/>
                <w:lang w:bidi="ar"/>
              </w:rPr>
              <w:t xml:space="preserve">                      </w:t>
            </w:r>
            <w:r>
              <w:rPr>
                <w:rStyle w:val="68"/>
                <w:rFonts w:hint="default"/>
                <w:highlight w:val="none"/>
                <w:lang w:bidi="ar"/>
              </w:rPr>
              <w:t>X 101%</w:t>
            </w:r>
            <w:r>
              <w:rPr>
                <w:rStyle w:val="68"/>
                <w:rFonts w:hint="default"/>
                <w:highlight w:val="none"/>
                <w:lang w:bidi="ar"/>
              </w:rPr>
              <w:br w:type="textWrapping"/>
            </w:r>
            <w:r>
              <w:rPr>
                <w:rStyle w:val="68"/>
                <w:rFonts w:hint="default"/>
                <w:highlight w:val="none"/>
                <w:lang w:bidi="ar"/>
              </w:rPr>
              <w:t xml:space="preserve">                                       医疗总收入</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要求按某时间段提取</w:t>
            </w:r>
          </w:p>
        </w:tc>
      </w:tr>
      <w:tr>
        <w:tblPrEx>
          <w:tblCellMar>
            <w:top w:w="0" w:type="dxa"/>
            <w:left w:w="108" w:type="dxa"/>
            <w:bottom w:w="0" w:type="dxa"/>
            <w:right w:w="108" w:type="dxa"/>
          </w:tblCellMar>
        </w:tblPrEx>
        <w:trPr>
          <w:trHeight w:val="189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103</w:t>
            </w:r>
          </w:p>
        </w:tc>
        <w:tc>
          <w:tcPr>
            <w:tcW w:w="1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国家谈判药品</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Style w:val="68"/>
                <w:rFonts w:hint="default"/>
                <w:highlight w:val="none"/>
                <w:lang w:bidi="ar"/>
              </w:rPr>
              <w:t xml:space="preserve">                                 各科室国谈药总金额</w:t>
            </w:r>
            <w:r>
              <w:rPr>
                <w:rStyle w:val="68"/>
                <w:rFonts w:hint="default"/>
                <w:highlight w:val="none"/>
                <w:lang w:bidi="ar"/>
              </w:rPr>
              <w:br w:type="textWrapping"/>
            </w:r>
            <w:r>
              <w:rPr>
                <w:rStyle w:val="68"/>
                <w:rFonts w:hint="default"/>
                <w:highlight w:val="none"/>
                <w:lang w:bidi="ar"/>
              </w:rPr>
              <w:t xml:space="preserve">（门诊+住院）各科室国谈药占比 =  </w:t>
            </w:r>
            <w:r>
              <w:rPr>
                <w:rStyle w:val="80"/>
                <w:rFonts w:hint="default"/>
                <w:highlight w:val="none"/>
                <w:lang w:bidi="ar"/>
              </w:rPr>
              <w:t xml:space="preserve">                      </w:t>
            </w:r>
            <w:r>
              <w:rPr>
                <w:rStyle w:val="68"/>
                <w:rFonts w:hint="default"/>
                <w:highlight w:val="none"/>
                <w:lang w:bidi="ar"/>
              </w:rPr>
              <w:t>X 100%</w:t>
            </w:r>
            <w:r>
              <w:rPr>
                <w:rStyle w:val="68"/>
                <w:rFonts w:hint="default"/>
                <w:highlight w:val="none"/>
                <w:lang w:bidi="ar"/>
              </w:rPr>
              <w:br w:type="textWrapping"/>
            </w:r>
            <w:r>
              <w:rPr>
                <w:rStyle w:val="68"/>
                <w:rFonts w:hint="default"/>
                <w:highlight w:val="none"/>
                <w:lang w:bidi="ar"/>
              </w:rPr>
              <w:t xml:space="preserve">                                  各科室医疗总收入</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要求按某时间段提取</w:t>
            </w:r>
          </w:p>
        </w:tc>
      </w:tr>
      <w:tr>
        <w:tblPrEx>
          <w:tblCellMar>
            <w:top w:w="0" w:type="dxa"/>
            <w:left w:w="108" w:type="dxa"/>
            <w:bottom w:w="0" w:type="dxa"/>
            <w:right w:w="108" w:type="dxa"/>
          </w:tblCellMar>
        </w:tblPrEx>
        <w:trPr>
          <w:trHeight w:val="162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104</w:t>
            </w:r>
          </w:p>
        </w:tc>
        <w:tc>
          <w:tcPr>
            <w:tcW w:w="1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FF0000"/>
                <w:sz w:val="22"/>
                <w:szCs w:val="22"/>
                <w:highlight w:val="none"/>
              </w:rPr>
            </w:pPr>
            <w:r>
              <w:rPr>
                <w:rStyle w:val="68"/>
                <w:rFonts w:hint="default"/>
                <w:highlight w:val="none"/>
                <w:lang w:bidi="ar"/>
              </w:rPr>
              <w:t xml:space="preserve">                       国谈药品收入</w:t>
            </w:r>
            <w:r>
              <w:rPr>
                <w:rStyle w:val="68"/>
                <w:rFonts w:hint="default"/>
                <w:highlight w:val="none"/>
                <w:lang w:bidi="ar"/>
              </w:rPr>
              <w:br w:type="textWrapping"/>
            </w:r>
            <w:r>
              <w:rPr>
                <w:rStyle w:val="68"/>
                <w:rFonts w:hint="default"/>
                <w:highlight w:val="none"/>
                <w:lang w:bidi="ar"/>
              </w:rPr>
              <w:t xml:space="preserve">全院国谈药占比 =  </w:t>
            </w:r>
            <w:r>
              <w:rPr>
                <w:rStyle w:val="80"/>
                <w:rFonts w:hint="default"/>
                <w:highlight w:val="none"/>
                <w:lang w:bidi="ar"/>
              </w:rPr>
              <w:t xml:space="preserve">                      </w:t>
            </w:r>
            <w:r>
              <w:rPr>
                <w:rStyle w:val="68"/>
                <w:rFonts w:hint="default"/>
                <w:highlight w:val="none"/>
                <w:lang w:bidi="ar"/>
              </w:rPr>
              <w:t>X 100%</w:t>
            </w:r>
            <w:r>
              <w:rPr>
                <w:rStyle w:val="68"/>
                <w:rFonts w:hint="default"/>
                <w:highlight w:val="none"/>
                <w:lang w:bidi="ar"/>
              </w:rPr>
              <w:br w:type="textWrapping"/>
            </w:r>
            <w:r>
              <w:rPr>
                <w:rStyle w:val="68"/>
                <w:rFonts w:hint="default"/>
                <w:highlight w:val="none"/>
                <w:lang w:bidi="ar"/>
              </w:rPr>
              <w:t xml:space="preserve">                     医疗总收入</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2"/>
                <w:szCs w:val="22"/>
                <w:highlight w:val="none"/>
              </w:rPr>
            </w:pPr>
            <w:r>
              <w:rPr>
                <w:rFonts w:hint="eastAsia" w:ascii="宋体" w:hAnsi="宋体" w:cs="宋体"/>
                <w:color w:val="FF0000"/>
                <w:kern w:val="0"/>
                <w:sz w:val="22"/>
                <w:szCs w:val="22"/>
                <w:highlight w:val="none"/>
                <w:lang w:bidi="ar"/>
              </w:rPr>
              <w:t>要求按某时间段提取</w:t>
            </w:r>
          </w:p>
        </w:tc>
      </w:tr>
      <w:tr>
        <w:tblPrEx>
          <w:tblCellMar>
            <w:top w:w="0" w:type="dxa"/>
            <w:left w:w="108" w:type="dxa"/>
            <w:bottom w:w="0" w:type="dxa"/>
            <w:right w:w="108" w:type="dxa"/>
          </w:tblCellMar>
        </w:tblPrEx>
        <w:trPr>
          <w:trHeight w:val="3510"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105</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每床日静脉输液使用频次：住院患者静脉输液总频次/同期住院患者实际开放总床日数</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highlight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住院患者静脉输液总频次/同期住院患者实际开放总床日数</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1）静脉输液包括静脉滴注和静脉推注。疫苗、溶媒、局麻、封闭、结膜下、肌肉、皮下、球后注射药、皮试液等不列入静脉输液的统计范围。</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2、总频次 = 执行频次 * 执行天数</w:t>
            </w:r>
            <w:r>
              <w:rPr>
                <w:rFonts w:hint="eastAsia" w:ascii="宋体" w:hAnsi="宋体" w:cs="宋体"/>
                <w:color w:val="000000"/>
                <w:kern w:val="0"/>
                <w:sz w:val="22"/>
                <w:szCs w:val="22"/>
                <w:highlight w:val="none"/>
                <w:lang w:bidi="ar"/>
              </w:rPr>
              <w:br w:type="textWrapping"/>
            </w:r>
            <w:r>
              <w:rPr>
                <w:rFonts w:hint="eastAsia" w:ascii="宋体" w:hAnsi="宋体" w:cs="宋体"/>
                <w:color w:val="000000"/>
                <w:kern w:val="0"/>
                <w:sz w:val="22"/>
                <w:szCs w:val="22"/>
                <w:highlight w:val="none"/>
                <w:lang w:bidi="ar"/>
              </w:rPr>
              <w:t>3、实际开放总床日数 = ？（需统计室确认）</w:t>
            </w:r>
          </w:p>
        </w:tc>
      </w:tr>
      <w:tr>
        <w:tblPrEx>
          <w:tblCellMar>
            <w:top w:w="0" w:type="dxa"/>
            <w:left w:w="108" w:type="dxa"/>
            <w:bottom w:w="0" w:type="dxa"/>
            <w:right w:w="108" w:type="dxa"/>
          </w:tblCellMar>
        </w:tblPrEx>
        <w:trPr>
          <w:trHeight w:val="855"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106</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highlight w:val="none"/>
              </w:rPr>
            </w:pPr>
            <w:r>
              <w:rPr>
                <w:rFonts w:hint="eastAsia" w:ascii="宋体" w:hAnsi="宋体" w:cs="宋体"/>
                <w:color w:val="000000"/>
                <w:kern w:val="0"/>
                <w:highlight w:val="none"/>
                <w:lang w:bidi="ar"/>
              </w:rPr>
              <w:t>点评人员工作量</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highlight w:val="none"/>
              </w:rPr>
            </w:pPr>
            <w:r>
              <w:rPr>
                <w:rFonts w:hint="eastAsia" w:ascii="宋体" w:hAnsi="宋体" w:cs="宋体"/>
                <w:color w:val="000000"/>
                <w:kern w:val="0"/>
                <w:highlight w:val="none"/>
                <w:lang w:bidi="ar"/>
              </w:rPr>
              <w:t>处方点评规定要求</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highlight w:val="none"/>
              </w:rPr>
            </w:pPr>
            <w:r>
              <w:rPr>
                <w:rFonts w:hint="eastAsia" w:ascii="宋体" w:hAnsi="宋体" w:cs="宋体"/>
                <w:color w:val="000000"/>
                <w:kern w:val="0"/>
                <w:highlight w:val="none"/>
                <w:lang w:bidi="ar"/>
              </w:rPr>
              <w:t>所有工作人员每一项点评任务的工作量</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highlight w:val="none"/>
              </w:rPr>
            </w:pPr>
          </w:p>
        </w:tc>
      </w:tr>
    </w:tbl>
    <w:p>
      <w:pPr>
        <w:widowControl/>
        <w:ind w:firstLine="480"/>
        <w:jc w:val="left"/>
        <w:rPr>
          <w:rFonts w:ascii="宋体" w:hAnsi="宋体" w:cstheme="minorBidi"/>
          <w:kern w:val="0"/>
          <w:highlight w:val="none"/>
        </w:rPr>
      </w:pPr>
    </w:p>
    <w:p>
      <w:pPr>
        <w:pStyle w:val="3"/>
        <w:numPr>
          <w:ilvl w:val="1"/>
          <w:numId w:val="8"/>
        </w:numPr>
        <w:spacing w:line="360" w:lineRule="auto"/>
        <w:ind w:left="567"/>
        <w:rPr>
          <w:szCs w:val="24"/>
          <w:highlight w:val="none"/>
        </w:rPr>
      </w:pPr>
      <w:bookmarkStart w:id="163" w:name="_Toc150868445"/>
      <w:bookmarkStart w:id="164" w:name="_Toc154688602"/>
      <w:r>
        <w:rPr>
          <w:rFonts w:hint="eastAsia"/>
          <w:szCs w:val="24"/>
          <w:highlight w:val="none"/>
        </w:rPr>
        <w:t>居家药学服务系统</w:t>
      </w:r>
      <w:bookmarkEnd w:id="163"/>
      <w:bookmarkEnd w:id="164"/>
    </w:p>
    <w:p>
      <w:pPr>
        <w:spacing w:line="360" w:lineRule="auto"/>
        <w:ind w:firstLine="420"/>
        <w:rPr>
          <w:rFonts w:ascii="宋体" w:hAnsi="宋体"/>
          <w:highlight w:val="none"/>
        </w:rPr>
      </w:pPr>
      <w:r>
        <w:rPr>
          <w:rFonts w:hint="eastAsia" w:ascii="宋体" w:hAnsi="宋体"/>
          <w:highlight w:val="none"/>
        </w:rPr>
        <w:t>居家药学服务模块主要借助医院公众号，为医院患者提供线上+线下的药学服务，通过利用先进的互联网技术及药师临床专业的药学知识，为出院患者提供安全用药信息。服务模块包含三层主要功能：一是用药指导，包含最佳服用方式、药师建议、生活禁忌、特殊人群禁忌、过量服用、过时服用、注意事项；二是疾病知识解读，包括疾病概述、疾病预防、疾病护理、治疗与康复等信息；三是健康科普教育资讯。整个系统包括患者端小程序、药师端小程序、药师管理端（PC）。</w:t>
      </w:r>
    </w:p>
    <w:p>
      <w:pPr>
        <w:pStyle w:val="4"/>
        <w:numPr>
          <w:ilvl w:val="2"/>
          <w:numId w:val="8"/>
        </w:numPr>
        <w:spacing w:line="360" w:lineRule="auto"/>
        <w:ind w:left="567"/>
        <w:rPr>
          <w:szCs w:val="24"/>
          <w:highlight w:val="none"/>
        </w:rPr>
      </w:pPr>
      <w:bookmarkStart w:id="165" w:name="_Toc154688603"/>
      <w:bookmarkStart w:id="166" w:name="_Toc150868446"/>
      <w:r>
        <w:rPr>
          <w:rFonts w:hint="eastAsia"/>
          <w:szCs w:val="24"/>
          <w:highlight w:val="none"/>
        </w:rPr>
        <w:t>患者端小程序</w:t>
      </w:r>
      <w:bookmarkEnd w:id="165"/>
      <w:bookmarkEnd w:id="166"/>
    </w:p>
    <w:p>
      <w:pPr>
        <w:spacing w:line="360" w:lineRule="auto"/>
        <w:ind w:firstLine="420"/>
        <w:rPr>
          <w:rFonts w:ascii="宋体" w:hAnsi="宋体"/>
          <w:highlight w:val="none"/>
        </w:rPr>
      </w:pPr>
      <w:r>
        <w:rPr>
          <w:rFonts w:hint="eastAsia" w:ascii="宋体" w:hAnsi="宋体"/>
          <w:highlight w:val="none"/>
        </w:rPr>
        <w:t>患者端小程序提供给患者使用，通过微信接入，减少了安装的麻烦，打开微信即可沟通，便捷高效。具体功能如下：</w:t>
      </w:r>
    </w:p>
    <w:p>
      <w:pPr>
        <w:pStyle w:val="32"/>
        <w:numPr>
          <w:ilvl w:val="0"/>
          <w:numId w:val="41"/>
        </w:numPr>
        <w:spacing w:line="360" w:lineRule="auto"/>
        <w:ind w:left="426" w:firstLine="0" w:firstLineChars="0"/>
        <w:rPr>
          <w:rFonts w:ascii="宋体" w:hAnsi="宋体"/>
          <w:highlight w:val="none"/>
        </w:rPr>
      </w:pPr>
      <w:r>
        <w:rPr>
          <w:rFonts w:hint="eastAsia" w:ascii="宋体" w:hAnsi="宋体"/>
          <w:highlight w:val="none"/>
        </w:rPr>
        <w:t>账号管理：患者登录小程序，从医院HIS系统获取身份认证，确认身份之后获得微信账号授权，绑定微信账号。</w:t>
      </w:r>
    </w:p>
    <w:p>
      <w:pPr>
        <w:pStyle w:val="32"/>
        <w:numPr>
          <w:ilvl w:val="0"/>
          <w:numId w:val="41"/>
        </w:numPr>
        <w:spacing w:line="360" w:lineRule="auto"/>
        <w:ind w:left="426" w:firstLine="0" w:firstLineChars="0"/>
        <w:rPr>
          <w:rFonts w:ascii="宋体" w:hAnsi="宋体"/>
          <w:highlight w:val="none"/>
        </w:rPr>
      </w:pPr>
      <w:r>
        <w:rPr>
          <w:rFonts w:hint="eastAsia" w:ascii="宋体" w:hAnsi="宋体"/>
          <w:highlight w:val="none"/>
        </w:rPr>
        <w:t>处方用药指导单：药师随访之后，患者可以获得一份用药指导单。</w:t>
      </w:r>
    </w:p>
    <w:p>
      <w:pPr>
        <w:pStyle w:val="32"/>
        <w:numPr>
          <w:ilvl w:val="0"/>
          <w:numId w:val="41"/>
        </w:numPr>
        <w:spacing w:line="360" w:lineRule="auto"/>
        <w:ind w:left="426" w:firstLine="0" w:firstLineChars="0"/>
        <w:rPr>
          <w:rFonts w:ascii="宋体" w:hAnsi="宋体"/>
          <w:highlight w:val="none"/>
        </w:rPr>
      </w:pPr>
      <w:r>
        <w:rPr>
          <w:rFonts w:hint="eastAsia" w:ascii="宋体" w:hAnsi="宋体"/>
          <w:highlight w:val="none"/>
        </w:rPr>
        <w:t>服药提醒：患者可设置服药提醒、购药提醒并记录服药情况。系统根据患者的医嘱，自动生成用药提醒，按时推送至患者服务首页，功能包括用药提醒、用药反馈等功能。</w:t>
      </w:r>
    </w:p>
    <w:p>
      <w:pPr>
        <w:pStyle w:val="32"/>
        <w:numPr>
          <w:ilvl w:val="0"/>
          <w:numId w:val="41"/>
        </w:numPr>
        <w:spacing w:line="360" w:lineRule="auto"/>
        <w:ind w:left="426" w:firstLine="0" w:firstLineChars="0"/>
        <w:rPr>
          <w:rFonts w:ascii="宋体" w:hAnsi="宋体"/>
          <w:highlight w:val="none"/>
        </w:rPr>
      </w:pPr>
      <w:r>
        <w:rPr>
          <w:rFonts w:hint="eastAsia" w:ascii="宋体" w:hAnsi="宋体"/>
          <w:highlight w:val="none"/>
        </w:rPr>
        <w:t>家庭药箱：线上电子药箱，患者可以将家中存药录入家庭药箱，获得药品到期提醒、线上说明书查阅、药师代为整理等服务。功能包括：添加药品、电子说明书查阅、清理药品等功能。也可在线发起药箱整理申请，邀请药师前往家中整理药箱。添加亲友档案，协助亲友管理用药。</w:t>
      </w:r>
    </w:p>
    <w:p>
      <w:pPr>
        <w:pStyle w:val="32"/>
        <w:numPr>
          <w:ilvl w:val="0"/>
          <w:numId w:val="41"/>
        </w:numPr>
        <w:spacing w:line="360" w:lineRule="auto"/>
        <w:ind w:left="426" w:firstLine="0" w:firstLineChars="0"/>
        <w:rPr>
          <w:rFonts w:ascii="宋体" w:hAnsi="宋体"/>
          <w:highlight w:val="none"/>
        </w:rPr>
      </w:pPr>
      <w:r>
        <w:rPr>
          <w:rFonts w:hint="eastAsia" w:ascii="宋体" w:hAnsi="宋体"/>
          <w:highlight w:val="none"/>
        </w:rPr>
        <w:t>不良反应反馈：患者可以在线反馈药品不良反应给药师。</w:t>
      </w:r>
    </w:p>
    <w:p>
      <w:pPr>
        <w:pStyle w:val="32"/>
        <w:numPr>
          <w:ilvl w:val="0"/>
          <w:numId w:val="41"/>
        </w:numPr>
        <w:spacing w:line="360" w:lineRule="auto"/>
        <w:ind w:left="426" w:firstLine="0" w:firstLineChars="0"/>
        <w:rPr>
          <w:rFonts w:ascii="宋体" w:hAnsi="宋体"/>
          <w:highlight w:val="none"/>
        </w:rPr>
      </w:pPr>
      <w:r>
        <w:rPr>
          <w:rFonts w:hint="eastAsia" w:ascii="宋体" w:hAnsi="宋体"/>
          <w:highlight w:val="none"/>
        </w:rPr>
        <w:t>用药档案：患者可以查询自己的处方和药品，并可以查询相关药品知识、错时给药信息等。</w:t>
      </w:r>
    </w:p>
    <w:p>
      <w:pPr>
        <w:pStyle w:val="32"/>
        <w:numPr>
          <w:ilvl w:val="0"/>
          <w:numId w:val="41"/>
        </w:numPr>
        <w:spacing w:line="360" w:lineRule="auto"/>
        <w:ind w:left="426" w:firstLine="0" w:firstLineChars="0"/>
        <w:rPr>
          <w:rFonts w:ascii="宋体" w:hAnsi="宋体"/>
          <w:highlight w:val="none"/>
        </w:rPr>
      </w:pPr>
      <w:r>
        <w:rPr>
          <w:rFonts w:hint="eastAsia" w:ascii="宋体" w:hAnsi="宋体"/>
          <w:highlight w:val="none"/>
        </w:rPr>
        <w:t>用药咨询：患者可以通过在线咨询页面，以聊天的方式与药师、医生沟通，便捷获得用药指导。包括：药师信息查看、开启咨询、结束咨询、咨询评价等功能。</w:t>
      </w:r>
    </w:p>
    <w:p>
      <w:pPr>
        <w:pStyle w:val="32"/>
        <w:numPr>
          <w:ilvl w:val="0"/>
          <w:numId w:val="41"/>
        </w:numPr>
        <w:spacing w:line="360" w:lineRule="auto"/>
        <w:ind w:left="426" w:firstLine="0" w:firstLineChars="0"/>
        <w:rPr>
          <w:rFonts w:ascii="宋体" w:hAnsi="宋体"/>
          <w:highlight w:val="none"/>
        </w:rPr>
      </w:pPr>
      <w:r>
        <w:rPr>
          <w:rFonts w:hint="eastAsia" w:ascii="宋体" w:hAnsi="宋体"/>
          <w:highlight w:val="none"/>
        </w:rPr>
        <w:t>用药科普：患者可以通过该模块第一时间了解到药师发布的最新用药科普知识，增加对药的认知。功能包括：查看、收藏、点赞等功能。</w:t>
      </w:r>
    </w:p>
    <w:p>
      <w:pPr>
        <w:pStyle w:val="4"/>
        <w:numPr>
          <w:ilvl w:val="2"/>
          <w:numId w:val="8"/>
        </w:numPr>
        <w:spacing w:line="360" w:lineRule="auto"/>
        <w:ind w:left="567"/>
        <w:rPr>
          <w:szCs w:val="24"/>
          <w:highlight w:val="none"/>
        </w:rPr>
      </w:pPr>
      <w:bookmarkStart w:id="167" w:name="_Toc154688604"/>
      <w:bookmarkStart w:id="168" w:name="_Toc150868447"/>
      <w:r>
        <w:rPr>
          <w:rFonts w:hint="eastAsia"/>
          <w:szCs w:val="24"/>
          <w:highlight w:val="none"/>
        </w:rPr>
        <w:t>药师端小程序</w:t>
      </w:r>
      <w:bookmarkEnd w:id="167"/>
      <w:bookmarkEnd w:id="168"/>
    </w:p>
    <w:p>
      <w:pPr>
        <w:spacing w:line="360" w:lineRule="auto"/>
        <w:ind w:firstLine="420"/>
        <w:rPr>
          <w:rFonts w:ascii="宋体" w:hAnsi="宋体"/>
          <w:highlight w:val="none"/>
        </w:rPr>
      </w:pPr>
      <w:r>
        <w:rPr>
          <w:rFonts w:hint="eastAsia" w:ascii="宋体" w:hAnsi="宋体"/>
          <w:highlight w:val="none"/>
        </w:rPr>
        <w:t>药师端小程序为药师上门随访时使用，便于药师在服务时减少纸质手工操作及后续的资料整理工作，在工作中完成数据汇集，归档统计。具体功能包括：</w:t>
      </w:r>
    </w:p>
    <w:p>
      <w:pPr>
        <w:pStyle w:val="32"/>
        <w:numPr>
          <w:ilvl w:val="0"/>
          <w:numId w:val="42"/>
        </w:numPr>
        <w:spacing w:line="360" w:lineRule="auto"/>
        <w:ind w:firstLineChars="0"/>
        <w:rPr>
          <w:rFonts w:ascii="宋体" w:hAnsi="宋体"/>
          <w:highlight w:val="none"/>
        </w:rPr>
      </w:pPr>
      <w:r>
        <w:rPr>
          <w:rFonts w:hint="eastAsia" w:ascii="宋体" w:hAnsi="宋体"/>
          <w:highlight w:val="none"/>
        </w:rPr>
        <w:t>药师账号登录：采用后台预先配置账号，药师只要用微信绑定账号即可登录使用。</w:t>
      </w:r>
    </w:p>
    <w:p>
      <w:pPr>
        <w:pStyle w:val="32"/>
        <w:numPr>
          <w:ilvl w:val="0"/>
          <w:numId w:val="42"/>
        </w:numPr>
        <w:spacing w:line="360" w:lineRule="auto"/>
        <w:ind w:firstLineChars="0"/>
        <w:rPr>
          <w:rFonts w:ascii="宋体" w:hAnsi="宋体"/>
          <w:highlight w:val="none"/>
        </w:rPr>
      </w:pPr>
      <w:r>
        <w:rPr>
          <w:rFonts w:hint="eastAsia" w:ascii="宋体" w:hAnsi="宋体"/>
          <w:highlight w:val="none"/>
        </w:rPr>
        <w:t>健康教育：药师可以发送用药指导单给患者，对患者进行健康教育。</w:t>
      </w:r>
    </w:p>
    <w:p>
      <w:pPr>
        <w:pStyle w:val="32"/>
        <w:numPr>
          <w:ilvl w:val="0"/>
          <w:numId w:val="42"/>
        </w:numPr>
        <w:spacing w:line="360" w:lineRule="auto"/>
        <w:ind w:firstLineChars="0"/>
        <w:rPr>
          <w:rFonts w:ascii="宋体" w:hAnsi="宋体"/>
          <w:highlight w:val="none"/>
        </w:rPr>
      </w:pPr>
      <w:r>
        <w:rPr>
          <w:rFonts w:hint="eastAsia" w:ascii="宋体" w:hAnsi="宋体"/>
          <w:highlight w:val="none"/>
        </w:rPr>
        <w:t>健康评估：药师可以采用M</w:t>
      </w:r>
      <w:r>
        <w:rPr>
          <w:rFonts w:ascii="宋体" w:hAnsi="宋体"/>
          <w:highlight w:val="none"/>
        </w:rPr>
        <w:t>TM</w:t>
      </w:r>
      <w:r>
        <w:rPr>
          <w:rFonts w:hint="eastAsia" w:ascii="宋体" w:hAnsi="宋体"/>
          <w:highlight w:val="none"/>
        </w:rPr>
        <w:t>标准的评估表单对患者的健康情况进行评估。</w:t>
      </w:r>
    </w:p>
    <w:p>
      <w:pPr>
        <w:pStyle w:val="32"/>
        <w:numPr>
          <w:ilvl w:val="0"/>
          <w:numId w:val="42"/>
        </w:numPr>
        <w:spacing w:line="360" w:lineRule="auto"/>
        <w:ind w:firstLineChars="0"/>
        <w:rPr>
          <w:rFonts w:ascii="宋体" w:hAnsi="宋体"/>
          <w:highlight w:val="none"/>
        </w:rPr>
      </w:pPr>
      <w:r>
        <w:rPr>
          <w:rFonts w:hint="eastAsia" w:ascii="宋体" w:hAnsi="宋体"/>
          <w:highlight w:val="none"/>
        </w:rPr>
        <w:t>上门随访：药师在线下随访时，利用此功能记录每一次线下随访的详情，并留存记录。</w:t>
      </w:r>
    </w:p>
    <w:p>
      <w:pPr>
        <w:pStyle w:val="32"/>
        <w:numPr>
          <w:ilvl w:val="0"/>
          <w:numId w:val="42"/>
        </w:numPr>
        <w:spacing w:line="360" w:lineRule="auto"/>
        <w:ind w:firstLineChars="0"/>
        <w:rPr>
          <w:rFonts w:ascii="宋体" w:hAnsi="宋体"/>
          <w:highlight w:val="none"/>
        </w:rPr>
      </w:pPr>
      <w:r>
        <w:rPr>
          <w:rFonts w:hint="eastAsia" w:ascii="宋体" w:hAnsi="宋体"/>
          <w:highlight w:val="none"/>
        </w:rPr>
        <w:t>复诊提醒：药师可以为患者设置复诊提醒，系统会根据事件自动发送消息提醒患者前往复诊。</w:t>
      </w:r>
    </w:p>
    <w:p>
      <w:pPr>
        <w:pStyle w:val="32"/>
        <w:numPr>
          <w:ilvl w:val="0"/>
          <w:numId w:val="42"/>
        </w:numPr>
        <w:spacing w:line="360" w:lineRule="auto"/>
        <w:ind w:firstLineChars="0"/>
        <w:rPr>
          <w:rFonts w:ascii="宋体" w:hAnsi="宋体"/>
          <w:highlight w:val="none"/>
        </w:rPr>
      </w:pPr>
      <w:r>
        <w:rPr>
          <w:rFonts w:hint="eastAsia" w:ascii="宋体" w:hAnsi="宋体"/>
          <w:highlight w:val="none"/>
        </w:rPr>
        <w:t>患者管理：药师对分配给自己的患者信息进行管理，可以设置重点关注的星标患者，功能包括：患者信息查询、遗嘱查看、健康档案查看、标星关注、患者搜索等功能。</w:t>
      </w:r>
    </w:p>
    <w:p>
      <w:pPr>
        <w:pStyle w:val="32"/>
        <w:numPr>
          <w:ilvl w:val="0"/>
          <w:numId w:val="42"/>
        </w:numPr>
        <w:spacing w:line="360" w:lineRule="auto"/>
        <w:ind w:firstLineChars="0"/>
        <w:rPr>
          <w:rFonts w:ascii="宋体" w:hAnsi="宋体"/>
          <w:highlight w:val="none"/>
        </w:rPr>
      </w:pPr>
      <w:r>
        <w:rPr>
          <w:rFonts w:hint="eastAsia" w:ascii="宋体" w:hAnsi="宋体"/>
          <w:highlight w:val="none"/>
        </w:rPr>
        <w:t>随访日历：药师用于管理自己的随访行程，功能包括：添加随访任务、预约处理、随访记录查看等功能。</w:t>
      </w:r>
    </w:p>
    <w:p>
      <w:pPr>
        <w:pStyle w:val="32"/>
        <w:numPr>
          <w:ilvl w:val="0"/>
          <w:numId w:val="42"/>
        </w:numPr>
        <w:spacing w:line="360" w:lineRule="auto"/>
        <w:ind w:firstLineChars="0"/>
        <w:rPr>
          <w:rFonts w:ascii="宋体" w:hAnsi="宋体"/>
          <w:highlight w:val="none"/>
        </w:rPr>
      </w:pPr>
      <w:r>
        <w:rPr>
          <w:rFonts w:hint="eastAsia" w:ascii="宋体" w:hAnsi="宋体"/>
          <w:highlight w:val="none"/>
        </w:rPr>
        <w:t>代为整理家庭药箱：药师可以帮助患者整理家庭药箱，功能包括添加药品、电子说明书查阅、清理药品等功能。</w:t>
      </w:r>
    </w:p>
    <w:p>
      <w:pPr>
        <w:pStyle w:val="32"/>
        <w:numPr>
          <w:ilvl w:val="0"/>
          <w:numId w:val="42"/>
        </w:numPr>
        <w:spacing w:line="360" w:lineRule="auto"/>
        <w:ind w:firstLineChars="0"/>
        <w:rPr>
          <w:rFonts w:ascii="宋体" w:hAnsi="宋体"/>
          <w:highlight w:val="none"/>
        </w:rPr>
      </w:pPr>
      <w:r>
        <w:rPr>
          <w:rFonts w:hint="eastAsia" w:ascii="宋体" w:hAnsi="宋体"/>
          <w:highlight w:val="none"/>
        </w:rPr>
        <w:t>用药咨询（药师端）：药师可以通过该模块与患者进行互动，功能包括：咨询消息提醒、实时回复、查看咨询记录等功能。</w:t>
      </w:r>
    </w:p>
    <w:p>
      <w:pPr>
        <w:pStyle w:val="32"/>
        <w:numPr>
          <w:ilvl w:val="0"/>
          <w:numId w:val="42"/>
        </w:numPr>
        <w:spacing w:line="360" w:lineRule="auto"/>
        <w:ind w:firstLineChars="0"/>
        <w:rPr>
          <w:rFonts w:ascii="宋体" w:hAnsi="宋体"/>
          <w:highlight w:val="none"/>
        </w:rPr>
      </w:pPr>
      <w:r>
        <w:rPr>
          <w:rFonts w:hint="eastAsia" w:ascii="宋体" w:hAnsi="宋体"/>
          <w:highlight w:val="none"/>
        </w:rPr>
        <w:t>药师工作量统计：该模块对药师的工作记录进行统计，包括：实时统计、报表查看等功能。</w:t>
      </w:r>
    </w:p>
    <w:p>
      <w:pPr>
        <w:pStyle w:val="4"/>
        <w:numPr>
          <w:ilvl w:val="2"/>
          <w:numId w:val="8"/>
        </w:numPr>
        <w:spacing w:line="360" w:lineRule="auto"/>
        <w:ind w:left="567"/>
        <w:rPr>
          <w:szCs w:val="24"/>
          <w:highlight w:val="none"/>
        </w:rPr>
      </w:pPr>
      <w:bookmarkStart w:id="169" w:name="_Toc150868448"/>
      <w:bookmarkStart w:id="170" w:name="_Toc154688605"/>
      <w:r>
        <w:rPr>
          <w:rFonts w:hint="eastAsia"/>
          <w:szCs w:val="24"/>
          <w:highlight w:val="none"/>
        </w:rPr>
        <w:t>药师管理端（PC）</w:t>
      </w:r>
      <w:bookmarkEnd w:id="169"/>
      <w:bookmarkEnd w:id="170"/>
    </w:p>
    <w:p>
      <w:pPr>
        <w:spacing w:line="360" w:lineRule="auto"/>
        <w:ind w:firstLine="420"/>
        <w:rPr>
          <w:rFonts w:ascii="宋体" w:hAnsi="宋体"/>
          <w:highlight w:val="none"/>
        </w:rPr>
      </w:pPr>
      <w:r>
        <w:rPr>
          <w:rFonts w:hint="eastAsia" w:ascii="宋体" w:hAnsi="宋体"/>
          <w:highlight w:val="none"/>
        </w:rPr>
        <w:t>药师管理端主要用于管理患者数据、账号绑定、服务设定等管理功能。该模块在PC上操作。具体功能包括：</w:t>
      </w:r>
    </w:p>
    <w:p>
      <w:pPr>
        <w:spacing w:line="360" w:lineRule="auto"/>
        <w:ind w:firstLine="420"/>
        <w:rPr>
          <w:rFonts w:ascii="宋体" w:hAnsi="宋体"/>
          <w:highlight w:val="none"/>
        </w:rPr>
      </w:pPr>
      <w:r>
        <w:rPr>
          <w:rFonts w:hint="eastAsia" w:ascii="宋体" w:hAnsi="宋体"/>
          <w:highlight w:val="none"/>
        </w:rPr>
        <w:t>（1）患者分组管理：绑定患者与药师的服务关系，功能包括：新增患者、批量导入患者、批量绑定、解绑、搜索等功能。</w:t>
      </w:r>
    </w:p>
    <w:p>
      <w:pPr>
        <w:spacing w:line="360" w:lineRule="auto"/>
        <w:ind w:firstLine="420"/>
        <w:rPr>
          <w:rFonts w:ascii="宋体" w:hAnsi="宋体"/>
          <w:highlight w:val="none"/>
        </w:rPr>
      </w:pPr>
      <w:r>
        <w:rPr>
          <w:rFonts w:hint="eastAsia" w:ascii="宋体" w:hAnsi="宋体"/>
          <w:highlight w:val="none"/>
        </w:rPr>
        <w:t>（2）药师管理：用于管理药师信息及账号。功能包括：新增药师、药师信息管理、搜索等功能。</w:t>
      </w:r>
    </w:p>
    <w:p>
      <w:pPr>
        <w:spacing w:line="360" w:lineRule="auto"/>
        <w:ind w:firstLine="420"/>
        <w:rPr>
          <w:rFonts w:ascii="宋体" w:hAnsi="宋体"/>
          <w:highlight w:val="none"/>
        </w:rPr>
      </w:pPr>
      <w:r>
        <w:rPr>
          <w:rFonts w:hint="eastAsia" w:ascii="宋体" w:hAnsi="宋体"/>
          <w:highlight w:val="none"/>
        </w:rPr>
        <w:t>（3）服务项目管理：此为对服务项目的管理，功能包括：新增服务项目，启用/停用服务项目，服务项目修改，服务项目有效期设置、服务范围设置等。</w:t>
      </w:r>
    </w:p>
    <w:p>
      <w:pPr>
        <w:spacing w:line="360" w:lineRule="auto"/>
        <w:ind w:firstLine="420"/>
        <w:rPr>
          <w:rFonts w:ascii="宋体" w:hAnsi="宋体"/>
          <w:highlight w:val="none"/>
        </w:rPr>
      </w:pPr>
      <w:r>
        <w:rPr>
          <w:rFonts w:hint="eastAsia" w:ascii="宋体" w:hAnsi="宋体"/>
          <w:highlight w:val="none"/>
        </w:rPr>
        <w:t>（4）科普栏目管理：药师通过此模块发布科普知识文章，功能包括：栏目管理、文章管理、上下架管理等。</w:t>
      </w:r>
    </w:p>
    <w:p>
      <w:pPr>
        <w:pStyle w:val="55"/>
        <w:numPr>
          <w:ilvl w:val="1"/>
          <w:numId w:val="0"/>
        </w:numPr>
        <w:ind w:leftChars="0" w:firstLine="420" w:firstLineChars="200"/>
        <w:rPr>
          <w:rFonts w:hint="eastAsia" w:ascii="宋体" w:hAnsi="宋体"/>
          <w:b w:val="0"/>
          <w:bCs/>
          <w:sz w:val="21"/>
          <w:szCs w:val="21"/>
          <w:highlight w:val="none"/>
        </w:rPr>
      </w:pPr>
      <w:r>
        <w:rPr>
          <w:rFonts w:hint="eastAsia" w:ascii="宋体" w:hAnsi="宋体"/>
          <w:b w:val="0"/>
          <w:bCs/>
          <w:sz w:val="21"/>
          <w:szCs w:val="21"/>
          <w:highlight w:val="none"/>
        </w:rPr>
        <w:t>（5）用药咨询管理：药师可以通过此处查看与自己相关的所有咨询记录，功能包括：记录搜索、记录查看、记录下载等。</w:t>
      </w:r>
    </w:p>
    <w:p>
      <w:pPr>
        <w:pStyle w:val="55"/>
        <w:numPr>
          <w:ilvl w:val="1"/>
          <w:numId w:val="0"/>
        </w:numPr>
        <w:ind w:leftChars="0" w:firstLine="422" w:firstLineChars="200"/>
        <w:rPr>
          <w:rFonts w:hint="eastAsia" w:ascii="宋体" w:hAnsi="宋体" w:eastAsia="宋体" w:cs="宋体"/>
          <w:sz w:val="21"/>
          <w:szCs w:val="21"/>
          <w:highlight w:val="none"/>
        </w:rPr>
      </w:pPr>
      <w:r>
        <w:rPr>
          <w:rFonts w:hint="eastAsia" w:cs="宋体"/>
          <w:sz w:val="21"/>
          <w:szCs w:val="21"/>
          <w:highlight w:val="none"/>
          <w:lang w:val="en-US" w:eastAsia="zh-CN"/>
        </w:rPr>
        <w:t>三、</w:t>
      </w:r>
      <w:r>
        <w:rPr>
          <w:rFonts w:hint="eastAsia" w:ascii="宋体" w:hAnsi="宋体" w:eastAsia="宋体" w:cs="宋体"/>
          <w:sz w:val="21"/>
          <w:szCs w:val="21"/>
          <w:highlight w:val="none"/>
        </w:rPr>
        <w:t>服务需求</w:t>
      </w:r>
    </w:p>
    <w:p>
      <w:pPr>
        <w:pStyle w:val="10"/>
        <w:numPr>
          <w:ilvl w:val="0"/>
          <w:numId w:val="0"/>
        </w:numPr>
        <w:ind w:firstLine="416" w:firstLineChars="200"/>
        <w:rPr>
          <w:rFonts w:hint="default" w:ascii="宋体" w:hAnsi="宋体" w:eastAsia="宋体" w:cs="宋体"/>
          <w:spacing w:val="-1"/>
          <w:sz w:val="21"/>
          <w:szCs w:val="21"/>
          <w:highlight w:val="none"/>
          <w:lang w:val="en-US" w:eastAsia="zh-CN"/>
        </w:rPr>
      </w:pPr>
      <w:r>
        <w:rPr>
          <w:rFonts w:hint="eastAsia" w:ascii="宋体" w:hAnsi="宋体" w:eastAsia="宋体" w:cs="宋体"/>
          <w:spacing w:val="-1"/>
          <w:sz w:val="21"/>
          <w:szCs w:val="21"/>
          <w:highlight w:val="none"/>
          <w:lang w:val="en-US" w:eastAsia="zh-CN"/>
        </w:rPr>
        <w:t>▲1</w:t>
      </w:r>
      <w:r>
        <w:rPr>
          <w:rFonts w:hint="eastAsia" w:ascii="宋体" w:hAnsi="宋体" w:cs="宋体"/>
          <w:spacing w:val="-1"/>
          <w:sz w:val="21"/>
          <w:szCs w:val="21"/>
          <w:highlight w:val="none"/>
          <w:lang w:val="en-US" w:eastAsia="zh-CN"/>
        </w:rPr>
        <w:t>.</w:t>
      </w:r>
      <w:r>
        <w:rPr>
          <w:rFonts w:hint="eastAsia" w:ascii="宋体" w:hAnsi="宋体" w:eastAsia="宋体" w:cs="宋体"/>
          <w:spacing w:val="-1"/>
          <w:sz w:val="21"/>
          <w:szCs w:val="21"/>
          <w:highlight w:val="none"/>
        </w:rPr>
        <w:t>免费维护期要求：从项目验收通过之日起，包括系统</w:t>
      </w:r>
      <w:r>
        <w:rPr>
          <w:rFonts w:hint="eastAsia" w:ascii="宋体" w:hAnsi="宋体" w:eastAsia="宋体" w:cs="宋体"/>
          <w:spacing w:val="-1"/>
          <w:sz w:val="21"/>
          <w:szCs w:val="21"/>
          <w:highlight w:val="none"/>
          <w:lang w:eastAsia="zh-CN"/>
        </w:rPr>
        <w:t>（</w:t>
      </w:r>
      <w:r>
        <w:rPr>
          <w:rFonts w:hint="eastAsia" w:ascii="宋体" w:hAnsi="宋体" w:eastAsia="宋体" w:cs="宋体"/>
          <w:spacing w:val="-1"/>
          <w:sz w:val="21"/>
          <w:szCs w:val="21"/>
          <w:highlight w:val="none"/>
          <w:lang w:val="en-US" w:eastAsia="zh-CN"/>
        </w:rPr>
        <w:t>软硬件）</w:t>
      </w:r>
      <w:r>
        <w:rPr>
          <w:rFonts w:hint="eastAsia" w:ascii="宋体" w:hAnsi="宋体" w:eastAsia="宋体" w:cs="宋体"/>
          <w:spacing w:val="-1"/>
          <w:sz w:val="21"/>
          <w:szCs w:val="21"/>
          <w:highlight w:val="none"/>
        </w:rPr>
        <w:t>局部功能修订及完善服务等。质量保证期内投标人因维护</w:t>
      </w:r>
      <w:r>
        <w:rPr>
          <w:rFonts w:hint="eastAsia" w:ascii="宋体" w:hAnsi="宋体" w:cs="宋体"/>
          <w:spacing w:val="-1"/>
          <w:sz w:val="21"/>
          <w:szCs w:val="21"/>
          <w:highlight w:val="none"/>
          <w:lang w:val="en-US" w:eastAsia="zh-CN"/>
        </w:rPr>
        <w:t>系统</w:t>
      </w:r>
      <w:r>
        <w:rPr>
          <w:rFonts w:hint="eastAsia" w:ascii="宋体" w:hAnsi="宋体" w:eastAsia="宋体" w:cs="宋体"/>
          <w:spacing w:val="-1"/>
          <w:sz w:val="21"/>
          <w:szCs w:val="21"/>
          <w:highlight w:val="none"/>
        </w:rPr>
        <w:t>所发生的一切费用，包括工时费、交通费、住宿费、通讯费均由响应供应商承担。质保期过后，响应供应商应</w:t>
      </w:r>
      <w:r>
        <w:rPr>
          <w:rFonts w:hint="eastAsia" w:ascii="宋体" w:hAnsi="宋体" w:eastAsia="宋体" w:cs="宋体"/>
          <w:spacing w:val="-1"/>
          <w:sz w:val="21"/>
          <w:szCs w:val="21"/>
          <w:highlight w:val="none"/>
          <w:lang w:val="en-US" w:eastAsia="zh-CN"/>
        </w:rPr>
        <w:t>能</w:t>
      </w:r>
      <w:r>
        <w:rPr>
          <w:rFonts w:hint="eastAsia" w:ascii="宋体" w:hAnsi="宋体" w:eastAsia="宋体" w:cs="宋体"/>
          <w:spacing w:val="-1"/>
          <w:sz w:val="21"/>
          <w:szCs w:val="21"/>
          <w:highlight w:val="none"/>
        </w:rPr>
        <w:t>提供系统</w:t>
      </w:r>
      <w:r>
        <w:rPr>
          <w:rFonts w:hint="eastAsia" w:ascii="宋体" w:hAnsi="宋体" w:eastAsia="宋体" w:cs="宋体"/>
          <w:spacing w:val="-1"/>
          <w:sz w:val="21"/>
          <w:szCs w:val="21"/>
          <w:highlight w:val="none"/>
          <w:lang w:val="en-US" w:eastAsia="zh-CN"/>
        </w:rPr>
        <w:t>软硬件</w:t>
      </w:r>
      <w:r>
        <w:rPr>
          <w:rFonts w:hint="eastAsia" w:ascii="宋体" w:hAnsi="宋体" w:eastAsia="宋体" w:cs="宋体"/>
          <w:spacing w:val="-1"/>
          <w:sz w:val="21"/>
          <w:szCs w:val="21"/>
          <w:highlight w:val="none"/>
        </w:rPr>
        <w:t>终身维护和服务，具体维护费用由采购人和响应供应商通过合同或协议商定。</w:t>
      </w:r>
      <w:r>
        <w:rPr>
          <w:rFonts w:hint="eastAsia" w:ascii="宋体" w:hAnsi="宋体" w:cs="宋体"/>
          <w:spacing w:val="-1"/>
          <w:sz w:val="21"/>
          <w:szCs w:val="21"/>
          <w:highlight w:val="none"/>
          <w:lang w:val="en-US" w:eastAsia="zh-CN"/>
        </w:rPr>
        <w:t>响应供应商需在报价表中注明免费维护期的期限和质保期过后的维护费用。</w:t>
      </w:r>
    </w:p>
    <w:p>
      <w:pPr>
        <w:pStyle w:val="10"/>
        <w:ind w:firstLine="416" w:firstLineChars="200"/>
        <w:rPr>
          <w:rFonts w:hint="eastAsia" w:ascii="宋体" w:hAnsi="宋体" w:eastAsia="宋体" w:cs="宋体"/>
          <w:spacing w:val="-1"/>
          <w:sz w:val="21"/>
          <w:szCs w:val="21"/>
          <w:highlight w:val="none"/>
        </w:rPr>
      </w:pPr>
      <w:r>
        <w:rPr>
          <w:rFonts w:hint="eastAsia" w:ascii="宋体" w:hAnsi="宋体" w:cs="宋体"/>
          <w:spacing w:val="-1"/>
          <w:sz w:val="21"/>
          <w:szCs w:val="21"/>
          <w:highlight w:val="none"/>
          <w:lang w:val="en-US" w:eastAsia="zh-CN"/>
        </w:rPr>
        <w:t>2.</w:t>
      </w:r>
      <w:r>
        <w:rPr>
          <w:rFonts w:hint="eastAsia" w:ascii="宋体" w:hAnsi="宋体" w:eastAsia="宋体" w:cs="宋体"/>
          <w:spacing w:val="-1"/>
          <w:sz w:val="21"/>
          <w:szCs w:val="21"/>
          <w:highlight w:val="none"/>
        </w:rPr>
        <w:t>售后服务要求：本项目范围内的软件系统开发维护服务，必须提供全年无休7*24小时技术热线电话服务。如发生故障必须30分钟内响应；若无法解决的，相关技术专家应4小时内到达现场，尽快加以修复故障。</w:t>
      </w:r>
    </w:p>
    <w:p>
      <w:pPr>
        <w:pStyle w:val="27"/>
        <w:numPr>
          <w:ilvl w:val="0"/>
          <w:numId w:val="0"/>
        </w:numPr>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lang w:val="en-US" w:eastAsia="zh-CN"/>
        </w:rPr>
        <w:t>3.</w:t>
      </w:r>
      <w:r>
        <w:rPr>
          <w:rFonts w:hint="eastAsia" w:ascii="宋体" w:hAnsi="宋体" w:eastAsia="宋体" w:cs="宋体"/>
          <w:spacing w:val="-1"/>
          <w:sz w:val="21"/>
          <w:szCs w:val="21"/>
          <w:highlight w:val="none"/>
        </w:rPr>
        <w:t>培训要求：培训对象包括用户单位系统，如系统管理员、医师、科室主任等角色；通过培训使用户方能独立操作、维护、管理，从而使用户方能独立进行管理、故障处理、日常测试维护等日常工作，确保系统能正常安全运行。必须作出培训承诺，含培训计划、培训内容、培训方法、培训时间、培训地点等。</w:t>
      </w:r>
    </w:p>
    <w:p>
      <w:pPr>
        <w:pStyle w:val="27"/>
        <w:numPr>
          <w:ilvl w:val="0"/>
          <w:numId w:val="0"/>
        </w:numPr>
        <w:ind w:firstLine="420" w:firstLineChars="200"/>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4.报价要求</w:t>
      </w:r>
    </w:p>
    <w:p>
      <w:pPr>
        <w:pStyle w:val="27"/>
        <w:numPr>
          <w:ilvl w:val="0"/>
          <w:numId w:val="0"/>
        </w:numPr>
        <w:spacing w:line="360" w:lineRule="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 xml:space="preserve">    </w:t>
      </w:r>
      <w:r>
        <w:rPr>
          <w:rFonts w:hint="eastAsia" w:ascii="宋体" w:hAnsi="宋体" w:eastAsia="宋体" w:cs="宋体"/>
          <w:sz w:val="21"/>
          <w:szCs w:val="21"/>
          <w:highlight w:val="none"/>
        </w:rPr>
        <w:t>本项目以人民币进行报价，报价应包括：设计、设备制造、包装、仓储、运输、安装（含安装所需材料）、第三方检测验收、保修期与备品备件发生的所有含税费用以及合同实施过程中不可预见费用等，所有货物都必须由供应商专人送达，采购人不代收快递传送货物。设备拆箱、安装时成交供应商与厂家均应在场。项目执行期间项目总金额不变，采购人无须另向成交供应商支付其他任何费用。</w:t>
      </w:r>
    </w:p>
    <w:p>
      <w:pPr>
        <w:widowControl/>
        <w:spacing w:line="360" w:lineRule="auto"/>
        <w:ind w:firstLine="480" w:firstLineChars="200"/>
        <w:jc w:val="left"/>
        <w:rPr>
          <w:rFonts w:hint="eastAsia" w:ascii="宋体" w:hAnsi="宋体" w:eastAsia="宋体" w:cs="宋体"/>
          <w:bCs/>
          <w:sz w:val="24"/>
          <w:szCs w:val="24"/>
          <w:highlight w:val="none"/>
        </w:rPr>
      </w:pPr>
    </w:p>
    <w:p>
      <w:pPr>
        <w:widowControl/>
        <w:jc w:val="left"/>
        <w:rPr>
          <w:rFonts w:hint="eastAsia" w:ascii="宋体" w:hAnsi="宋体" w:eastAsia="宋体" w:cs="宋体"/>
          <w:b/>
          <w:highlight w:val="none"/>
        </w:rPr>
      </w:pPr>
    </w:p>
    <w:p>
      <w:pPr>
        <w:widowControl/>
        <w:jc w:val="left"/>
        <w:rPr>
          <w:rFonts w:hint="eastAsia" w:ascii="宋体" w:hAnsi="宋体" w:eastAsia="宋体" w:cs="宋体"/>
          <w:b/>
          <w:highlight w:val="none"/>
        </w:rPr>
      </w:pPr>
      <w:r>
        <w:rPr>
          <w:rFonts w:hint="eastAsia" w:ascii="宋体" w:hAnsi="宋体" w:eastAsia="宋体" w:cs="宋体"/>
          <w:b/>
          <w:highlight w:val="none"/>
        </w:rPr>
        <w:br w:type="page"/>
      </w:r>
    </w:p>
    <w:p>
      <w:pPr>
        <w:spacing w:line="360" w:lineRule="auto"/>
        <w:jc w:val="center"/>
        <w:rPr>
          <w:rFonts w:hint="eastAsia" w:ascii="宋体" w:hAnsi="宋体" w:eastAsia="宋体" w:cs="宋体"/>
          <w:b/>
          <w:highlight w:val="none"/>
        </w:rPr>
      </w:pPr>
      <w:r>
        <w:rPr>
          <w:rFonts w:hint="eastAsia" w:ascii="宋体" w:hAnsi="宋体" w:eastAsia="宋体" w:cs="宋体"/>
          <w:b/>
          <w:highlight w:val="none"/>
        </w:rPr>
        <w:t>响应供应商须知</w:t>
      </w:r>
    </w:p>
    <w:p>
      <w:pPr>
        <w:spacing w:line="360" w:lineRule="auto"/>
        <w:rPr>
          <w:rFonts w:hint="eastAsia" w:ascii="宋体" w:hAnsi="宋体" w:eastAsia="宋体" w:cs="宋体"/>
          <w:b/>
          <w:bCs/>
          <w:highlight w:val="none"/>
        </w:rPr>
      </w:pPr>
      <w:r>
        <w:rPr>
          <w:rFonts w:hint="eastAsia" w:ascii="宋体" w:hAnsi="宋体" w:eastAsia="宋体" w:cs="宋体"/>
          <w:b/>
          <w:bCs/>
          <w:highlight w:val="none"/>
        </w:rPr>
        <w:t>1.文件的数量和签署</w:t>
      </w:r>
    </w:p>
    <w:p>
      <w:pPr>
        <w:spacing w:line="360" w:lineRule="auto"/>
        <w:ind w:firstLine="420" w:firstLineChars="200"/>
        <w:jc w:val="left"/>
        <w:rPr>
          <w:rFonts w:hint="eastAsia" w:ascii="宋体" w:hAnsi="宋体" w:eastAsia="宋体" w:cs="宋体"/>
          <w:highlight w:val="none"/>
        </w:rPr>
      </w:pPr>
      <w:r>
        <w:rPr>
          <w:rFonts w:hint="eastAsia" w:ascii="宋体" w:hAnsi="宋体" w:eastAsia="宋体" w:cs="宋体"/>
          <w:highlight w:val="none"/>
        </w:rPr>
        <w:t>1.1响应供应商应编制响应文件一式</w:t>
      </w:r>
      <w:r>
        <w:rPr>
          <w:rFonts w:hint="eastAsia" w:ascii="宋体" w:hAnsi="宋体" w:eastAsia="宋体" w:cs="宋体"/>
          <w:b/>
          <w:bCs/>
          <w:highlight w:val="none"/>
          <w:u w:val="single"/>
        </w:rPr>
        <w:t>壹</w:t>
      </w:r>
      <w:r>
        <w:rPr>
          <w:rFonts w:hint="eastAsia" w:ascii="宋体" w:hAnsi="宋体" w:eastAsia="宋体" w:cs="宋体"/>
          <w:highlight w:val="none"/>
        </w:rPr>
        <w:t>份。</w:t>
      </w:r>
    </w:p>
    <w:p>
      <w:pPr>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1.2 响应文件中的任何重要的插字、涂改和增删，必须由法定代表人或经其正式授权的代表在旁边签章或签字才有效。</w:t>
      </w:r>
    </w:p>
    <w:p>
      <w:pPr>
        <w:spacing w:line="360" w:lineRule="auto"/>
        <w:rPr>
          <w:rFonts w:hint="eastAsia" w:ascii="宋体" w:hAnsi="宋体" w:eastAsia="宋体" w:cs="宋体"/>
          <w:b/>
          <w:bCs/>
          <w:highlight w:val="none"/>
        </w:rPr>
      </w:pPr>
      <w:r>
        <w:rPr>
          <w:rFonts w:hint="eastAsia" w:ascii="宋体" w:hAnsi="宋体" w:eastAsia="宋体" w:cs="宋体"/>
          <w:b/>
          <w:bCs/>
          <w:highlight w:val="none"/>
        </w:rPr>
        <w:t>2.磋商响应文件的的封装和标记</w:t>
      </w:r>
    </w:p>
    <w:p>
      <w:pPr>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2.1响应供应商应将响应文件单独密封包装，封口处须加盖投标人单位公章。</w:t>
      </w:r>
    </w:p>
    <w:p>
      <w:pPr>
        <w:spacing w:line="360" w:lineRule="auto"/>
        <w:ind w:firstLine="420" w:firstLineChars="200"/>
        <w:rPr>
          <w:rFonts w:hint="eastAsia" w:ascii="宋体" w:hAnsi="宋体" w:eastAsia="宋体" w:cs="宋体"/>
          <w:bCs/>
          <w:highlight w:val="none"/>
        </w:rPr>
      </w:pPr>
      <w:r>
        <w:rPr>
          <w:rFonts w:hint="eastAsia" w:ascii="宋体" w:hAnsi="宋体" w:eastAsia="宋体" w:cs="宋体"/>
          <w:bCs/>
          <w:highlight w:val="none"/>
        </w:rPr>
        <w:t>2.2响应文件采用胶装式装订，装订应牢固、不易拆散和换页，不得采用活页装订</w:t>
      </w:r>
    </w:p>
    <w:p>
      <w:pPr>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lang w:val="hr-HR"/>
        </w:rPr>
        <w:t>2.3响应文件</w:t>
      </w:r>
      <w:r>
        <w:rPr>
          <w:rFonts w:hint="eastAsia" w:ascii="宋体" w:hAnsi="宋体" w:eastAsia="宋体" w:cs="宋体"/>
          <w:highlight w:val="none"/>
        </w:rPr>
        <w:t>需打印或用不褪色墨水书写，</w:t>
      </w:r>
      <w:r>
        <w:rPr>
          <w:rFonts w:hint="eastAsia" w:ascii="宋体" w:hAnsi="宋体" w:eastAsia="宋体" w:cs="宋体"/>
          <w:bCs/>
          <w:szCs w:val="24"/>
          <w:highlight w:val="none"/>
        </w:rPr>
        <w:t>投标文件正本每一页加盖单位公章并加盖骑缝章</w:t>
      </w:r>
      <w:r>
        <w:rPr>
          <w:rFonts w:hint="eastAsia" w:ascii="宋体" w:hAnsi="宋体" w:eastAsia="宋体" w:cs="宋体"/>
          <w:szCs w:val="24"/>
          <w:highlight w:val="none"/>
        </w:rPr>
        <w:t>。</w:t>
      </w:r>
    </w:p>
    <w:p>
      <w:pPr>
        <w:spacing w:line="360" w:lineRule="auto"/>
        <w:rPr>
          <w:rFonts w:hint="eastAsia" w:ascii="宋体" w:hAnsi="宋体" w:eastAsia="宋体" w:cs="宋体"/>
          <w:b/>
          <w:highlight w:val="none"/>
        </w:rPr>
      </w:pPr>
      <w:r>
        <w:rPr>
          <w:rFonts w:hint="eastAsia" w:ascii="宋体" w:hAnsi="宋体" w:eastAsia="宋体" w:cs="宋体"/>
          <w:b/>
          <w:highlight w:val="none"/>
        </w:rPr>
        <w:t>3.</w:t>
      </w:r>
      <w:r>
        <w:rPr>
          <w:rFonts w:hint="eastAsia" w:ascii="宋体" w:hAnsi="宋体" w:eastAsia="宋体" w:cs="宋体"/>
          <w:b/>
          <w:bCs/>
          <w:highlight w:val="none"/>
        </w:rPr>
        <w:t xml:space="preserve"> 响应供应商悉知</w:t>
      </w:r>
    </w:p>
    <w:p>
      <w:pPr>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响应供应商将被视为已合理地尽可能地对所有影响本采购项目的事项，包括任何与本招标文件所列明的有关的特殊困难充分了解。</w:t>
      </w:r>
    </w:p>
    <w:p>
      <w:pPr>
        <w:spacing w:line="360" w:lineRule="auto"/>
        <w:rPr>
          <w:rFonts w:hint="eastAsia" w:ascii="宋体" w:hAnsi="宋体" w:eastAsia="宋体" w:cs="宋体"/>
          <w:b/>
          <w:highlight w:val="none"/>
        </w:rPr>
      </w:pPr>
      <w:r>
        <w:rPr>
          <w:rFonts w:hint="eastAsia" w:ascii="宋体" w:hAnsi="宋体" w:eastAsia="宋体" w:cs="宋体"/>
          <w:b/>
          <w:highlight w:val="none"/>
        </w:rPr>
        <w:t>4.响应文件的递交</w:t>
      </w:r>
    </w:p>
    <w:p>
      <w:pPr>
        <w:spacing w:line="360" w:lineRule="auto"/>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rPr>
        <w:t>所有响应文件应于采购公告的截止时间前递交到采购人指定地点，</w:t>
      </w:r>
      <w:r>
        <w:rPr>
          <w:rFonts w:hint="eastAsia" w:ascii="宋体" w:hAnsi="宋体" w:eastAsia="宋体" w:cs="宋体"/>
          <w:highlight w:val="none"/>
          <w:lang w:val="en-US" w:eastAsia="zh-CN"/>
        </w:rPr>
        <w:t>可邮寄或现场递交。</w:t>
      </w:r>
    </w:p>
    <w:p>
      <w:pPr>
        <w:spacing w:line="360" w:lineRule="auto"/>
        <w:rPr>
          <w:rFonts w:hint="eastAsia" w:ascii="宋体" w:hAnsi="宋体" w:eastAsia="宋体" w:cs="宋体"/>
          <w:b/>
          <w:bCs/>
          <w:highlight w:val="none"/>
        </w:rPr>
      </w:pPr>
      <w:r>
        <w:rPr>
          <w:rFonts w:hint="eastAsia" w:ascii="宋体" w:hAnsi="宋体" w:eastAsia="宋体" w:cs="宋体"/>
          <w:b/>
          <w:bCs/>
          <w:highlight w:val="none"/>
        </w:rPr>
        <w:t>5.本文件的解释权归采购人所有</w:t>
      </w:r>
      <w:r>
        <w:rPr>
          <w:rFonts w:hint="eastAsia" w:ascii="宋体" w:hAnsi="宋体" w:eastAsia="宋体" w:cs="宋体"/>
          <w:highlight w:val="none"/>
        </w:rPr>
        <w:t>。</w:t>
      </w:r>
    </w:p>
    <w:p>
      <w:pPr>
        <w:rPr>
          <w:rFonts w:hint="eastAsia" w:ascii="宋体" w:hAnsi="宋体" w:eastAsia="宋体" w:cs="宋体"/>
          <w:b/>
          <w:spacing w:val="100"/>
          <w:w w:val="110"/>
          <w:kern w:val="0"/>
          <w:sz w:val="44"/>
          <w:szCs w:val="44"/>
          <w:highlight w:val="none"/>
        </w:rPr>
      </w:pPr>
      <w:r>
        <w:rPr>
          <w:rFonts w:hint="eastAsia" w:ascii="宋体" w:hAnsi="宋体" w:eastAsia="宋体" w:cs="宋体"/>
          <w:highlight w:val="none"/>
        </w:rPr>
        <w:br w:type="page"/>
      </w:r>
    </w:p>
    <w:p>
      <w:pPr>
        <w:widowControl/>
        <w:jc w:val="left"/>
        <w:rPr>
          <w:rFonts w:hint="eastAsia" w:ascii="宋体" w:hAnsi="宋体" w:eastAsia="宋体" w:cs="宋体"/>
          <w:b/>
          <w:spacing w:val="100"/>
          <w:w w:val="110"/>
          <w:kern w:val="0"/>
          <w:sz w:val="44"/>
          <w:szCs w:val="44"/>
          <w:highlight w:val="none"/>
        </w:rPr>
      </w:pPr>
    </w:p>
    <w:p>
      <w:pPr>
        <w:pStyle w:val="14"/>
        <w:tabs>
          <w:tab w:val="left" w:pos="1260"/>
        </w:tabs>
        <w:spacing w:line="680" w:lineRule="auto"/>
        <w:ind w:firstLine="0" w:firstLineChars="0"/>
        <w:jc w:val="center"/>
        <w:rPr>
          <w:rFonts w:hint="eastAsia" w:ascii="宋体" w:hAnsi="宋体" w:eastAsia="宋体" w:cs="宋体"/>
          <w:b/>
          <w:spacing w:val="100"/>
          <w:w w:val="110"/>
          <w:sz w:val="44"/>
          <w:szCs w:val="44"/>
          <w:highlight w:val="none"/>
        </w:rPr>
      </w:pPr>
    </w:p>
    <w:p>
      <w:pPr>
        <w:pStyle w:val="14"/>
        <w:tabs>
          <w:tab w:val="left" w:pos="1260"/>
        </w:tabs>
        <w:spacing w:line="680" w:lineRule="auto"/>
        <w:ind w:firstLine="0" w:firstLineChars="0"/>
        <w:jc w:val="center"/>
        <w:rPr>
          <w:rFonts w:hint="eastAsia" w:ascii="宋体" w:hAnsi="宋体" w:eastAsia="宋体" w:cs="宋体"/>
          <w:b/>
          <w:spacing w:val="100"/>
          <w:w w:val="110"/>
          <w:sz w:val="44"/>
          <w:szCs w:val="44"/>
          <w:highlight w:val="none"/>
        </w:rPr>
      </w:pPr>
      <w:r>
        <w:rPr>
          <w:rFonts w:hint="eastAsia" w:ascii="宋体" w:hAnsi="宋体" w:eastAsia="宋体" w:cs="宋体"/>
          <w:b/>
          <w:spacing w:val="100"/>
          <w:w w:val="110"/>
          <w:sz w:val="44"/>
          <w:szCs w:val="44"/>
          <w:highlight w:val="none"/>
        </w:rPr>
        <w:t>响应文件</w:t>
      </w:r>
    </w:p>
    <w:p>
      <w:pPr>
        <w:pStyle w:val="14"/>
        <w:tabs>
          <w:tab w:val="left" w:pos="1260"/>
        </w:tabs>
        <w:spacing w:line="680" w:lineRule="auto"/>
        <w:ind w:firstLine="0" w:firstLineChars="0"/>
        <w:jc w:val="center"/>
        <w:rPr>
          <w:rFonts w:hint="eastAsia" w:ascii="宋体" w:hAnsi="宋体" w:eastAsia="宋体" w:cs="宋体"/>
          <w:b/>
          <w:spacing w:val="100"/>
          <w:w w:val="110"/>
          <w:sz w:val="44"/>
          <w:szCs w:val="44"/>
          <w:highlight w:val="none"/>
        </w:rPr>
      </w:pPr>
      <w:r>
        <w:rPr>
          <w:rFonts w:hint="eastAsia" w:ascii="宋体" w:hAnsi="宋体" w:eastAsia="宋体" w:cs="宋体"/>
          <w:b/>
          <w:sz w:val="44"/>
          <w:szCs w:val="44"/>
          <w:highlight w:val="none"/>
        </w:rPr>
        <w:t>（正本）</w:t>
      </w:r>
    </w:p>
    <w:p>
      <w:pPr>
        <w:pStyle w:val="14"/>
        <w:spacing w:line="680" w:lineRule="auto"/>
        <w:ind w:firstLine="482"/>
        <w:jc w:val="center"/>
        <w:rPr>
          <w:rFonts w:hint="eastAsia" w:ascii="宋体" w:hAnsi="宋体" w:eastAsia="宋体" w:cs="宋体"/>
          <w:b/>
          <w:szCs w:val="24"/>
          <w:highlight w:val="none"/>
        </w:rPr>
      </w:pPr>
    </w:p>
    <w:p>
      <w:pPr>
        <w:pStyle w:val="14"/>
        <w:spacing w:line="440" w:lineRule="auto"/>
        <w:ind w:firstLine="482"/>
        <w:jc w:val="center"/>
        <w:rPr>
          <w:rFonts w:hint="eastAsia" w:ascii="宋体" w:hAnsi="宋体" w:eastAsia="宋体" w:cs="宋体"/>
          <w:b/>
          <w:szCs w:val="24"/>
          <w:highlight w:val="none"/>
        </w:rPr>
      </w:pPr>
    </w:p>
    <w:p>
      <w:pPr>
        <w:pStyle w:val="12"/>
        <w:spacing w:line="440" w:lineRule="auto"/>
        <w:ind w:firstLine="0" w:firstLineChars="0"/>
        <w:rPr>
          <w:rFonts w:hint="eastAsia" w:ascii="宋体" w:hAnsi="宋体" w:eastAsia="宋体" w:cs="宋体"/>
          <w:sz w:val="24"/>
          <w:szCs w:val="24"/>
          <w:highlight w:val="none"/>
          <w:u w:val="single"/>
        </w:rPr>
      </w:pPr>
    </w:p>
    <w:p>
      <w:pPr>
        <w:pStyle w:val="12"/>
        <w:spacing w:line="440" w:lineRule="auto"/>
        <w:ind w:firstLine="1687" w:firstLineChars="700"/>
        <w:rPr>
          <w:rFonts w:hint="eastAsia" w:ascii="宋体" w:hAnsi="宋体" w:eastAsia="宋体" w:cs="宋体"/>
          <w:b/>
          <w:bCs/>
          <w:sz w:val="24"/>
          <w:szCs w:val="24"/>
          <w:highlight w:val="none"/>
        </w:rPr>
      </w:pPr>
      <w:r>
        <w:rPr>
          <w:rFonts w:hint="eastAsia" w:ascii="宋体" w:hAnsi="宋体" w:eastAsia="宋体" w:cs="宋体"/>
          <w:b/>
          <w:sz w:val="24"/>
          <w:szCs w:val="24"/>
          <w:highlight w:val="none"/>
        </w:rPr>
        <w:t>项目名称</w:t>
      </w:r>
      <w:r>
        <w:rPr>
          <w:rFonts w:hint="eastAsia" w:ascii="宋体" w:hAnsi="宋体" w:eastAsia="宋体" w:cs="宋体"/>
          <w:sz w:val="24"/>
          <w:szCs w:val="24"/>
          <w:highlight w:val="none"/>
        </w:rPr>
        <w:t>：</w:t>
      </w:r>
    </w:p>
    <w:p>
      <w:pPr>
        <w:pStyle w:val="14"/>
        <w:spacing w:line="440" w:lineRule="auto"/>
        <w:ind w:firstLine="1687" w:firstLineChars="700"/>
        <w:rPr>
          <w:rFonts w:hint="eastAsia" w:ascii="宋体" w:hAnsi="宋体" w:eastAsia="宋体" w:cs="宋体"/>
          <w:b/>
          <w:szCs w:val="24"/>
          <w:highlight w:val="none"/>
        </w:rPr>
      </w:pPr>
    </w:p>
    <w:p>
      <w:pPr>
        <w:pStyle w:val="14"/>
        <w:spacing w:line="440" w:lineRule="auto"/>
        <w:ind w:firstLine="723" w:firstLineChars="300"/>
        <w:rPr>
          <w:rFonts w:hint="eastAsia" w:ascii="宋体" w:hAnsi="宋体" w:eastAsia="宋体" w:cs="宋体"/>
          <w:b/>
          <w:szCs w:val="24"/>
          <w:highlight w:val="none"/>
        </w:rPr>
      </w:pPr>
    </w:p>
    <w:p>
      <w:pPr>
        <w:pStyle w:val="14"/>
        <w:spacing w:line="440" w:lineRule="auto"/>
        <w:ind w:firstLine="723" w:firstLineChars="300"/>
        <w:rPr>
          <w:rFonts w:hint="eastAsia" w:ascii="宋体" w:hAnsi="宋体" w:eastAsia="宋体" w:cs="宋体"/>
          <w:b/>
          <w:szCs w:val="24"/>
          <w:highlight w:val="none"/>
        </w:rPr>
      </w:pPr>
    </w:p>
    <w:p>
      <w:pPr>
        <w:pStyle w:val="14"/>
        <w:spacing w:line="440" w:lineRule="auto"/>
        <w:ind w:firstLine="723" w:firstLineChars="300"/>
        <w:rPr>
          <w:rFonts w:hint="eastAsia" w:ascii="宋体" w:hAnsi="宋体" w:eastAsia="宋体" w:cs="宋体"/>
          <w:b/>
          <w:szCs w:val="24"/>
          <w:highlight w:val="none"/>
        </w:rPr>
      </w:pPr>
    </w:p>
    <w:p>
      <w:pPr>
        <w:pStyle w:val="14"/>
        <w:spacing w:line="440" w:lineRule="auto"/>
        <w:ind w:firstLine="2243" w:firstLineChars="931"/>
        <w:rPr>
          <w:rFonts w:hint="eastAsia" w:ascii="宋体" w:hAnsi="宋体" w:eastAsia="宋体" w:cs="宋体"/>
          <w:b/>
          <w:szCs w:val="24"/>
          <w:highlight w:val="none"/>
          <w:u w:val="single"/>
        </w:rPr>
      </w:pPr>
      <w:r>
        <w:rPr>
          <w:rFonts w:hint="eastAsia" w:ascii="宋体" w:hAnsi="宋体" w:eastAsia="宋体" w:cs="宋体"/>
          <w:b/>
          <w:szCs w:val="24"/>
          <w:highlight w:val="none"/>
        </w:rPr>
        <w:t>报价单位名称：</w:t>
      </w:r>
      <w:r>
        <w:rPr>
          <w:rFonts w:hint="eastAsia" w:ascii="宋体" w:hAnsi="宋体" w:eastAsia="宋体" w:cs="宋体"/>
          <w:b/>
          <w:szCs w:val="24"/>
          <w:highlight w:val="none"/>
          <w:u w:val="single"/>
        </w:rPr>
        <w:t xml:space="preserve">                    </w:t>
      </w:r>
    </w:p>
    <w:p>
      <w:pPr>
        <w:autoSpaceDE w:val="0"/>
        <w:autoSpaceDN w:val="0"/>
        <w:spacing w:line="440" w:lineRule="auto"/>
        <w:ind w:firstLine="2631" w:firstLineChars="1248"/>
        <w:rPr>
          <w:rFonts w:hint="eastAsia" w:ascii="宋体" w:hAnsi="宋体" w:eastAsia="宋体" w:cs="宋体"/>
          <w:b/>
          <w:highlight w:val="none"/>
          <w:u w:val="single"/>
        </w:rPr>
      </w:pPr>
      <w:r>
        <w:rPr>
          <w:rFonts w:hint="eastAsia" w:ascii="宋体" w:hAnsi="宋体" w:eastAsia="宋体" w:cs="宋体"/>
          <w:b/>
          <w:highlight w:val="none"/>
        </w:rPr>
        <w:t>日期：</w:t>
      </w:r>
      <w:r>
        <w:rPr>
          <w:rFonts w:hint="eastAsia" w:ascii="宋体" w:hAnsi="宋体" w:eastAsia="宋体" w:cs="宋体"/>
          <w:b/>
          <w:highlight w:val="none"/>
          <w:u w:val="single"/>
        </w:rPr>
        <w:t xml:space="preserve">             </w:t>
      </w:r>
      <w:r>
        <w:rPr>
          <w:rFonts w:hint="eastAsia" w:ascii="宋体" w:hAnsi="宋体" w:eastAsia="宋体" w:cs="宋体"/>
          <w:b/>
          <w:highlight w:val="none"/>
        </w:rPr>
        <w:t>年</w:t>
      </w:r>
      <w:r>
        <w:rPr>
          <w:rFonts w:hint="eastAsia" w:ascii="宋体" w:hAnsi="宋体" w:eastAsia="宋体" w:cs="宋体"/>
          <w:b/>
          <w:highlight w:val="none"/>
          <w:u w:val="single"/>
        </w:rPr>
        <w:t xml:space="preserve">      </w:t>
      </w:r>
      <w:r>
        <w:rPr>
          <w:rFonts w:hint="eastAsia" w:ascii="宋体" w:hAnsi="宋体" w:eastAsia="宋体" w:cs="宋体"/>
          <w:b/>
          <w:highlight w:val="none"/>
        </w:rPr>
        <w:t>月</w:t>
      </w:r>
      <w:r>
        <w:rPr>
          <w:rFonts w:hint="eastAsia" w:ascii="宋体" w:hAnsi="宋体" w:eastAsia="宋体" w:cs="宋体"/>
          <w:b/>
          <w:highlight w:val="none"/>
          <w:u w:val="single"/>
        </w:rPr>
        <w:t xml:space="preserve">      </w:t>
      </w:r>
      <w:r>
        <w:rPr>
          <w:rFonts w:hint="eastAsia" w:ascii="宋体" w:hAnsi="宋体" w:eastAsia="宋体" w:cs="宋体"/>
          <w:b/>
          <w:highlight w:val="none"/>
        </w:rPr>
        <w:t>日</w:t>
      </w:r>
    </w:p>
    <w:p>
      <w:pPr>
        <w:autoSpaceDE w:val="0"/>
        <w:autoSpaceDN w:val="0"/>
        <w:adjustRightInd w:val="0"/>
        <w:ind w:firstLine="480"/>
        <w:jc w:val="center"/>
        <w:rPr>
          <w:rFonts w:hint="eastAsia" w:ascii="宋体" w:hAnsi="宋体" w:eastAsia="宋体" w:cs="宋体"/>
          <w:highlight w:val="none"/>
        </w:rPr>
      </w:pPr>
    </w:p>
    <w:p>
      <w:pPr>
        <w:autoSpaceDE w:val="0"/>
        <w:autoSpaceDN w:val="0"/>
        <w:adjustRightInd w:val="0"/>
        <w:ind w:firstLine="480"/>
        <w:jc w:val="center"/>
        <w:rPr>
          <w:rFonts w:hint="eastAsia" w:ascii="宋体" w:hAnsi="宋体" w:eastAsia="宋体" w:cs="宋体"/>
          <w:highlight w:val="none"/>
        </w:rPr>
      </w:pPr>
    </w:p>
    <w:p>
      <w:pPr>
        <w:ind w:firstLine="482"/>
        <w:jc w:val="center"/>
        <w:outlineLvl w:val="1"/>
        <w:rPr>
          <w:rFonts w:hint="eastAsia" w:ascii="宋体" w:hAnsi="宋体" w:eastAsia="宋体" w:cs="宋体"/>
          <w:highlight w:val="none"/>
        </w:rPr>
      </w:pPr>
      <w:r>
        <w:rPr>
          <w:rFonts w:hint="eastAsia" w:ascii="宋体" w:hAnsi="宋体" w:eastAsia="宋体" w:cs="宋体"/>
          <w:b/>
          <w:highlight w:val="none"/>
        </w:rPr>
        <w:br w:type="page"/>
      </w:r>
    </w:p>
    <w:p>
      <w:pPr>
        <w:spacing w:line="380" w:lineRule="exact"/>
        <w:rPr>
          <w:rFonts w:hint="eastAsia" w:ascii="宋体" w:hAnsi="宋体" w:eastAsia="宋体" w:cs="宋体"/>
          <w:highlight w:val="none"/>
          <w:u w:val="single"/>
        </w:rPr>
      </w:pPr>
      <w:r>
        <w:rPr>
          <w:rFonts w:hint="eastAsia" w:ascii="宋体" w:hAnsi="宋体" w:eastAsia="宋体" w:cs="宋体"/>
          <w:b/>
          <w:bCs/>
          <w:highlight w:val="none"/>
        </w:rPr>
        <w:t>一．法定代表人/负责人资格证明书及授权委托书</w:t>
      </w:r>
    </w:p>
    <w:p>
      <w:pPr>
        <w:spacing w:line="360" w:lineRule="auto"/>
        <w:ind w:firstLine="413" w:firstLineChars="196"/>
        <w:jc w:val="center"/>
        <w:rPr>
          <w:rFonts w:hint="eastAsia" w:ascii="宋体" w:hAnsi="宋体" w:eastAsia="宋体" w:cs="宋体"/>
          <w:b/>
          <w:bCs/>
          <w:highlight w:val="none"/>
        </w:rPr>
      </w:pPr>
      <w:r>
        <w:rPr>
          <w:rFonts w:hint="eastAsia" w:ascii="宋体" w:hAnsi="宋体" w:eastAsia="宋体" w:cs="宋体"/>
          <w:b/>
          <w:bCs/>
          <w:highlight w:val="none"/>
        </w:rPr>
        <w:t>法定代表人/负责人资格证明书</w:t>
      </w:r>
    </w:p>
    <w:p>
      <w:pPr>
        <w:spacing w:line="480" w:lineRule="auto"/>
        <w:rPr>
          <w:rFonts w:hint="eastAsia" w:ascii="宋体" w:hAnsi="宋体" w:eastAsia="宋体" w:cs="宋体"/>
          <w:highlight w:val="none"/>
        </w:rPr>
      </w:pPr>
      <w:r>
        <w:rPr>
          <w:rFonts w:hint="eastAsia" w:ascii="宋体" w:hAnsi="宋体" w:eastAsia="宋体" w:cs="宋体"/>
          <w:highlight w:val="none"/>
        </w:rPr>
        <w:t>致：</w:t>
      </w:r>
      <w:r>
        <w:rPr>
          <w:rFonts w:hint="eastAsia" w:ascii="宋体" w:hAnsi="宋体" w:eastAsia="宋体" w:cs="宋体"/>
          <w:b/>
          <w:bCs/>
          <w:highlight w:val="none"/>
        </w:rPr>
        <w:t>茂名市人民医院</w:t>
      </w:r>
      <w:r>
        <w:rPr>
          <w:rFonts w:hint="eastAsia" w:ascii="宋体" w:hAnsi="宋体" w:eastAsia="宋体" w:cs="宋体"/>
          <w:highlight w:val="none"/>
        </w:rPr>
        <w:t>：</w:t>
      </w:r>
    </w:p>
    <w:p>
      <w:pPr>
        <w:spacing w:line="480" w:lineRule="auto"/>
        <w:ind w:firstLine="480"/>
        <w:rPr>
          <w:rFonts w:hint="eastAsia" w:ascii="宋体" w:hAnsi="宋体" w:eastAsia="宋体" w:cs="宋体"/>
          <w:highlight w:val="none"/>
        </w:rPr>
      </w:pPr>
      <w:r>
        <w:rPr>
          <w:rFonts w:hint="eastAsia" w:ascii="宋体" w:hAnsi="宋体" w:eastAsia="宋体" w:cs="宋体"/>
          <w:highlight w:val="none"/>
          <w:u w:val="single"/>
        </w:rPr>
        <w:t xml:space="preserve">        </w:t>
      </w:r>
      <w:r>
        <w:rPr>
          <w:rFonts w:hint="eastAsia" w:ascii="宋体" w:hAnsi="宋体" w:eastAsia="宋体" w:cs="宋体"/>
          <w:highlight w:val="none"/>
        </w:rPr>
        <w:t>同志，现任我单位</w:t>
      </w:r>
      <w:r>
        <w:rPr>
          <w:rFonts w:hint="eastAsia" w:ascii="宋体" w:hAnsi="宋体" w:eastAsia="宋体" w:cs="宋体"/>
          <w:highlight w:val="none"/>
          <w:u w:val="single"/>
        </w:rPr>
        <w:t xml:space="preserve">          </w:t>
      </w:r>
      <w:r>
        <w:rPr>
          <w:rFonts w:hint="eastAsia" w:ascii="宋体" w:hAnsi="宋体" w:eastAsia="宋体" w:cs="宋体"/>
          <w:highlight w:val="none"/>
        </w:rPr>
        <w:t>职务，为法定代表人，特此证明。</w:t>
      </w:r>
    </w:p>
    <w:p>
      <w:pPr>
        <w:spacing w:line="360" w:lineRule="auto"/>
        <w:ind w:firstLine="480"/>
        <w:rPr>
          <w:rFonts w:hint="eastAsia" w:ascii="宋体" w:hAnsi="宋体" w:eastAsia="宋体" w:cs="宋体"/>
          <w:highlight w:val="none"/>
        </w:rPr>
      </w:pPr>
      <w:r>
        <w:rPr>
          <w:rFonts w:hint="eastAsia" w:ascii="宋体" w:hAnsi="宋体" w:eastAsia="宋体" w:cs="宋体"/>
          <w:highlight w:val="none"/>
        </w:rPr>
        <w:t>签发日期：           单位：           （盖章）</w:t>
      </w:r>
    </w:p>
    <w:p>
      <w:pPr>
        <w:spacing w:line="360" w:lineRule="auto"/>
        <w:ind w:firstLine="480"/>
        <w:rPr>
          <w:rFonts w:hint="eastAsia" w:ascii="宋体" w:hAnsi="宋体" w:eastAsia="宋体" w:cs="宋体"/>
          <w:highlight w:val="none"/>
        </w:rPr>
      </w:pPr>
      <w:r>
        <w:rPr>
          <w:rFonts w:hint="eastAsia" w:ascii="宋体" w:hAnsi="宋体" w:eastAsia="宋体" w:cs="宋体"/>
          <w:highlight w:val="none"/>
        </w:rPr>
        <w:t>附：</w:t>
      </w:r>
    </w:p>
    <w:p>
      <w:pPr>
        <w:spacing w:line="360" w:lineRule="auto"/>
        <w:ind w:firstLine="480"/>
        <w:rPr>
          <w:rFonts w:hint="eastAsia" w:ascii="宋体" w:hAnsi="宋体" w:eastAsia="宋体" w:cs="宋体"/>
          <w:highlight w:val="none"/>
        </w:rPr>
      </w:pPr>
      <w:r>
        <w:rPr>
          <w:rFonts w:hint="eastAsia" w:ascii="宋体" w:hAnsi="宋体" w:eastAsia="宋体" w:cs="宋体"/>
          <w:highlight w:val="none"/>
        </w:rPr>
        <w:t>代表人性别：            年龄：           身份证号码：</w:t>
      </w:r>
    </w:p>
    <w:p>
      <w:pPr>
        <w:spacing w:line="360" w:lineRule="auto"/>
        <w:ind w:firstLine="480"/>
        <w:rPr>
          <w:rFonts w:hint="eastAsia" w:ascii="宋体" w:hAnsi="宋体" w:eastAsia="宋体" w:cs="宋体"/>
          <w:highlight w:val="none"/>
        </w:rPr>
      </w:pPr>
      <w:r>
        <w:rPr>
          <w:rFonts w:hint="eastAsia" w:ascii="宋体" w:hAnsi="宋体" w:eastAsia="宋体" w:cs="宋体"/>
          <w:highlight w:val="none"/>
        </w:rPr>
        <w:t>联系电话：</w:t>
      </w:r>
    </w:p>
    <w:p>
      <w:pPr>
        <w:spacing w:line="360" w:lineRule="auto"/>
        <w:ind w:firstLine="480"/>
        <w:rPr>
          <w:rFonts w:hint="eastAsia" w:ascii="宋体" w:hAnsi="宋体" w:eastAsia="宋体" w:cs="宋体"/>
          <w:highlight w:val="none"/>
        </w:rPr>
      </w:pPr>
      <w:r>
        <w:rPr>
          <w:rFonts w:hint="eastAsia" w:ascii="宋体" w:hAnsi="宋体" w:eastAsia="宋体" w:cs="宋体"/>
          <w:highlight w:val="none"/>
        </w:rPr>
        <w:t>营业执照号码：                       经济性质：</w:t>
      </w:r>
    </w:p>
    <w:p>
      <w:pPr>
        <w:spacing w:line="360" w:lineRule="auto"/>
        <w:ind w:firstLine="480"/>
        <w:rPr>
          <w:rFonts w:hint="eastAsia" w:ascii="宋体" w:hAnsi="宋体" w:eastAsia="宋体" w:cs="宋体"/>
          <w:highlight w:val="none"/>
        </w:rPr>
      </w:pPr>
      <w:r>
        <w:rPr>
          <w:rFonts w:hint="eastAsia" w:ascii="宋体" w:hAnsi="宋体" w:eastAsia="宋体" w:cs="宋体"/>
          <w:highlight w:val="none"/>
        </w:rPr>
        <w:t>主营（产）：</w:t>
      </w:r>
    </w:p>
    <w:p>
      <w:pPr>
        <w:spacing w:line="360" w:lineRule="auto"/>
        <w:ind w:firstLine="480"/>
        <w:rPr>
          <w:rFonts w:hint="eastAsia" w:ascii="宋体" w:hAnsi="宋体" w:eastAsia="宋体" w:cs="宋体"/>
          <w:highlight w:val="none"/>
        </w:rPr>
      </w:pPr>
      <w:r>
        <w:rPr>
          <w:rFonts w:hint="eastAsia" w:ascii="宋体" w:hAnsi="宋体" w:eastAsia="宋体" w:cs="宋体"/>
          <w:highlight w:val="none"/>
        </w:rPr>
        <w:t>兼营（产）：</w:t>
      </w:r>
    </w:p>
    <w:p>
      <w:pPr>
        <w:spacing w:line="360" w:lineRule="auto"/>
        <w:rPr>
          <w:rFonts w:hint="eastAsia" w:ascii="宋体" w:hAnsi="宋体" w:eastAsia="宋体" w:cs="宋体"/>
          <w:highlight w:val="none"/>
        </w:rPr>
      </w:pPr>
    </w:p>
    <w:p>
      <w:pPr>
        <w:spacing w:line="360" w:lineRule="auto"/>
        <w:rPr>
          <w:rFonts w:hint="eastAsia" w:ascii="宋体" w:hAnsi="宋体" w:eastAsia="宋体" w:cs="宋体"/>
          <w:highlight w:val="none"/>
        </w:rPr>
      </w:pPr>
      <w:r>
        <w:rPr>
          <w:rFonts w:hint="eastAsia" w:ascii="宋体" w:hAnsi="宋体" w:eastAsia="宋体" w:cs="宋体"/>
          <w:highlight w:val="none"/>
        </w:rPr>
        <w:t>说明：1.法定代表人为企业事业单位、国家机关、社会团体的主要行政负责人。</w:t>
      </w:r>
    </w:p>
    <w:p>
      <w:pPr>
        <w:spacing w:line="360" w:lineRule="auto"/>
        <w:ind w:firstLine="480"/>
        <w:rPr>
          <w:rFonts w:hint="eastAsia" w:ascii="宋体" w:hAnsi="宋体" w:eastAsia="宋体" w:cs="宋体"/>
          <w:highlight w:val="none"/>
        </w:rPr>
      </w:pPr>
      <w:r>
        <w:rPr>
          <w:rFonts w:hint="eastAsia" w:ascii="宋体" w:hAnsi="宋体" w:eastAsia="宋体" w:cs="宋体"/>
          <w:highlight w:val="none"/>
        </w:rPr>
        <w:t xml:space="preserve">  2.内容必须填写真实、清楚、涂改无效，不得转让、买卖。</w:t>
      </w:r>
    </w:p>
    <w:p>
      <w:pPr>
        <w:spacing w:line="360" w:lineRule="auto"/>
        <w:ind w:firstLine="480"/>
        <w:rPr>
          <w:rFonts w:hint="eastAsia" w:ascii="宋体" w:hAnsi="宋体" w:eastAsia="宋体" w:cs="宋体"/>
          <w:highlight w:val="none"/>
        </w:rPr>
      </w:pPr>
      <w:r>
        <w:rPr>
          <w:rFonts w:hint="eastAsia" w:ascii="宋体" w:hAnsi="宋体" w:eastAsia="宋体" w:cs="宋体"/>
          <w:highlight w:val="none"/>
        </w:rPr>
        <w:t xml:space="preserve">  3.将此证明书提交对方作为合同附件。</w:t>
      </w:r>
    </w:p>
    <w:p>
      <w:pPr>
        <w:spacing w:line="360" w:lineRule="auto"/>
        <w:ind w:firstLine="560"/>
        <w:rPr>
          <w:rFonts w:hint="eastAsia" w:ascii="宋体" w:hAnsi="宋体" w:eastAsia="宋体" w:cs="宋体"/>
          <w:b/>
          <w:sz w:val="28"/>
          <w:szCs w:val="28"/>
          <w:highlight w:val="none"/>
        </w:rPr>
      </w:pPr>
      <w:r>
        <w:rPr>
          <w:rFonts w:hint="eastAsia" w:ascii="宋体" w:hAnsi="宋体" w:eastAsia="宋体" w:cs="宋体"/>
          <w:sz w:val="28"/>
          <w:szCs w:val="28"/>
          <w:highlight w:val="none"/>
        </w:rPr>
        <w:t xml:space="preserve"> </w:t>
      </w:r>
      <w:r>
        <w:rPr>
          <w:rFonts w:hint="eastAsia" w:ascii="宋体" w:hAnsi="宋体" w:eastAsia="宋体" w:cs="宋体"/>
          <w:b/>
          <w:sz w:val="28"/>
          <w:szCs w:val="28"/>
          <w:highlight w:val="none"/>
        </w:rPr>
        <w:t xml:space="preserve"> （为避免废标，请供应商务必提供本附件）</w:t>
      </w:r>
    </w:p>
    <w:p>
      <w:pPr>
        <w:pStyle w:val="14"/>
        <w:ind w:firstLine="0" w:firstLineChars="0"/>
        <w:rPr>
          <w:rFonts w:hint="eastAsia" w:ascii="宋体" w:hAnsi="宋体" w:eastAsia="宋体" w:cs="宋体"/>
          <w:b/>
          <w:bCs/>
          <w:sz w:val="21"/>
          <w:highlight w:val="none"/>
        </w:rPr>
      </w:pPr>
    </w:p>
    <w:p>
      <w:pPr>
        <w:pStyle w:val="14"/>
        <w:ind w:firstLine="422"/>
        <w:rPr>
          <w:rFonts w:hint="eastAsia" w:ascii="宋体" w:hAnsi="宋体" w:eastAsia="宋体" w:cs="宋体"/>
          <w:b/>
          <w:bCs/>
          <w:sz w:val="21"/>
          <w:highlight w:val="none"/>
        </w:rPr>
      </w:pPr>
      <w:r>
        <w:rPr>
          <w:rFonts w:hint="eastAsia" w:ascii="宋体" w:hAnsi="宋体" w:eastAsia="宋体" w:cs="宋体"/>
          <w:b/>
          <w:bCs/>
          <w:sz w:val="21"/>
          <w:highlight w:val="none"/>
        </w:rPr>
        <mc:AlternateContent>
          <mc:Choice Requires="wps">
            <w:drawing>
              <wp:anchor distT="0" distB="0" distL="114300" distR="114300" simplePos="0" relativeHeight="251660288" behindDoc="0" locked="0" layoutInCell="1" allowOverlap="1">
                <wp:simplePos x="0" y="0"/>
                <wp:positionH relativeFrom="column">
                  <wp:posOffset>2766695</wp:posOffset>
                </wp:positionH>
                <wp:positionV relativeFrom="paragraph">
                  <wp:posOffset>144780</wp:posOffset>
                </wp:positionV>
                <wp:extent cx="2491740" cy="1596390"/>
                <wp:effectExtent l="12065" t="10160" r="10795" b="12700"/>
                <wp:wrapNone/>
                <wp:docPr id="8" name="Rectangle 6"/>
                <wp:cNvGraphicFramePr/>
                <a:graphic xmlns:a="http://schemas.openxmlformats.org/drawingml/2006/main">
                  <a:graphicData uri="http://schemas.microsoft.com/office/word/2010/wordprocessingShape">
                    <wps:wsp>
                      <wps:cNvSpPr>
                        <a:spLocks noChangeArrowheads="1"/>
                      </wps:cNvSpPr>
                      <wps:spPr bwMode="auto">
                        <a:xfrm>
                          <a:off x="0" y="0"/>
                          <a:ext cx="2491740" cy="1596390"/>
                        </a:xfrm>
                        <a:prstGeom prst="rect">
                          <a:avLst/>
                        </a:prstGeom>
                        <a:solidFill>
                          <a:srgbClr val="FFFFFF"/>
                        </a:solidFill>
                        <a:ln w="9525">
                          <a:solidFill>
                            <a:srgbClr val="000000"/>
                          </a:solidFill>
                          <a:miter lim="800000"/>
                        </a:ln>
                      </wps:spPr>
                      <wps:txbx>
                        <w:txbxContent>
                          <w:p>
                            <w:pPr>
                              <w:ind w:firstLine="480"/>
                              <w:jc w:val="center"/>
                            </w:pPr>
                          </w:p>
                          <w:p>
                            <w:pPr>
                              <w:ind w:firstLine="420"/>
                              <w:jc w:val="center"/>
                              <w:rPr>
                                <w:szCs w:val="21"/>
                              </w:rPr>
                            </w:pPr>
                            <w:r>
                              <w:rPr>
                                <w:rFonts w:hint="eastAsia"/>
                                <w:szCs w:val="21"/>
                              </w:rPr>
                              <w:t>法定代表人</w:t>
                            </w:r>
                          </w:p>
                          <w:p>
                            <w:pPr>
                              <w:ind w:firstLine="420"/>
                              <w:jc w:val="center"/>
                              <w:rPr>
                                <w:szCs w:val="21"/>
                              </w:rPr>
                            </w:pPr>
                            <w:r>
                              <w:rPr>
                                <w:rFonts w:hint="eastAsia"/>
                                <w:szCs w:val="21"/>
                              </w:rPr>
                              <w:t>居民身份证复印件（反面）粘贴处</w:t>
                            </w:r>
                          </w:p>
                          <w:p>
                            <w:pPr>
                              <w:ind w:firstLine="420"/>
                              <w:jc w:val="center"/>
                              <w:rPr>
                                <w:szCs w:val="21"/>
                              </w:rPr>
                            </w:pPr>
                            <w:r>
                              <w:rPr>
                                <w:rFonts w:hint="eastAsia"/>
                                <w:szCs w:val="21"/>
                              </w:rPr>
                              <w:t>（按原件大小）</w:t>
                            </w:r>
                          </w:p>
                          <w:p>
                            <w:pPr>
                              <w:ind w:firstLine="480"/>
                              <w:jc w:val="center"/>
                              <w:rPr>
                                <w:szCs w:val="21"/>
                              </w:rPr>
                            </w:pPr>
                          </w:p>
                        </w:txbxContent>
                      </wps:txbx>
                      <wps:bodyPr rot="0" vert="horz" wrap="square" lIns="91440" tIns="45720" rIns="91440" bIns="45720" anchor="t" anchorCtr="0" upright="1">
                        <a:noAutofit/>
                      </wps:bodyPr>
                    </wps:wsp>
                  </a:graphicData>
                </a:graphic>
              </wp:anchor>
            </w:drawing>
          </mc:Choice>
          <mc:Fallback>
            <w:pict>
              <v:rect id="Rectangle 6" o:spid="_x0000_s1026" o:spt="1" style="position:absolute;left:0pt;margin-left:217.85pt;margin-top:11.4pt;height:125.7pt;width:196.2pt;z-index:251660288;mso-width-relative:page;mso-height-relative:page;" fillcolor="#FFFFFF" filled="t" stroked="t" coordsize="21600,21600" o:gfxdata="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4jjBbYAAAACgEAAA8AAAAAAAAAAQAgAAAAIgAAAGRycy9kb3ducmV2LnhtbFBL&#10;AQIUABQAAAAIAIdO4kA0bIznLwIAAH4EAAAOAAAAAAAAAAEAIAAAACcBAABkcnMvZTJvRG9jLnht&#10;bFBLBQYAAAAABgAGAFkBAADIBQAAAAA=&#10;">
                <v:fill on="t" focussize="0,0"/>
                <v:stroke color="#000000" miterlimit="8" joinstyle="miter"/>
                <v:imagedata o:title=""/>
                <o:lock v:ext="edit" aspectratio="f"/>
                <v:textbox>
                  <w:txbxContent>
                    <w:p>
                      <w:pPr>
                        <w:ind w:firstLine="480"/>
                        <w:jc w:val="center"/>
                      </w:pPr>
                    </w:p>
                    <w:p>
                      <w:pPr>
                        <w:ind w:firstLine="420"/>
                        <w:jc w:val="center"/>
                        <w:rPr>
                          <w:szCs w:val="21"/>
                        </w:rPr>
                      </w:pPr>
                      <w:r>
                        <w:rPr>
                          <w:rFonts w:hint="eastAsia"/>
                          <w:szCs w:val="21"/>
                        </w:rPr>
                        <w:t>法定代表人</w:t>
                      </w:r>
                    </w:p>
                    <w:p>
                      <w:pPr>
                        <w:ind w:firstLine="420"/>
                        <w:jc w:val="center"/>
                        <w:rPr>
                          <w:szCs w:val="21"/>
                        </w:rPr>
                      </w:pPr>
                      <w:r>
                        <w:rPr>
                          <w:rFonts w:hint="eastAsia"/>
                          <w:szCs w:val="21"/>
                        </w:rPr>
                        <w:t>居民身份证复印件（反面）粘贴处</w:t>
                      </w:r>
                    </w:p>
                    <w:p>
                      <w:pPr>
                        <w:ind w:firstLine="420"/>
                        <w:jc w:val="center"/>
                        <w:rPr>
                          <w:szCs w:val="21"/>
                        </w:rPr>
                      </w:pPr>
                      <w:r>
                        <w:rPr>
                          <w:rFonts w:hint="eastAsia"/>
                          <w:szCs w:val="21"/>
                        </w:rPr>
                        <w:t>（按原件大小）</w:t>
                      </w:r>
                    </w:p>
                    <w:p>
                      <w:pPr>
                        <w:ind w:firstLine="480"/>
                        <w:jc w:val="center"/>
                        <w:rPr>
                          <w:szCs w:val="21"/>
                        </w:rPr>
                      </w:pPr>
                    </w:p>
                  </w:txbxContent>
                </v:textbox>
              </v:rect>
            </w:pict>
          </mc:Fallback>
        </mc:AlternateContent>
      </w:r>
      <w:r>
        <w:rPr>
          <w:rFonts w:hint="eastAsia" w:ascii="宋体" w:hAnsi="宋体" w:eastAsia="宋体" w:cs="宋体"/>
          <w:b/>
          <w:bCs/>
          <w:sz w:val="21"/>
          <w:highlight w:val="none"/>
        </w:rPr>
        <mc:AlternateContent>
          <mc:Choice Requires="wps">
            <w:drawing>
              <wp:anchor distT="0" distB="0" distL="114300" distR="114300" simplePos="0" relativeHeight="251659264" behindDoc="0" locked="0" layoutInCell="1" allowOverlap="1">
                <wp:simplePos x="0" y="0"/>
                <wp:positionH relativeFrom="column">
                  <wp:posOffset>88265</wp:posOffset>
                </wp:positionH>
                <wp:positionV relativeFrom="paragraph">
                  <wp:posOffset>144780</wp:posOffset>
                </wp:positionV>
                <wp:extent cx="2479675" cy="1596390"/>
                <wp:effectExtent l="10160" t="10160" r="5715" b="12700"/>
                <wp:wrapNone/>
                <wp:docPr id="7" name="Rectangle 5"/>
                <wp:cNvGraphicFramePr/>
                <a:graphic xmlns:a="http://schemas.openxmlformats.org/drawingml/2006/main">
                  <a:graphicData uri="http://schemas.microsoft.com/office/word/2010/wordprocessingShape">
                    <wps:wsp>
                      <wps:cNvSpPr>
                        <a:spLocks noChangeArrowheads="1"/>
                      </wps:cNvSpPr>
                      <wps:spPr bwMode="auto">
                        <a:xfrm>
                          <a:off x="0" y="0"/>
                          <a:ext cx="2479675" cy="1596390"/>
                        </a:xfrm>
                        <a:prstGeom prst="rect">
                          <a:avLst/>
                        </a:prstGeom>
                        <a:solidFill>
                          <a:srgbClr val="FFFFFF"/>
                        </a:solidFill>
                        <a:ln w="9525">
                          <a:solidFill>
                            <a:srgbClr val="000000"/>
                          </a:solidFill>
                          <a:miter lim="800000"/>
                        </a:ln>
                      </wps:spPr>
                      <wps:txbx>
                        <w:txbxContent>
                          <w:p>
                            <w:pPr>
                              <w:ind w:firstLine="480"/>
                              <w:jc w:val="center"/>
                            </w:pPr>
                          </w:p>
                          <w:p>
                            <w:pPr>
                              <w:ind w:firstLine="420"/>
                              <w:jc w:val="center"/>
                              <w:rPr>
                                <w:szCs w:val="21"/>
                              </w:rPr>
                            </w:pPr>
                            <w:r>
                              <w:rPr>
                                <w:rFonts w:hint="eastAsia"/>
                                <w:szCs w:val="21"/>
                              </w:rPr>
                              <w:t>法定代表人</w:t>
                            </w:r>
                          </w:p>
                          <w:p>
                            <w:pPr>
                              <w:ind w:firstLine="420"/>
                              <w:jc w:val="center"/>
                              <w:rPr>
                                <w:szCs w:val="21"/>
                              </w:rPr>
                            </w:pPr>
                            <w:r>
                              <w:rPr>
                                <w:rFonts w:hint="eastAsia"/>
                                <w:szCs w:val="21"/>
                              </w:rPr>
                              <w:t>居民身份证复印件（正面）粘贴处</w:t>
                            </w:r>
                          </w:p>
                          <w:p>
                            <w:pPr>
                              <w:ind w:firstLine="420"/>
                              <w:jc w:val="center"/>
                              <w:rPr>
                                <w:szCs w:val="21"/>
                              </w:rPr>
                            </w:pPr>
                            <w:r>
                              <w:rPr>
                                <w:rFonts w:hint="eastAsia"/>
                                <w:szCs w:val="21"/>
                              </w:rPr>
                              <w:t>（按原件大小）</w:t>
                            </w:r>
                          </w:p>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6.95pt;margin-top:11.4pt;height:125.7pt;width:195.25pt;z-index:251659264;mso-width-relative:page;mso-height-relative:page;" fillcolor="#FFFFFF" filled="t" stroked="t" coordsize="21600,21600" o:gfxdata="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9zJj1wAAAAkBAAAPAAAAAAAAAAEAIAAAACIAAABkcnMvZG93bnJldi54bWxQ&#10;SwECFAAUAAAACACHTuJASybRvDECAAB+BAAADgAAAAAAAAABACAAAAAmAQAAZHJzL2Uyb0RvYy54&#10;bWxQSwUGAAAAAAYABgBZAQAAyQUAAAAA&#10;">
                <v:fill on="t" focussize="0,0"/>
                <v:stroke color="#000000" miterlimit="8" joinstyle="miter"/>
                <v:imagedata o:title=""/>
                <o:lock v:ext="edit" aspectratio="f"/>
                <v:textbox>
                  <w:txbxContent>
                    <w:p>
                      <w:pPr>
                        <w:ind w:firstLine="480"/>
                        <w:jc w:val="center"/>
                      </w:pPr>
                    </w:p>
                    <w:p>
                      <w:pPr>
                        <w:ind w:firstLine="420"/>
                        <w:jc w:val="center"/>
                        <w:rPr>
                          <w:szCs w:val="21"/>
                        </w:rPr>
                      </w:pPr>
                      <w:r>
                        <w:rPr>
                          <w:rFonts w:hint="eastAsia"/>
                          <w:szCs w:val="21"/>
                        </w:rPr>
                        <w:t>法定代表人</w:t>
                      </w:r>
                    </w:p>
                    <w:p>
                      <w:pPr>
                        <w:ind w:firstLine="420"/>
                        <w:jc w:val="center"/>
                        <w:rPr>
                          <w:szCs w:val="21"/>
                        </w:rPr>
                      </w:pPr>
                      <w:r>
                        <w:rPr>
                          <w:rFonts w:hint="eastAsia"/>
                          <w:szCs w:val="21"/>
                        </w:rPr>
                        <w:t>居民身份证复印件（正面）粘贴处</w:t>
                      </w:r>
                    </w:p>
                    <w:p>
                      <w:pPr>
                        <w:ind w:firstLine="420"/>
                        <w:jc w:val="center"/>
                        <w:rPr>
                          <w:szCs w:val="21"/>
                        </w:rPr>
                      </w:pPr>
                      <w:r>
                        <w:rPr>
                          <w:rFonts w:hint="eastAsia"/>
                          <w:szCs w:val="21"/>
                        </w:rPr>
                        <w:t>（按原件大小）</w:t>
                      </w:r>
                    </w:p>
                  </w:txbxContent>
                </v:textbox>
              </v:rect>
            </w:pict>
          </mc:Fallback>
        </mc:AlternateContent>
      </w:r>
    </w:p>
    <w:p>
      <w:pPr>
        <w:pStyle w:val="14"/>
        <w:ind w:firstLine="422"/>
        <w:rPr>
          <w:rFonts w:hint="eastAsia" w:ascii="宋体" w:hAnsi="宋体" w:eastAsia="宋体" w:cs="宋体"/>
          <w:b/>
          <w:bCs/>
          <w:sz w:val="21"/>
          <w:highlight w:val="none"/>
        </w:rPr>
      </w:pPr>
    </w:p>
    <w:p>
      <w:pPr>
        <w:pStyle w:val="36"/>
        <w:ind w:firstLine="480"/>
        <w:rPr>
          <w:rFonts w:hint="eastAsia" w:ascii="宋体" w:hAnsi="宋体" w:eastAsia="宋体" w:cs="宋体"/>
          <w:highlight w:val="none"/>
        </w:rPr>
      </w:pPr>
      <w:r>
        <w:rPr>
          <w:rFonts w:hint="eastAsia" w:ascii="宋体" w:hAnsi="宋体" w:eastAsia="宋体" w:cs="宋体"/>
          <w:highlight w:val="none"/>
        </w:rPr>
        <w:br w:type="page"/>
      </w:r>
    </w:p>
    <w:p>
      <w:pPr>
        <w:pStyle w:val="36"/>
        <w:ind w:firstLine="480"/>
        <w:jc w:val="both"/>
        <w:rPr>
          <w:rFonts w:hint="eastAsia" w:ascii="宋体" w:hAnsi="宋体" w:eastAsia="宋体" w:cs="宋体"/>
          <w:highlight w:val="none"/>
        </w:rPr>
      </w:pPr>
    </w:p>
    <w:p>
      <w:pPr>
        <w:spacing w:line="360" w:lineRule="auto"/>
        <w:jc w:val="center"/>
        <w:rPr>
          <w:rFonts w:hint="eastAsia" w:ascii="宋体" w:hAnsi="宋体" w:eastAsia="宋体" w:cs="宋体"/>
          <w:highlight w:val="none"/>
        </w:rPr>
      </w:pPr>
      <w:r>
        <w:rPr>
          <w:rFonts w:hint="eastAsia" w:ascii="宋体" w:hAnsi="宋体" w:eastAsia="宋体" w:cs="宋体"/>
          <w:b/>
          <w:bCs/>
          <w:highlight w:val="none"/>
        </w:rPr>
        <w:t>法定代表人/负责人授权委托书</w:t>
      </w:r>
    </w:p>
    <w:p>
      <w:pPr>
        <w:rPr>
          <w:rFonts w:hint="eastAsia" w:ascii="宋体" w:hAnsi="宋体" w:eastAsia="宋体" w:cs="宋体"/>
          <w:highlight w:val="none"/>
        </w:rPr>
      </w:pPr>
      <w:r>
        <w:rPr>
          <w:rFonts w:hint="eastAsia" w:ascii="宋体" w:hAnsi="宋体" w:eastAsia="宋体" w:cs="宋体"/>
          <w:highlight w:val="none"/>
        </w:rPr>
        <w:t>致：</w:t>
      </w:r>
      <w:r>
        <w:rPr>
          <w:rFonts w:hint="eastAsia" w:ascii="宋体" w:hAnsi="宋体" w:eastAsia="宋体" w:cs="宋体"/>
          <w:b/>
          <w:bCs/>
          <w:highlight w:val="none"/>
        </w:rPr>
        <w:t>茂名市人民医院</w:t>
      </w:r>
      <w:r>
        <w:rPr>
          <w:rFonts w:hint="eastAsia" w:ascii="宋体" w:hAnsi="宋体" w:eastAsia="宋体" w:cs="宋体"/>
          <w:highlight w:val="none"/>
        </w:rPr>
        <w:t>：</w:t>
      </w:r>
    </w:p>
    <w:p>
      <w:pPr>
        <w:ind w:firstLine="480"/>
        <w:rPr>
          <w:rFonts w:hint="eastAsia" w:ascii="宋体" w:hAnsi="宋体" w:eastAsia="宋体" w:cs="宋体"/>
          <w:highlight w:val="none"/>
        </w:rPr>
      </w:pPr>
      <w:r>
        <w:rPr>
          <w:rFonts w:hint="eastAsia" w:ascii="宋体" w:hAnsi="宋体" w:eastAsia="宋体" w:cs="宋体"/>
          <w:highlight w:val="none"/>
        </w:rPr>
        <w:t>兹授权</w:t>
      </w:r>
      <w:r>
        <w:rPr>
          <w:rFonts w:hint="eastAsia" w:ascii="宋体" w:hAnsi="宋体" w:eastAsia="宋体" w:cs="宋体"/>
          <w:highlight w:val="none"/>
          <w:u w:val="single"/>
        </w:rPr>
        <w:t xml:space="preserve">             </w:t>
      </w:r>
      <w:r>
        <w:rPr>
          <w:rFonts w:hint="eastAsia" w:ascii="宋体" w:hAnsi="宋体" w:eastAsia="宋体" w:cs="宋体"/>
          <w:highlight w:val="none"/>
        </w:rPr>
        <w:t>同志，为我方签订经济合同及办理其他事务代理人，其权限是：</w:t>
      </w:r>
    </w:p>
    <w:p>
      <w:pPr>
        <w:rPr>
          <w:rFonts w:hint="eastAsia" w:ascii="宋体" w:hAnsi="宋体" w:eastAsia="宋体" w:cs="宋体"/>
          <w:highlight w:val="none"/>
        </w:rPr>
      </w:pPr>
      <w:r>
        <w:rPr>
          <w:rFonts w:hint="eastAsia" w:ascii="宋体" w:hAnsi="宋体" w:eastAsia="宋体" w:cs="宋体"/>
          <w:highlight w:val="none"/>
          <w:u w:val="single"/>
        </w:rPr>
        <w:t xml:space="preserve">                                                   </w:t>
      </w:r>
      <w:r>
        <w:rPr>
          <w:rFonts w:hint="eastAsia" w:ascii="宋体" w:hAnsi="宋体" w:eastAsia="宋体" w:cs="宋体"/>
          <w:highlight w:val="none"/>
        </w:rPr>
        <w:t>。</w:t>
      </w:r>
    </w:p>
    <w:p>
      <w:pPr>
        <w:ind w:firstLine="480"/>
        <w:rPr>
          <w:rFonts w:hint="eastAsia" w:ascii="宋体" w:hAnsi="宋体" w:eastAsia="宋体" w:cs="宋体"/>
          <w:highlight w:val="none"/>
        </w:rPr>
      </w:pPr>
      <w:r>
        <w:rPr>
          <w:rFonts w:hint="eastAsia" w:ascii="宋体" w:hAnsi="宋体" w:eastAsia="宋体" w:cs="宋体"/>
          <w:highlight w:val="none"/>
        </w:rPr>
        <w:t>授权单位：      （盖章）        法定代表人          （签名或盖私章）</w:t>
      </w:r>
    </w:p>
    <w:p>
      <w:pPr>
        <w:ind w:firstLine="480"/>
        <w:rPr>
          <w:rFonts w:hint="eastAsia" w:ascii="宋体" w:hAnsi="宋体" w:eastAsia="宋体" w:cs="宋体"/>
          <w:highlight w:val="none"/>
        </w:rPr>
      </w:pPr>
      <w:r>
        <w:rPr>
          <w:rFonts w:hint="eastAsia" w:ascii="宋体" w:hAnsi="宋体" w:eastAsia="宋体" w:cs="宋体"/>
          <w:highlight w:val="none"/>
        </w:rPr>
        <w:t>有效期限：至        年       月      日       签发日期：</w:t>
      </w:r>
    </w:p>
    <w:p>
      <w:pPr>
        <w:ind w:firstLine="480"/>
        <w:rPr>
          <w:rFonts w:hint="eastAsia" w:ascii="宋体" w:hAnsi="宋体" w:eastAsia="宋体" w:cs="宋体"/>
          <w:highlight w:val="none"/>
        </w:rPr>
      </w:pPr>
      <w:r>
        <w:rPr>
          <w:rFonts w:hint="eastAsia" w:ascii="宋体" w:hAnsi="宋体" w:eastAsia="宋体" w:cs="宋体"/>
          <w:highlight w:val="none"/>
        </w:rPr>
        <w:t>附：</w:t>
      </w:r>
    </w:p>
    <w:p>
      <w:pPr>
        <w:ind w:firstLine="480"/>
        <w:rPr>
          <w:rFonts w:hint="eastAsia" w:ascii="宋体" w:hAnsi="宋体" w:eastAsia="宋体" w:cs="宋体"/>
          <w:highlight w:val="none"/>
        </w:rPr>
      </w:pPr>
      <w:r>
        <w:rPr>
          <w:rFonts w:hint="eastAsia" w:ascii="宋体" w:hAnsi="宋体" w:eastAsia="宋体" w:cs="宋体"/>
          <w:highlight w:val="none"/>
        </w:rPr>
        <w:t>代理人性别：        年龄：       职务：         身份证号码：</w:t>
      </w:r>
    </w:p>
    <w:p>
      <w:pPr>
        <w:ind w:firstLine="480"/>
        <w:rPr>
          <w:rFonts w:hint="eastAsia" w:ascii="宋体" w:hAnsi="宋体" w:eastAsia="宋体" w:cs="宋体"/>
          <w:highlight w:val="none"/>
        </w:rPr>
      </w:pPr>
      <w:r>
        <w:rPr>
          <w:rFonts w:hint="eastAsia" w:ascii="宋体" w:hAnsi="宋体" w:eastAsia="宋体" w:cs="宋体"/>
          <w:highlight w:val="none"/>
        </w:rPr>
        <w:t>联系电话：</w:t>
      </w:r>
    </w:p>
    <w:p>
      <w:pPr>
        <w:ind w:firstLine="480"/>
        <w:rPr>
          <w:rFonts w:hint="eastAsia" w:ascii="宋体" w:hAnsi="宋体" w:eastAsia="宋体" w:cs="宋体"/>
          <w:highlight w:val="none"/>
        </w:rPr>
      </w:pPr>
      <w:r>
        <w:rPr>
          <w:rFonts w:hint="eastAsia" w:ascii="宋体" w:hAnsi="宋体" w:eastAsia="宋体" w:cs="宋体"/>
          <w:highlight w:val="none"/>
        </w:rPr>
        <w:t>营业执照号码：                         经济性质：</w:t>
      </w:r>
    </w:p>
    <w:p>
      <w:pPr>
        <w:ind w:firstLine="480"/>
        <w:rPr>
          <w:rFonts w:hint="eastAsia" w:ascii="宋体" w:hAnsi="宋体" w:eastAsia="宋体" w:cs="宋体"/>
          <w:highlight w:val="none"/>
        </w:rPr>
      </w:pPr>
      <w:r>
        <w:rPr>
          <w:rFonts w:hint="eastAsia" w:ascii="宋体" w:hAnsi="宋体" w:eastAsia="宋体" w:cs="宋体"/>
          <w:highlight w:val="none"/>
        </w:rPr>
        <w:t>主营（产）：</w:t>
      </w:r>
    </w:p>
    <w:p>
      <w:pPr>
        <w:ind w:firstLine="480"/>
        <w:rPr>
          <w:rFonts w:hint="eastAsia" w:ascii="宋体" w:hAnsi="宋体" w:eastAsia="宋体" w:cs="宋体"/>
          <w:highlight w:val="none"/>
        </w:rPr>
      </w:pPr>
      <w:r>
        <w:rPr>
          <w:rFonts w:hint="eastAsia" w:ascii="宋体" w:hAnsi="宋体" w:eastAsia="宋体" w:cs="宋体"/>
          <w:highlight w:val="none"/>
        </w:rPr>
        <w:t>兼营（产）：</w:t>
      </w:r>
    </w:p>
    <w:p>
      <w:pPr>
        <w:ind w:firstLine="480"/>
        <w:rPr>
          <w:rFonts w:hint="eastAsia" w:ascii="宋体" w:hAnsi="宋体" w:eastAsia="宋体" w:cs="宋体"/>
          <w:highlight w:val="none"/>
        </w:rPr>
      </w:pPr>
    </w:p>
    <w:p>
      <w:pPr>
        <w:rPr>
          <w:rFonts w:hint="eastAsia" w:ascii="宋体" w:hAnsi="宋体" w:eastAsia="宋体" w:cs="宋体"/>
          <w:highlight w:val="none"/>
        </w:rPr>
      </w:pPr>
      <w:r>
        <w:rPr>
          <w:rFonts w:hint="eastAsia" w:ascii="宋体" w:hAnsi="宋体" w:eastAsia="宋体" w:cs="宋体"/>
          <w:highlight w:val="none"/>
        </w:rPr>
        <w:t>说明：1、法定代表人为企业事业单位、国家机关、社会团体的主要行政负责人。</w:t>
      </w:r>
    </w:p>
    <w:p>
      <w:pPr>
        <w:ind w:firstLine="480"/>
        <w:rPr>
          <w:rFonts w:hint="eastAsia" w:ascii="宋体" w:hAnsi="宋体" w:eastAsia="宋体" w:cs="宋体"/>
          <w:highlight w:val="none"/>
        </w:rPr>
      </w:pPr>
      <w:r>
        <w:rPr>
          <w:rFonts w:hint="eastAsia" w:ascii="宋体" w:hAnsi="宋体" w:eastAsia="宋体" w:cs="宋体"/>
          <w:highlight w:val="none"/>
        </w:rPr>
        <w:t xml:space="preserve">  2、内容必须填写真实、清楚、涂改无效，不得转让、买卖。</w:t>
      </w:r>
    </w:p>
    <w:p>
      <w:pPr>
        <w:ind w:firstLine="480"/>
        <w:rPr>
          <w:rFonts w:hint="eastAsia" w:ascii="宋体" w:hAnsi="宋体" w:eastAsia="宋体" w:cs="宋体"/>
          <w:highlight w:val="none"/>
        </w:rPr>
      </w:pPr>
      <w:r>
        <w:rPr>
          <w:rFonts w:hint="eastAsia" w:ascii="宋体" w:hAnsi="宋体" w:eastAsia="宋体" w:cs="宋体"/>
          <w:highlight w:val="none"/>
        </w:rPr>
        <w:t xml:space="preserve">  3、将此证明书提交对方作为合同附件。</w:t>
      </w:r>
    </w:p>
    <w:p>
      <w:pPr>
        <w:ind w:firstLine="480"/>
        <w:rPr>
          <w:rFonts w:hint="eastAsia" w:ascii="宋体" w:hAnsi="宋体" w:eastAsia="宋体" w:cs="宋体"/>
          <w:highlight w:val="none"/>
        </w:rPr>
      </w:pPr>
      <w:r>
        <w:rPr>
          <w:rFonts w:hint="eastAsia" w:ascii="宋体" w:hAnsi="宋体" w:eastAsia="宋体" w:cs="宋体"/>
          <w:highlight w:val="none"/>
        </w:rPr>
        <w:t xml:space="preserve">  4、授权权限：全权代表本公司参与上述采购项目的磋商响应，负责提供与签</w:t>
      </w:r>
    </w:p>
    <w:p>
      <w:pPr>
        <w:rPr>
          <w:rFonts w:hint="eastAsia" w:ascii="宋体" w:hAnsi="宋体" w:eastAsia="宋体" w:cs="宋体"/>
          <w:highlight w:val="none"/>
        </w:rPr>
      </w:pPr>
      <w:r>
        <w:rPr>
          <w:rFonts w:hint="eastAsia" w:ascii="宋体" w:hAnsi="宋体" w:eastAsia="宋体" w:cs="宋体"/>
          <w:highlight w:val="none"/>
        </w:rPr>
        <w:t xml:space="preserve">   署确认一切文书资料，以及向贵方递交的任何补充承诺。</w:t>
      </w:r>
    </w:p>
    <w:p>
      <w:pPr>
        <w:ind w:firstLine="480"/>
        <w:rPr>
          <w:rFonts w:hint="eastAsia" w:ascii="宋体" w:hAnsi="宋体" w:eastAsia="宋体" w:cs="宋体"/>
          <w:highlight w:val="none"/>
        </w:rPr>
      </w:pPr>
      <w:r>
        <w:rPr>
          <w:rFonts w:hint="eastAsia" w:ascii="宋体" w:hAnsi="宋体" w:eastAsia="宋体" w:cs="宋体"/>
          <w:highlight w:val="none"/>
        </w:rPr>
        <w:t xml:space="preserve">  5、有效期限：与本公司响应文件中标注的磋商有效期相同，自本单位盖</w:t>
      </w:r>
    </w:p>
    <w:p>
      <w:pPr>
        <w:rPr>
          <w:rFonts w:hint="eastAsia" w:ascii="宋体" w:hAnsi="宋体" w:eastAsia="宋体" w:cs="宋体"/>
          <w:highlight w:val="none"/>
        </w:rPr>
      </w:pPr>
      <w:r>
        <w:rPr>
          <w:rFonts w:hint="eastAsia" w:ascii="宋体" w:hAnsi="宋体" w:eastAsia="宋体" w:cs="宋体"/>
          <w:highlight w:val="none"/>
        </w:rPr>
        <w:t xml:space="preserve">   公章之日起生效。</w:t>
      </w:r>
    </w:p>
    <w:p>
      <w:pPr>
        <w:ind w:firstLine="480"/>
        <w:rPr>
          <w:rFonts w:hint="eastAsia" w:ascii="宋体" w:hAnsi="宋体" w:eastAsia="宋体" w:cs="宋体"/>
          <w:highlight w:val="none"/>
        </w:rPr>
      </w:pPr>
      <w:r>
        <w:rPr>
          <w:rFonts w:hint="eastAsia" w:ascii="宋体" w:hAnsi="宋体" w:eastAsia="宋体" w:cs="宋体"/>
          <w:highlight w:val="none"/>
        </w:rPr>
        <w:t xml:space="preserve">  6、磋商签字代表为法定代表人，则本表不适用。</w:t>
      </w:r>
    </w:p>
    <w:p>
      <w:pPr>
        <w:pStyle w:val="14"/>
        <w:ind w:firstLine="422"/>
        <w:rPr>
          <w:rFonts w:hint="eastAsia" w:ascii="宋体" w:hAnsi="宋体" w:eastAsia="宋体" w:cs="宋体"/>
          <w:b/>
          <w:bCs/>
          <w:sz w:val="21"/>
          <w:highlight w:val="none"/>
        </w:rPr>
      </w:pPr>
      <w:r>
        <w:rPr>
          <w:rFonts w:hint="eastAsia" w:ascii="宋体" w:hAnsi="宋体" w:eastAsia="宋体" w:cs="宋体"/>
          <w:b/>
          <w:bCs/>
          <w:sz w:val="21"/>
          <w:highlight w:val="none"/>
        </w:rPr>
        <mc:AlternateContent>
          <mc:Choice Requires="wps">
            <w:drawing>
              <wp:anchor distT="0" distB="0" distL="114300" distR="114300" simplePos="0" relativeHeight="251662336" behindDoc="0" locked="0" layoutInCell="1" allowOverlap="1">
                <wp:simplePos x="0" y="0"/>
                <wp:positionH relativeFrom="column">
                  <wp:posOffset>2766695</wp:posOffset>
                </wp:positionH>
                <wp:positionV relativeFrom="paragraph">
                  <wp:posOffset>144780</wp:posOffset>
                </wp:positionV>
                <wp:extent cx="2491740" cy="1596390"/>
                <wp:effectExtent l="12065" t="9525" r="10795" b="13335"/>
                <wp:wrapNone/>
                <wp:docPr id="6" name="矩形 22"/>
                <wp:cNvGraphicFramePr/>
                <a:graphic xmlns:a="http://schemas.openxmlformats.org/drawingml/2006/main">
                  <a:graphicData uri="http://schemas.microsoft.com/office/word/2010/wordprocessingShape">
                    <wps:wsp>
                      <wps:cNvSpPr>
                        <a:spLocks noChangeArrowheads="1"/>
                      </wps:cNvSpPr>
                      <wps:spPr bwMode="auto">
                        <a:xfrm>
                          <a:off x="0" y="0"/>
                          <a:ext cx="2491740" cy="1596390"/>
                        </a:xfrm>
                        <a:prstGeom prst="rect">
                          <a:avLst/>
                        </a:prstGeom>
                        <a:solidFill>
                          <a:srgbClr val="FFFFFF"/>
                        </a:solidFill>
                        <a:ln w="9525">
                          <a:solidFill>
                            <a:srgbClr val="000000"/>
                          </a:solidFill>
                          <a:miter lim="800000"/>
                        </a:ln>
                      </wps:spPr>
                      <wps:txbx>
                        <w:txbxContent>
                          <w:p>
                            <w:pPr>
                              <w:ind w:firstLine="480"/>
                              <w:jc w:val="center"/>
                            </w:pPr>
                          </w:p>
                          <w:p>
                            <w:pPr>
                              <w:ind w:firstLine="420"/>
                              <w:jc w:val="center"/>
                              <w:rPr>
                                <w:szCs w:val="21"/>
                              </w:rPr>
                            </w:pPr>
                            <w:r>
                              <w:rPr>
                                <w:rFonts w:hint="eastAsia" w:ascii="宋体" w:hAnsi="宋体"/>
                                <w:szCs w:val="21"/>
                              </w:rPr>
                              <w:t>委托代理人</w:t>
                            </w:r>
                            <w:r>
                              <w:rPr>
                                <w:rFonts w:hint="eastAsia"/>
                                <w:szCs w:val="21"/>
                              </w:rPr>
                              <w:t>居民身份证复印件（反面）粘贴处</w:t>
                            </w:r>
                          </w:p>
                          <w:p>
                            <w:pPr>
                              <w:ind w:firstLine="420"/>
                              <w:jc w:val="center"/>
                              <w:rPr>
                                <w:szCs w:val="21"/>
                              </w:rPr>
                            </w:pPr>
                            <w:r>
                              <w:rPr>
                                <w:rFonts w:hint="eastAsia"/>
                                <w:szCs w:val="21"/>
                              </w:rPr>
                              <w:t>（按原件大小）</w:t>
                            </w:r>
                          </w:p>
                          <w:p>
                            <w:pPr>
                              <w:ind w:firstLine="480"/>
                              <w:jc w:val="center"/>
                              <w:rPr>
                                <w:szCs w:val="21"/>
                              </w:rPr>
                            </w:pP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217.85pt;margin-top:11.4pt;height:125.7pt;width:196.2pt;z-index:251662336;mso-width-relative:page;mso-height-relative:page;" fillcolor="#FFFFFF" filled="t" stroked="t" coordsize="21600,21600" o:gfxdata="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4jjBbYAAAACgEAAA8AAAAAAAAAAQAgAAAAIgAAAGRycy9k&#10;b3ducmV2LnhtbFBLAQIUABQAAAAIAIdO4kAumzYtOwIAAHwEAAAOAAAAAAAAAAEAIAAAACcBAABk&#10;cnMvZTJvRG9jLnhtbFBLBQYAAAAABgAGAFkBAADUBQAAAAA=&#10;">
                <v:fill on="t" focussize="0,0"/>
                <v:stroke color="#000000" miterlimit="8" joinstyle="miter"/>
                <v:imagedata o:title=""/>
                <o:lock v:ext="edit" aspectratio="f"/>
                <v:textbox>
                  <w:txbxContent>
                    <w:p>
                      <w:pPr>
                        <w:ind w:firstLine="480"/>
                        <w:jc w:val="center"/>
                      </w:pPr>
                    </w:p>
                    <w:p>
                      <w:pPr>
                        <w:ind w:firstLine="420"/>
                        <w:jc w:val="center"/>
                        <w:rPr>
                          <w:szCs w:val="21"/>
                        </w:rPr>
                      </w:pPr>
                      <w:r>
                        <w:rPr>
                          <w:rFonts w:hint="eastAsia" w:ascii="宋体" w:hAnsi="宋体"/>
                          <w:szCs w:val="21"/>
                        </w:rPr>
                        <w:t>委托代理人</w:t>
                      </w:r>
                      <w:r>
                        <w:rPr>
                          <w:rFonts w:hint="eastAsia"/>
                          <w:szCs w:val="21"/>
                        </w:rPr>
                        <w:t>居民身份证复印件（反面）粘贴处</w:t>
                      </w:r>
                    </w:p>
                    <w:p>
                      <w:pPr>
                        <w:ind w:firstLine="420"/>
                        <w:jc w:val="center"/>
                        <w:rPr>
                          <w:szCs w:val="21"/>
                        </w:rPr>
                      </w:pPr>
                      <w:r>
                        <w:rPr>
                          <w:rFonts w:hint="eastAsia"/>
                          <w:szCs w:val="21"/>
                        </w:rPr>
                        <w:t>（按原件大小）</w:t>
                      </w:r>
                    </w:p>
                    <w:p>
                      <w:pPr>
                        <w:ind w:firstLine="480"/>
                        <w:jc w:val="center"/>
                        <w:rPr>
                          <w:szCs w:val="21"/>
                        </w:rPr>
                      </w:pPr>
                    </w:p>
                  </w:txbxContent>
                </v:textbox>
              </v:rect>
            </w:pict>
          </mc:Fallback>
        </mc:AlternateContent>
      </w:r>
      <w:r>
        <w:rPr>
          <w:rFonts w:hint="eastAsia" w:ascii="宋体" w:hAnsi="宋体" w:eastAsia="宋体" w:cs="宋体"/>
          <w:b/>
          <w:bCs/>
          <w:sz w:val="21"/>
          <w:highlight w:val="none"/>
        </w:rPr>
        <mc:AlternateContent>
          <mc:Choice Requires="wps">
            <w:drawing>
              <wp:anchor distT="0" distB="0" distL="114300" distR="114300" simplePos="0" relativeHeight="251661312" behindDoc="0" locked="0" layoutInCell="1" allowOverlap="1">
                <wp:simplePos x="0" y="0"/>
                <wp:positionH relativeFrom="column">
                  <wp:posOffset>88265</wp:posOffset>
                </wp:positionH>
                <wp:positionV relativeFrom="paragraph">
                  <wp:posOffset>144780</wp:posOffset>
                </wp:positionV>
                <wp:extent cx="2479675" cy="1596390"/>
                <wp:effectExtent l="10160" t="9525" r="5715" b="13335"/>
                <wp:wrapNone/>
                <wp:docPr id="1" name="矩形 23"/>
                <wp:cNvGraphicFramePr/>
                <a:graphic xmlns:a="http://schemas.openxmlformats.org/drawingml/2006/main">
                  <a:graphicData uri="http://schemas.microsoft.com/office/word/2010/wordprocessingShape">
                    <wps:wsp>
                      <wps:cNvSpPr>
                        <a:spLocks noChangeArrowheads="1"/>
                      </wps:cNvSpPr>
                      <wps:spPr bwMode="auto">
                        <a:xfrm>
                          <a:off x="0" y="0"/>
                          <a:ext cx="2479675" cy="1596390"/>
                        </a:xfrm>
                        <a:prstGeom prst="rect">
                          <a:avLst/>
                        </a:prstGeom>
                        <a:solidFill>
                          <a:srgbClr val="FFFFFF"/>
                        </a:solidFill>
                        <a:ln w="9525">
                          <a:solidFill>
                            <a:srgbClr val="000000"/>
                          </a:solidFill>
                          <a:miter lim="800000"/>
                        </a:ln>
                      </wps:spPr>
                      <wps:txbx>
                        <w:txbxContent>
                          <w:p>
                            <w:pPr>
                              <w:ind w:firstLine="480"/>
                              <w:jc w:val="center"/>
                            </w:pPr>
                          </w:p>
                          <w:p>
                            <w:pPr>
                              <w:ind w:firstLine="420"/>
                              <w:jc w:val="center"/>
                              <w:rPr>
                                <w:szCs w:val="21"/>
                              </w:rPr>
                            </w:pPr>
                            <w:r>
                              <w:rPr>
                                <w:rFonts w:hint="eastAsia" w:ascii="宋体" w:hAnsi="宋体"/>
                                <w:szCs w:val="21"/>
                              </w:rPr>
                              <w:t>委托代理人</w:t>
                            </w:r>
                            <w:r>
                              <w:rPr>
                                <w:rFonts w:hint="eastAsia"/>
                                <w:szCs w:val="21"/>
                              </w:rPr>
                              <w:t>居民身份证复印件（正面）粘贴处</w:t>
                            </w:r>
                          </w:p>
                          <w:p>
                            <w:pPr>
                              <w:ind w:firstLine="420"/>
                              <w:jc w:val="center"/>
                              <w:rPr>
                                <w:szCs w:val="21"/>
                              </w:rPr>
                            </w:pPr>
                            <w:r>
                              <w:rPr>
                                <w:rFonts w:hint="eastAsia"/>
                                <w:szCs w:val="21"/>
                              </w:rPr>
                              <w:t>（按原件大小）</w:t>
                            </w:r>
                          </w:p>
                        </w:txbxContent>
                      </wps:txbx>
                      <wps:bodyPr rot="0" vert="horz" wrap="square" lIns="91440" tIns="45720" rIns="91440" bIns="45720" anchor="t" anchorCtr="0" upright="1">
                        <a:noAutofit/>
                      </wps:bodyPr>
                    </wps:wsp>
                  </a:graphicData>
                </a:graphic>
              </wp:anchor>
            </w:drawing>
          </mc:Choice>
          <mc:Fallback>
            <w:pict>
              <v:rect id="矩形 23" o:spid="_x0000_s1026" o:spt="1" style="position:absolute;left:0pt;margin-left:6.95pt;margin-top:11.4pt;height:125.7pt;width:195.25pt;z-index:251661312;mso-width-relative:page;mso-height-relative:page;" fillcolor="#FFFFFF" filled="t" stroked="t" coordsize="21600,21600" o:gfxdata="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73MmPXAAAACQEAAA8AAAAAAAAAAQAgAAAAIgAAAGRycy9k&#10;b3ducmV2LnhtbFBLAQIUABQAAAAIAIdO4kBy8NhyPAIAAHwEAAAOAAAAAAAAAAEAIAAAACYBAABk&#10;cnMvZTJvRG9jLnhtbFBLBQYAAAAABgAGAFkBAADUBQAAAAA=&#10;">
                <v:fill on="t" focussize="0,0"/>
                <v:stroke color="#000000" miterlimit="8" joinstyle="miter"/>
                <v:imagedata o:title=""/>
                <o:lock v:ext="edit" aspectratio="f"/>
                <v:textbox>
                  <w:txbxContent>
                    <w:p>
                      <w:pPr>
                        <w:ind w:firstLine="480"/>
                        <w:jc w:val="center"/>
                      </w:pPr>
                    </w:p>
                    <w:p>
                      <w:pPr>
                        <w:ind w:firstLine="420"/>
                        <w:jc w:val="center"/>
                        <w:rPr>
                          <w:szCs w:val="21"/>
                        </w:rPr>
                      </w:pPr>
                      <w:r>
                        <w:rPr>
                          <w:rFonts w:hint="eastAsia" w:ascii="宋体" w:hAnsi="宋体"/>
                          <w:szCs w:val="21"/>
                        </w:rPr>
                        <w:t>委托代理人</w:t>
                      </w:r>
                      <w:r>
                        <w:rPr>
                          <w:rFonts w:hint="eastAsia"/>
                          <w:szCs w:val="21"/>
                        </w:rPr>
                        <w:t>居民身份证复印件（正面）粘贴处</w:t>
                      </w:r>
                    </w:p>
                    <w:p>
                      <w:pPr>
                        <w:ind w:firstLine="420"/>
                        <w:jc w:val="center"/>
                        <w:rPr>
                          <w:szCs w:val="21"/>
                        </w:rPr>
                      </w:pPr>
                      <w:r>
                        <w:rPr>
                          <w:rFonts w:hint="eastAsia"/>
                          <w:szCs w:val="21"/>
                        </w:rPr>
                        <w:t>（按原件大小）</w:t>
                      </w:r>
                    </w:p>
                  </w:txbxContent>
                </v:textbox>
              </v:rect>
            </w:pict>
          </mc:Fallback>
        </mc:AlternateContent>
      </w:r>
    </w:p>
    <w:p>
      <w:pPr>
        <w:pStyle w:val="14"/>
        <w:ind w:firstLine="422"/>
        <w:rPr>
          <w:rFonts w:hint="eastAsia" w:ascii="宋体" w:hAnsi="宋体" w:eastAsia="宋体" w:cs="宋体"/>
          <w:b/>
          <w:bCs/>
          <w:sz w:val="21"/>
          <w:highlight w:val="none"/>
        </w:rPr>
      </w:pPr>
    </w:p>
    <w:p>
      <w:pPr>
        <w:spacing w:line="460" w:lineRule="exact"/>
        <w:rPr>
          <w:rFonts w:hint="eastAsia" w:ascii="宋体" w:hAnsi="宋体" w:eastAsia="宋体" w:cs="宋体"/>
          <w:b/>
          <w:bCs/>
          <w:highlight w:val="none"/>
        </w:rPr>
      </w:pPr>
      <w:r>
        <w:rPr>
          <w:rFonts w:hint="eastAsia" w:ascii="宋体" w:hAnsi="宋体" w:eastAsia="宋体" w:cs="宋体"/>
          <w:b/>
          <w:bCs/>
          <w:szCs w:val="24"/>
          <w:highlight w:val="none"/>
          <w:u w:val="single"/>
        </w:rPr>
        <w:br w:type="page"/>
      </w:r>
    </w:p>
    <w:p>
      <w:pPr>
        <w:spacing w:line="460" w:lineRule="exact"/>
        <w:jc w:val="left"/>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二．供应商证件</w:t>
      </w: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bCs/>
          <w:highlight w:val="none"/>
          <w:lang w:val="en-US" w:eastAsia="zh-CN"/>
        </w:rPr>
      </w:pPr>
    </w:p>
    <w:p>
      <w:pPr>
        <w:spacing w:line="460" w:lineRule="exact"/>
        <w:jc w:val="left"/>
        <w:rPr>
          <w:rFonts w:hint="eastAsia" w:ascii="宋体" w:hAnsi="宋体" w:eastAsia="宋体" w:cs="宋体"/>
          <w:b/>
          <w:sz w:val="28"/>
          <w:szCs w:val="28"/>
          <w:highlight w:val="none"/>
        </w:rPr>
      </w:pPr>
      <w:r>
        <w:rPr>
          <w:rFonts w:hint="eastAsia" w:ascii="宋体" w:hAnsi="宋体" w:eastAsia="宋体" w:cs="宋体"/>
          <w:b/>
          <w:bCs/>
          <w:highlight w:val="none"/>
          <w:lang w:val="en-US" w:eastAsia="zh-CN"/>
        </w:rPr>
        <w:t>三</w:t>
      </w:r>
      <w:r>
        <w:rPr>
          <w:rFonts w:hint="eastAsia" w:ascii="宋体" w:hAnsi="宋体" w:eastAsia="宋体" w:cs="宋体"/>
          <w:b/>
          <w:bCs/>
          <w:highlight w:val="none"/>
        </w:rPr>
        <w:t>．关于资格的声明函</w:t>
      </w:r>
    </w:p>
    <w:p>
      <w:pPr>
        <w:rPr>
          <w:rFonts w:hint="eastAsia" w:ascii="宋体" w:hAnsi="宋体" w:eastAsia="宋体" w:cs="宋体"/>
          <w:highlight w:val="none"/>
        </w:rPr>
      </w:pPr>
    </w:p>
    <w:p>
      <w:pPr>
        <w:spacing w:line="360" w:lineRule="auto"/>
        <w:rPr>
          <w:rFonts w:hint="eastAsia" w:ascii="宋体" w:hAnsi="宋体" w:eastAsia="宋体" w:cs="宋体"/>
          <w:highlight w:val="none"/>
        </w:rPr>
      </w:pPr>
      <w:r>
        <w:rPr>
          <w:rFonts w:hint="eastAsia" w:ascii="宋体" w:hAnsi="宋体" w:eastAsia="宋体" w:cs="宋体"/>
          <w:highlight w:val="none"/>
        </w:rPr>
        <w:t>致：</w:t>
      </w:r>
      <w:r>
        <w:rPr>
          <w:rFonts w:hint="eastAsia" w:ascii="宋体" w:hAnsi="宋体" w:eastAsia="宋体" w:cs="宋体"/>
          <w:b/>
          <w:bCs/>
          <w:highlight w:val="none"/>
        </w:rPr>
        <w:t>茂名市人民医院</w:t>
      </w:r>
    </w:p>
    <w:p>
      <w:pPr>
        <w:spacing w:line="360" w:lineRule="auto"/>
        <w:ind w:firstLine="480"/>
        <w:rPr>
          <w:rFonts w:hint="eastAsia" w:ascii="宋体" w:hAnsi="宋体" w:eastAsia="宋体" w:cs="宋体"/>
          <w:highlight w:val="none"/>
        </w:rPr>
      </w:pPr>
      <w:r>
        <w:rPr>
          <w:rFonts w:hint="eastAsia" w:ascii="宋体" w:hAnsi="宋体" w:eastAsia="宋体" w:cs="宋体"/>
          <w:highlight w:val="none"/>
        </w:rPr>
        <w:t>关于贵方采购项目名称</w:t>
      </w:r>
      <w:r>
        <w:rPr>
          <w:rFonts w:hint="eastAsia" w:ascii="宋体" w:hAnsi="宋体" w:eastAsia="宋体" w:cs="宋体"/>
          <w:b/>
          <w:bCs/>
          <w:highlight w:val="none"/>
          <w:u w:val="single"/>
        </w:rPr>
        <w:t xml:space="preserve">              </w:t>
      </w:r>
      <w:r>
        <w:rPr>
          <w:rFonts w:hint="eastAsia" w:ascii="宋体" w:hAnsi="宋体" w:eastAsia="宋体" w:cs="宋体"/>
          <w:highlight w:val="none"/>
          <w:u w:val="single"/>
        </w:rPr>
        <w:t>采购</w:t>
      </w:r>
      <w:r>
        <w:rPr>
          <w:rFonts w:hint="eastAsia" w:ascii="宋体" w:hAnsi="宋体" w:eastAsia="宋体" w:cs="宋体"/>
          <w:highlight w:val="none"/>
        </w:rPr>
        <w:t>邀请，本签字人愿意参加报价，提供需求文件中规定的货物及服务，并证明提交的下列文件和说明是准确的和真实的。</w:t>
      </w:r>
    </w:p>
    <w:p>
      <w:pPr>
        <w:spacing w:line="360" w:lineRule="auto"/>
        <w:ind w:left="420" w:leftChars="200"/>
        <w:rPr>
          <w:rFonts w:hint="eastAsia" w:ascii="宋体" w:hAnsi="宋体" w:eastAsia="宋体" w:cs="宋体"/>
          <w:snapToGrid w:val="0"/>
          <w:kern w:val="0"/>
          <w:highlight w:val="none"/>
          <w:lang w:val="hr-HR"/>
        </w:rPr>
      </w:pPr>
      <w:r>
        <w:rPr>
          <w:rFonts w:hint="eastAsia" w:ascii="宋体" w:hAnsi="宋体" w:eastAsia="宋体" w:cs="宋体"/>
          <w:snapToGrid w:val="0"/>
          <w:kern w:val="0"/>
          <w:highlight w:val="none"/>
        </w:rPr>
        <w:t>1、</w:t>
      </w:r>
      <w:r>
        <w:rPr>
          <w:rFonts w:hint="eastAsia" w:ascii="宋体" w:hAnsi="宋体" w:eastAsia="宋体" w:cs="宋体"/>
          <w:snapToGrid w:val="0"/>
          <w:kern w:val="0"/>
          <w:highlight w:val="none"/>
          <w:lang w:val="hr-HR"/>
        </w:rPr>
        <w:t>具有承担民事责任能力的在国内注册的法人或其他组织或自然人，能够独立完成合同约定</w:t>
      </w:r>
      <w:r>
        <w:rPr>
          <w:rFonts w:hint="eastAsia" w:ascii="宋体" w:hAnsi="宋体" w:eastAsia="宋体" w:cs="宋体"/>
          <w:snapToGrid w:val="0"/>
          <w:kern w:val="0"/>
          <w:highlight w:val="none"/>
        </w:rPr>
        <w:t>(提供</w:t>
      </w:r>
      <w:r>
        <w:rPr>
          <w:rFonts w:hint="eastAsia" w:ascii="宋体" w:hAnsi="宋体" w:eastAsia="宋体" w:cs="宋体"/>
          <w:highlight w:val="none"/>
        </w:rPr>
        <w:t>企（事）业法人</w:t>
      </w:r>
      <w:r>
        <w:rPr>
          <w:rFonts w:hint="eastAsia" w:ascii="宋体" w:hAnsi="宋体" w:eastAsia="宋体" w:cs="宋体"/>
          <w:snapToGrid w:val="0"/>
          <w:kern w:val="0"/>
          <w:highlight w:val="none"/>
        </w:rPr>
        <w:t>或者其他组织的营业执照等证明文件</w:t>
      </w:r>
      <w:r>
        <w:rPr>
          <w:rFonts w:hint="eastAsia" w:ascii="宋体" w:hAnsi="宋体" w:eastAsia="宋体" w:cs="宋体"/>
          <w:highlight w:val="none"/>
        </w:rPr>
        <w:t>）</w:t>
      </w:r>
      <w:r>
        <w:rPr>
          <w:rFonts w:hint="eastAsia" w:ascii="宋体" w:hAnsi="宋体" w:eastAsia="宋体" w:cs="宋体"/>
          <w:snapToGrid w:val="0"/>
          <w:kern w:val="0"/>
          <w:highlight w:val="none"/>
          <w:lang w:val="hr-HR"/>
        </w:rPr>
        <w:t>；</w:t>
      </w:r>
    </w:p>
    <w:p>
      <w:pPr>
        <w:spacing w:line="360" w:lineRule="auto"/>
        <w:ind w:left="420" w:leftChars="200"/>
        <w:rPr>
          <w:rFonts w:hint="eastAsia" w:ascii="宋体" w:hAnsi="宋体" w:eastAsia="宋体" w:cs="宋体"/>
          <w:szCs w:val="24"/>
          <w:highlight w:val="none"/>
          <w:lang w:val="zh-CN"/>
        </w:rPr>
      </w:pPr>
      <w:r>
        <w:rPr>
          <w:rFonts w:hint="eastAsia" w:ascii="宋体" w:hAnsi="宋体" w:eastAsia="宋体" w:cs="宋体"/>
          <w:snapToGrid w:val="0"/>
          <w:kern w:val="0"/>
          <w:highlight w:val="none"/>
        </w:rPr>
        <w:t>2、</w:t>
      </w:r>
      <w:r>
        <w:rPr>
          <w:rFonts w:hint="eastAsia" w:ascii="宋体" w:hAnsi="宋体" w:eastAsia="宋体" w:cs="宋体"/>
          <w:szCs w:val="24"/>
          <w:highlight w:val="none"/>
          <w:lang w:val="zh-CN"/>
        </w:rPr>
        <w:tab/>
      </w:r>
      <w:r>
        <w:rPr>
          <w:rFonts w:hint="eastAsia" w:ascii="宋体" w:hAnsi="宋体" w:eastAsia="宋体" w:cs="宋体"/>
          <w:szCs w:val="24"/>
          <w:highlight w:val="none"/>
          <w:lang w:val="zh-CN"/>
        </w:rPr>
        <w:t>具有履行合同所必需的设备和专业技术能力</w:t>
      </w:r>
      <w:r>
        <w:rPr>
          <w:rFonts w:hint="eastAsia" w:ascii="宋体" w:hAnsi="宋体" w:eastAsia="宋体" w:cs="宋体"/>
          <w:b/>
          <w:szCs w:val="24"/>
          <w:highlight w:val="none"/>
          <w:u w:val="single"/>
          <w:lang w:val="zh-CN"/>
        </w:rPr>
        <w:t>（提供声明函，格式自拟）</w:t>
      </w:r>
    </w:p>
    <w:p>
      <w:pPr>
        <w:spacing w:line="360" w:lineRule="auto"/>
        <w:ind w:firstLine="420" w:firstLineChars="200"/>
        <w:rPr>
          <w:rFonts w:hint="eastAsia" w:ascii="宋体" w:hAnsi="宋体" w:eastAsia="宋体" w:cs="宋体"/>
          <w:snapToGrid w:val="0"/>
          <w:kern w:val="0"/>
          <w:highlight w:val="none"/>
          <w:lang w:val="hr-HR"/>
        </w:rPr>
      </w:pPr>
      <w:r>
        <w:rPr>
          <w:rFonts w:hint="eastAsia" w:ascii="宋体" w:hAnsi="宋体" w:eastAsia="宋体" w:cs="宋体"/>
          <w:szCs w:val="24"/>
          <w:highlight w:val="none"/>
          <w:lang w:val="zh-CN"/>
        </w:rPr>
        <w:t>3、参加政府采购活动前三年内，在经营活动中没有重大违法记录</w:t>
      </w:r>
      <w:r>
        <w:rPr>
          <w:rFonts w:hint="eastAsia" w:ascii="宋体" w:hAnsi="宋体" w:eastAsia="宋体" w:cs="宋体"/>
          <w:b/>
          <w:szCs w:val="24"/>
          <w:highlight w:val="none"/>
          <w:u w:val="single"/>
          <w:lang w:val="zh-CN"/>
        </w:rPr>
        <w:t>（提供声明函，格式自拟）</w:t>
      </w:r>
      <w:r>
        <w:rPr>
          <w:rFonts w:hint="eastAsia" w:ascii="宋体" w:hAnsi="宋体" w:eastAsia="宋体" w:cs="宋体"/>
          <w:szCs w:val="24"/>
          <w:highlight w:val="none"/>
          <w:lang w:val="zh-CN"/>
        </w:rPr>
        <w:t>；</w:t>
      </w:r>
    </w:p>
    <w:p>
      <w:pPr>
        <w:spacing w:line="360" w:lineRule="auto"/>
        <w:ind w:firstLine="480"/>
        <w:rPr>
          <w:rFonts w:hint="eastAsia" w:ascii="宋体" w:hAnsi="宋体" w:eastAsia="宋体" w:cs="宋体"/>
          <w:color w:val="000000"/>
          <w:kern w:val="0"/>
          <w:sz w:val="22"/>
          <w:highlight w:val="none"/>
          <w:lang w:val="hr-HR"/>
        </w:rPr>
      </w:pPr>
      <w:r>
        <w:rPr>
          <w:rFonts w:hint="eastAsia" w:ascii="宋体" w:hAnsi="宋体" w:eastAsia="宋体" w:cs="宋体"/>
          <w:highlight w:val="none"/>
          <w:lang w:val="hr-HR"/>
        </w:rPr>
        <w:t>4、</w:t>
      </w:r>
      <w:r>
        <w:rPr>
          <w:rFonts w:hint="eastAsia" w:ascii="宋体" w:hAnsi="宋体" w:eastAsia="宋体" w:cs="宋体"/>
          <w:color w:val="000000"/>
          <w:kern w:val="0"/>
          <w:sz w:val="22"/>
          <w:highlight w:val="none"/>
        </w:rPr>
        <w:t>未被列入</w:t>
      </w:r>
      <w:r>
        <w:rPr>
          <w:rFonts w:hint="eastAsia" w:ascii="宋体" w:hAnsi="宋体" w:eastAsia="宋体" w:cs="宋体"/>
          <w:color w:val="000000"/>
          <w:kern w:val="0"/>
          <w:sz w:val="22"/>
          <w:highlight w:val="none"/>
          <w:lang w:val="hr-HR"/>
        </w:rPr>
        <w:t>“</w:t>
      </w:r>
      <w:r>
        <w:rPr>
          <w:rFonts w:hint="eastAsia" w:ascii="宋体" w:hAnsi="宋体" w:eastAsia="宋体" w:cs="宋体"/>
          <w:color w:val="000000"/>
          <w:kern w:val="0"/>
          <w:sz w:val="22"/>
          <w:highlight w:val="none"/>
        </w:rPr>
        <w:t>信用中国</w:t>
      </w:r>
      <w:r>
        <w:rPr>
          <w:rFonts w:hint="eastAsia" w:ascii="宋体" w:hAnsi="宋体" w:eastAsia="宋体" w:cs="宋体"/>
          <w:color w:val="000000"/>
          <w:kern w:val="0"/>
          <w:sz w:val="22"/>
          <w:highlight w:val="none"/>
          <w:lang w:val="hr-HR"/>
        </w:rPr>
        <w:t>”</w:t>
      </w:r>
      <w:r>
        <w:rPr>
          <w:rFonts w:hint="eastAsia" w:ascii="宋体" w:hAnsi="宋体" w:eastAsia="宋体" w:cs="宋体"/>
          <w:color w:val="000000"/>
          <w:kern w:val="0"/>
          <w:sz w:val="22"/>
          <w:highlight w:val="none"/>
        </w:rPr>
        <w:t>网站</w:t>
      </w:r>
      <w:r>
        <w:rPr>
          <w:rFonts w:hint="eastAsia" w:ascii="宋体" w:hAnsi="宋体" w:eastAsia="宋体" w:cs="宋体"/>
          <w:color w:val="000000"/>
          <w:kern w:val="0"/>
          <w:sz w:val="22"/>
          <w:highlight w:val="none"/>
          <w:u w:val="single"/>
          <w:lang w:val="hr-HR"/>
        </w:rPr>
        <w:t>(www.creditchina.gov.cn)</w:t>
      </w:r>
      <w:r>
        <w:rPr>
          <w:rFonts w:hint="eastAsia" w:ascii="宋体" w:hAnsi="宋体" w:eastAsia="宋体" w:cs="宋体"/>
          <w:color w:val="000000"/>
          <w:kern w:val="0"/>
          <w:sz w:val="22"/>
          <w:highlight w:val="none"/>
          <w:lang w:val="hr-HR"/>
        </w:rPr>
        <w:t>“</w:t>
      </w:r>
      <w:r>
        <w:rPr>
          <w:rFonts w:hint="eastAsia" w:ascii="宋体" w:hAnsi="宋体" w:eastAsia="宋体" w:cs="宋体"/>
          <w:color w:val="000000"/>
          <w:kern w:val="0"/>
          <w:sz w:val="22"/>
          <w:highlight w:val="none"/>
        </w:rPr>
        <w:t>记录失信被执行人或重大税收违法案件当事人名单或政府采购严重违法失信行为</w:t>
      </w:r>
      <w:r>
        <w:rPr>
          <w:rFonts w:hint="eastAsia" w:ascii="宋体" w:hAnsi="宋体" w:eastAsia="宋体" w:cs="宋体"/>
          <w:color w:val="000000"/>
          <w:kern w:val="0"/>
          <w:sz w:val="22"/>
          <w:highlight w:val="none"/>
          <w:lang w:val="hr-HR"/>
        </w:rPr>
        <w:t>”</w:t>
      </w:r>
      <w:r>
        <w:rPr>
          <w:rFonts w:hint="eastAsia" w:ascii="宋体" w:hAnsi="宋体" w:eastAsia="宋体" w:cs="宋体"/>
          <w:color w:val="000000"/>
          <w:kern w:val="0"/>
          <w:sz w:val="22"/>
          <w:highlight w:val="none"/>
        </w:rPr>
        <w:t>记录名单</w:t>
      </w:r>
      <w:r>
        <w:rPr>
          <w:rFonts w:hint="eastAsia" w:ascii="宋体" w:hAnsi="宋体" w:eastAsia="宋体" w:cs="宋体"/>
          <w:color w:val="000000"/>
          <w:kern w:val="0"/>
          <w:sz w:val="22"/>
          <w:highlight w:val="none"/>
          <w:lang w:val="hr-HR"/>
        </w:rPr>
        <w:t>；</w:t>
      </w:r>
    </w:p>
    <w:p>
      <w:pPr>
        <w:spacing w:line="360" w:lineRule="auto"/>
        <w:ind w:firstLine="480"/>
        <w:rPr>
          <w:rFonts w:hint="eastAsia" w:ascii="宋体" w:hAnsi="宋体" w:eastAsia="宋体" w:cs="宋体"/>
          <w:highlight w:val="none"/>
          <w:lang w:val="hr-HR"/>
        </w:rPr>
      </w:pPr>
      <w:r>
        <w:rPr>
          <w:rFonts w:hint="eastAsia" w:ascii="宋体" w:hAnsi="宋体" w:eastAsia="宋体" w:cs="宋体"/>
          <w:highlight w:val="none"/>
          <w:lang w:val="hr-HR"/>
        </w:rPr>
        <w:t>5、</w:t>
      </w:r>
      <w:r>
        <w:rPr>
          <w:rFonts w:hint="eastAsia" w:ascii="宋体" w:hAnsi="宋体" w:eastAsia="宋体" w:cs="宋体"/>
          <w:highlight w:val="none"/>
          <w:lang w:val="hr-HR"/>
        </w:rPr>
        <w:tab/>
      </w:r>
      <w:r>
        <w:rPr>
          <w:rFonts w:hint="eastAsia" w:ascii="宋体" w:hAnsi="宋体" w:eastAsia="宋体" w:cs="宋体"/>
          <w:highlight w:val="none"/>
          <w:lang w:val="hr-HR"/>
        </w:rPr>
        <w:t>本项目不接受联合体投标</w:t>
      </w:r>
    </w:p>
    <w:p>
      <w:pPr>
        <w:spacing w:line="360" w:lineRule="auto"/>
        <w:ind w:firstLine="480"/>
        <w:rPr>
          <w:rFonts w:hint="eastAsia" w:ascii="宋体" w:hAnsi="宋体" w:eastAsia="宋体" w:cs="宋体"/>
          <w:highlight w:val="none"/>
        </w:rPr>
      </w:pPr>
      <w:r>
        <w:rPr>
          <w:rFonts w:hint="eastAsia" w:ascii="宋体" w:hAnsi="宋体" w:eastAsia="宋体" w:cs="宋体"/>
          <w:highlight w:val="none"/>
        </w:rPr>
        <w:t>（相关证明文件附后）</w:t>
      </w:r>
    </w:p>
    <w:p>
      <w:pPr>
        <w:spacing w:line="480" w:lineRule="exact"/>
        <w:rPr>
          <w:rFonts w:hint="eastAsia" w:ascii="宋体" w:hAnsi="宋体" w:eastAsia="宋体" w:cs="宋体"/>
          <w:highlight w:val="none"/>
        </w:rPr>
      </w:pPr>
    </w:p>
    <w:p>
      <w:pPr>
        <w:adjustRightInd w:val="0"/>
        <w:snapToGrid w:val="0"/>
        <w:spacing w:line="300" w:lineRule="auto"/>
        <w:ind w:firstLine="480"/>
        <w:rPr>
          <w:rFonts w:hint="eastAsia" w:ascii="宋体" w:hAnsi="宋体" w:eastAsia="宋体" w:cs="宋体"/>
          <w:highlight w:val="none"/>
        </w:rPr>
      </w:pPr>
      <w:r>
        <w:rPr>
          <w:rFonts w:hint="eastAsia" w:ascii="宋体" w:hAnsi="宋体" w:eastAsia="宋体" w:cs="宋体"/>
          <w:highlight w:val="none"/>
        </w:rPr>
        <w:t>…………</w:t>
      </w:r>
    </w:p>
    <w:p>
      <w:pPr>
        <w:spacing w:line="360" w:lineRule="auto"/>
        <w:ind w:firstLine="480"/>
        <w:rPr>
          <w:rFonts w:hint="eastAsia" w:ascii="宋体" w:hAnsi="宋体" w:eastAsia="宋体" w:cs="宋体"/>
          <w:highlight w:val="none"/>
        </w:rPr>
      </w:pPr>
    </w:p>
    <w:p>
      <w:pPr>
        <w:spacing w:line="360" w:lineRule="auto"/>
        <w:ind w:firstLine="480"/>
        <w:rPr>
          <w:rFonts w:hint="eastAsia" w:ascii="宋体" w:hAnsi="宋体" w:eastAsia="宋体" w:cs="宋体"/>
          <w:highlight w:val="none"/>
        </w:rPr>
      </w:pPr>
      <w:r>
        <w:rPr>
          <w:rFonts w:hint="eastAsia" w:ascii="宋体" w:hAnsi="宋体" w:eastAsia="宋体" w:cs="宋体"/>
          <w:highlight w:val="none"/>
        </w:rPr>
        <w:t>响应供应商法定代表人（或法定代表人授权代表）签字：</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pPr>
        <w:spacing w:line="360" w:lineRule="auto"/>
        <w:ind w:firstLine="480"/>
        <w:rPr>
          <w:rFonts w:hint="eastAsia" w:ascii="宋体" w:hAnsi="宋体" w:eastAsia="宋体" w:cs="宋体"/>
          <w:highlight w:val="none"/>
          <w:u w:val="single"/>
        </w:rPr>
      </w:pPr>
      <w:r>
        <w:rPr>
          <w:rFonts w:hint="eastAsia" w:ascii="宋体" w:hAnsi="宋体" w:eastAsia="宋体" w:cs="宋体"/>
          <w:highlight w:val="none"/>
        </w:rPr>
        <w:t>响应供应商名称（签章）：</w:t>
      </w:r>
      <w:r>
        <w:rPr>
          <w:rFonts w:hint="eastAsia" w:ascii="宋体" w:hAnsi="宋体" w:eastAsia="宋体" w:cs="宋体"/>
          <w:highlight w:val="none"/>
          <w:u w:val="single"/>
        </w:rPr>
        <w:t xml:space="preserve">                        </w:t>
      </w:r>
    </w:p>
    <w:p>
      <w:pPr>
        <w:spacing w:line="360" w:lineRule="auto"/>
        <w:ind w:firstLine="480"/>
        <w:rPr>
          <w:rFonts w:hint="eastAsia" w:ascii="宋体" w:hAnsi="宋体" w:eastAsia="宋体" w:cs="宋体"/>
          <w:highlight w:val="none"/>
        </w:rPr>
      </w:pPr>
      <w:r>
        <w:rPr>
          <w:rFonts w:hint="eastAsia" w:ascii="宋体" w:hAnsi="宋体" w:eastAsia="宋体" w:cs="宋体"/>
          <w:highlight w:val="none"/>
        </w:rPr>
        <w:t>日期：</w:t>
      </w:r>
      <w:r>
        <w:rPr>
          <w:rFonts w:hint="eastAsia" w:ascii="宋体" w:hAnsi="宋体" w:eastAsia="宋体" w:cs="宋体"/>
          <w:highlight w:val="none"/>
          <w:u w:val="single"/>
        </w:rPr>
        <w:t xml:space="preserve">       </w:t>
      </w:r>
      <w:r>
        <w:rPr>
          <w:rFonts w:hint="eastAsia" w:ascii="宋体" w:hAnsi="宋体" w:eastAsia="宋体" w:cs="宋体"/>
          <w:highlight w:val="none"/>
        </w:rPr>
        <w:t xml:space="preserve">年 </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rPr>
        <w:t>日</w:t>
      </w:r>
      <w:bookmarkStart w:id="171" w:name="_Toc202816997"/>
      <w:bookmarkStart w:id="172" w:name="_Toc202254106"/>
      <w:bookmarkStart w:id="173" w:name="_Toc202820352"/>
      <w:bookmarkStart w:id="174" w:name="_Toc202252035"/>
      <w:bookmarkStart w:id="175" w:name="_Toc202251701"/>
      <w:bookmarkStart w:id="176" w:name="_Toc202819879"/>
      <w:bookmarkStart w:id="177" w:name="_Toc31980"/>
      <w:bookmarkStart w:id="178" w:name="_Toc395800949"/>
      <w:bookmarkStart w:id="179" w:name="_Toc202251076"/>
    </w:p>
    <w:p>
      <w:pPr>
        <w:widowControl/>
        <w:jc w:val="center"/>
        <w:outlineLvl w:val="1"/>
        <w:rPr>
          <w:rFonts w:hint="eastAsia" w:ascii="宋体" w:hAnsi="宋体" w:eastAsia="宋体" w:cs="宋体"/>
          <w:b/>
          <w:highlight w:val="none"/>
        </w:rPr>
      </w:pPr>
    </w:p>
    <w:p>
      <w:pPr>
        <w:widowControl/>
        <w:jc w:val="left"/>
        <w:rPr>
          <w:rFonts w:hint="eastAsia" w:ascii="宋体" w:hAnsi="宋体" w:eastAsia="宋体" w:cs="宋体"/>
          <w:b/>
          <w:highlight w:val="none"/>
        </w:rPr>
      </w:pPr>
      <w:r>
        <w:rPr>
          <w:rFonts w:hint="eastAsia" w:ascii="宋体" w:hAnsi="宋体" w:eastAsia="宋体" w:cs="宋体"/>
          <w:b/>
          <w:highlight w:val="none"/>
        </w:rPr>
        <w:br w:type="page"/>
      </w:r>
    </w:p>
    <w:bookmarkEnd w:id="171"/>
    <w:bookmarkEnd w:id="172"/>
    <w:bookmarkEnd w:id="173"/>
    <w:bookmarkEnd w:id="174"/>
    <w:bookmarkEnd w:id="175"/>
    <w:bookmarkEnd w:id="176"/>
    <w:bookmarkEnd w:id="177"/>
    <w:bookmarkEnd w:id="178"/>
    <w:bookmarkEnd w:id="179"/>
    <w:p>
      <w:pPr>
        <w:ind w:firstLine="482"/>
        <w:rPr>
          <w:rFonts w:hint="eastAsia" w:ascii="宋体" w:hAnsi="宋体" w:eastAsia="宋体" w:cs="宋体"/>
          <w:b/>
          <w:bCs/>
          <w:highlight w:val="none"/>
        </w:rPr>
      </w:pPr>
      <w:bookmarkStart w:id="180" w:name="_Toc6273"/>
      <w:r>
        <w:rPr>
          <w:rFonts w:hint="eastAsia" w:ascii="宋体" w:hAnsi="宋体" w:eastAsia="宋体" w:cs="宋体"/>
          <w:b/>
          <w:highlight w:val="none"/>
          <w:lang w:val="en-US" w:eastAsia="zh-CN"/>
        </w:rPr>
        <w:t>四</w:t>
      </w:r>
      <w:r>
        <w:rPr>
          <w:rFonts w:hint="eastAsia" w:ascii="宋体" w:hAnsi="宋体" w:eastAsia="宋体" w:cs="宋体"/>
          <w:b/>
          <w:highlight w:val="none"/>
        </w:rPr>
        <w:t>、</w:t>
      </w:r>
      <w:r>
        <w:rPr>
          <w:rFonts w:hint="eastAsia" w:ascii="宋体" w:hAnsi="宋体" w:eastAsia="宋体" w:cs="宋体"/>
          <w:b/>
          <w:bCs/>
          <w:highlight w:val="none"/>
        </w:rPr>
        <w:t>技术</w:t>
      </w:r>
      <w:r>
        <w:rPr>
          <w:rFonts w:hint="eastAsia" w:ascii="宋体" w:hAnsi="宋体" w:eastAsia="宋体" w:cs="宋体"/>
          <w:b/>
          <w:bCs/>
          <w:highlight w:val="none"/>
          <w:lang w:eastAsia="zh-CN"/>
        </w:rPr>
        <w:t>、</w:t>
      </w:r>
      <w:r>
        <w:rPr>
          <w:rFonts w:hint="eastAsia" w:ascii="宋体" w:hAnsi="宋体" w:eastAsia="宋体" w:cs="宋体"/>
          <w:b/>
          <w:bCs/>
          <w:highlight w:val="none"/>
          <w:lang w:val="en-US" w:eastAsia="zh-CN"/>
        </w:rPr>
        <w:t>商务</w:t>
      </w:r>
      <w:r>
        <w:rPr>
          <w:rFonts w:hint="eastAsia" w:ascii="宋体" w:hAnsi="宋体" w:eastAsia="宋体" w:cs="宋体"/>
          <w:b/>
          <w:bCs/>
          <w:highlight w:val="none"/>
        </w:rPr>
        <w:t>参数响应情况</w:t>
      </w:r>
    </w:p>
    <w:tbl>
      <w:tblPr>
        <w:tblStyle w:val="2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064"/>
        <w:gridCol w:w="3196"/>
        <w:gridCol w:w="2080"/>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序号</w:t>
            </w:r>
          </w:p>
        </w:tc>
        <w:tc>
          <w:tcPr>
            <w:tcW w:w="2064"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招标规格/要求</w:t>
            </w:r>
          </w:p>
        </w:tc>
        <w:tc>
          <w:tcPr>
            <w:tcW w:w="3196"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投标实际参数</w:t>
            </w:r>
          </w:p>
          <w:p>
            <w:pPr>
              <w:jc w:val="left"/>
              <w:rPr>
                <w:rFonts w:hint="eastAsia" w:ascii="宋体" w:hAnsi="宋体" w:eastAsia="宋体" w:cs="宋体"/>
                <w:b/>
                <w:bCs/>
                <w:highlight w:val="none"/>
              </w:rPr>
            </w:pPr>
            <w:r>
              <w:rPr>
                <w:rFonts w:hint="eastAsia" w:ascii="宋体" w:hAnsi="宋体" w:eastAsia="宋体" w:cs="宋体"/>
                <w:b/>
                <w:bCs/>
                <w:highlight w:val="none"/>
              </w:rPr>
              <w:t>(投标人应按投标货物/服务实际数据填写)</w:t>
            </w:r>
          </w:p>
        </w:tc>
        <w:tc>
          <w:tcPr>
            <w:tcW w:w="2080"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是否偏离（无偏离/正偏离/负偏离）</w:t>
            </w:r>
          </w:p>
        </w:tc>
        <w:tc>
          <w:tcPr>
            <w:tcW w:w="1378"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2064" w:type="dxa"/>
            <w:vAlign w:val="center"/>
          </w:tcPr>
          <w:p>
            <w:pPr>
              <w:ind w:firstLine="480"/>
              <w:jc w:val="center"/>
              <w:rPr>
                <w:rFonts w:hint="eastAsia" w:ascii="宋体" w:hAnsi="宋体" w:eastAsia="宋体" w:cs="宋体"/>
                <w:szCs w:val="21"/>
                <w:highlight w:val="none"/>
              </w:rPr>
            </w:pPr>
          </w:p>
        </w:tc>
        <w:tc>
          <w:tcPr>
            <w:tcW w:w="3196" w:type="dxa"/>
            <w:vAlign w:val="center"/>
          </w:tcPr>
          <w:p>
            <w:pPr>
              <w:ind w:firstLine="480"/>
              <w:rPr>
                <w:rFonts w:hint="eastAsia" w:ascii="宋体" w:hAnsi="宋体" w:eastAsia="宋体" w:cs="宋体"/>
                <w:szCs w:val="21"/>
                <w:highlight w:val="none"/>
              </w:rPr>
            </w:pPr>
          </w:p>
        </w:tc>
        <w:tc>
          <w:tcPr>
            <w:tcW w:w="2080" w:type="dxa"/>
            <w:vAlign w:val="center"/>
          </w:tcPr>
          <w:p>
            <w:pPr>
              <w:ind w:firstLine="480"/>
              <w:rPr>
                <w:rFonts w:hint="eastAsia" w:ascii="宋体" w:hAnsi="宋体" w:eastAsia="宋体" w:cs="宋体"/>
                <w:szCs w:val="21"/>
                <w:highlight w:val="none"/>
              </w:rPr>
            </w:pPr>
          </w:p>
        </w:tc>
        <w:tc>
          <w:tcPr>
            <w:tcW w:w="1378" w:type="dxa"/>
            <w:vAlign w:val="center"/>
          </w:tcPr>
          <w:p>
            <w:pPr>
              <w:ind w:firstLine="480"/>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2064" w:type="dxa"/>
            <w:vAlign w:val="center"/>
          </w:tcPr>
          <w:p>
            <w:pPr>
              <w:ind w:firstLine="480"/>
              <w:jc w:val="center"/>
              <w:rPr>
                <w:rFonts w:hint="eastAsia" w:ascii="宋体" w:hAnsi="宋体" w:eastAsia="宋体" w:cs="宋体"/>
                <w:szCs w:val="21"/>
                <w:highlight w:val="none"/>
              </w:rPr>
            </w:pPr>
          </w:p>
        </w:tc>
        <w:tc>
          <w:tcPr>
            <w:tcW w:w="3196" w:type="dxa"/>
            <w:vAlign w:val="center"/>
          </w:tcPr>
          <w:p>
            <w:pPr>
              <w:ind w:firstLine="480"/>
              <w:rPr>
                <w:rFonts w:hint="eastAsia" w:ascii="宋体" w:hAnsi="宋体" w:eastAsia="宋体" w:cs="宋体"/>
                <w:szCs w:val="21"/>
                <w:highlight w:val="none"/>
              </w:rPr>
            </w:pPr>
          </w:p>
        </w:tc>
        <w:tc>
          <w:tcPr>
            <w:tcW w:w="2080" w:type="dxa"/>
            <w:vAlign w:val="center"/>
          </w:tcPr>
          <w:p>
            <w:pPr>
              <w:ind w:firstLine="480"/>
              <w:rPr>
                <w:rFonts w:hint="eastAsia" w:ascii="宋体" w:hAnsi="宋体" w:eastAsia="宋体" w:cs="宋体"/>
                <w:szCs w:val="21"/>
                <w:highlight w:val="none"/>
              </w:rPr>
            </w:pPr>
          </w:p>
        </w:tc>
        <w:tc>
          <w:tcPr>
            <w:tcW w:w="1378" w:type="dxa"/>
            <w:vAlign w:val="center"/>
          </w:tcPr>
          <w:p>
            <w:pPr>
              <w:ind w:firstLine="480"/>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2064" w:type="dxa"/>
            <w:vAlign w:val="center"/>
          </w:tcPr>
          <w:p>
            <w:pPr>
              <w:ind w:firstLine="480"/>
              <w:jc w:val="center"/>
              <w:rPr>
                <w:rFonts w:hint="eastAsia" w:ascii="宋体" w:hAnsi="宋体" w:eastAsia="宋体" w:cs="宋体"/>
                <w:szCs w:val="21"/>
                <w:highlight w:val="none"/>
              </w:rPr>
            </w:pPr>
          </w:p>
        </w:tc>
        <w:tc>
          <w:tcPr>
            <w:tcW w:w="3196" w:type="dxa"/>
            <w:vAlign w:val="center"/>
          </w:tcPr>
          <w:p>
            <w:pPr>
              <w:ind w:firstLine="480"/>
              <w:rPr>
                <w:rFonts w:hint="eastAsia" w:ascii="宋体" w:hAnsi="宋体" w:eastAsia="宋体" w:cs="宋体"/>
                <w:szCs w:val="21"/>
                <w:highlight w:val="none"/>
              </w:rPr>
            </w:pPr>
          </w:p>
        </w:tc>
        <w:tc>
          <w:tcPr>
            <w:tcW w:w="2080" w:type="dxa"/>
            <w:vAlign w:val="center"/>
          </w:tcPr>
          <w:p>
            <w:pPr>
              <w:ind w:firstLine="480"/>
              <w:rPr>
                <w:rFonts w:hint="eastAsia" w:ascii="宋体" w:hAnsi="宋体" w:eastAsia="宋体" w:cs="宋体"/>
                <w:szCs w:val="21"/>
                <w:highlight w:val="none"/>
              </w:rPr>
            </w:pPr>
          </w:p>
        </w:tc>
        <w:tc>
          <w:tcPr>
            <w:tcW w:w="1378" w:type="dxa"/>
            <w:vAlign w:val="center"/>
          </w:tcPr>
          <w:p>
            <w:pPr>
              <w:ind w:firstLine="480"/>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4</w:t>
            </w:r>
          </w:p>
        </w:tc>
        <w:tc>
          <w:tcPr>
            <w:tcW w:w="2064" w:type="dxa"/>
            <w:vAlign w:val="center"/>
          </w:tcPr>
          <w:p>
            <w:pPr>
              <w:ind w:firstLine="480"/>
              <w:jc w:val="center"/>
              <w:rPr>
                <w:rFonts w:hint="eastAsia" w:ascii="宋体" w:hAnsi="宋体" w:eastAsia="宋体" w:cs="宋体"/>
                <w:szCs w:val="21"/>
                <w:highlight w:val="none"/>
              </w:rPr>
            </w:pPr>
          </w:p>
        </w:tc>
        <w:tc>
          <w:tcPr>
            <w:tcW w:w="3196" w:type="dxa"/>
            <w:vAlign w:val="center"/>
          </w:tcPr>
          <w:p>
            <w:pPr>
              <w:ind w:firstLine="480"/>
              <w:rPr>
                <w:rFonts w:hint="eastAsia" w:ascii="宋体" w:hAnsi="宋体" w:eastAsia="宋体" w:cs="宋体"/>
                <w:szCs w:val="21"/>
                <w:highlight w:val="none"/>
              </w:rPr>
            </w:pPr>
          </w:p>
        </w:tc>
        <w:tc>
          <w:tcPr>
            <w:tcW w:w="2080" w:type="dxa"/>
            <w:vAlign w:val="center"/>
          </w:tcPr>
          <w:p>
            <w:pPr>
              <w:ind w:firstLine="480"/>
              <w:rPr>
                <w:rFonts w:hint="eastAsia" w:ascii="宋体" w:hAnsi="宋体" w:eastAsia="宋体" w:cs="宋体"/>
                <w:szCs w:val="21"/>
                <w:highlight w:val="none"/>
              </w:rPr>
            </w:pPr>
          </w:p>
        </w:tc>
        <w:tc>
          <w:tcPr>
            <w:tcW w:w="1378" w:type="dxa"/>
            <w:vAlign w:val="center"/>
          </w:tcPr>
          <w:p>
            <w:pPr>
              <w:ind w:firstLine="480"/>
              <w:rPr>
                <w:rFonts w:hint="eastAsia" w:ascii="宋体" w:hAnsi="宋体" w:eastAsia="宋体" w:cs="宋体"/>
                <w:szCs w:val="21"/>
                <w:highlight w:val="none"/>
              </w:rPr>
            </w:pPr>
          </w:p>
        </w:tc>
      </w:tr>
    </w:tbl>
    <w:p>
      <w:pPr>
        <w:jc w:val="left"/>
        <w:outlineLvl w:val="1"/>
        <w:rPr>
          <w:rFonts w:hint="eastAsia" w:ascii="宋体" w:hAnsi="宋体" w:eastAsia="宋体" w:cs="宋体"/>
          <w:b/>
          <w:highlight w:val="none"/>
        </w:rPr>
      </w:pPr>
    </w:p>
    <w:p>
      <w:pPr>
        <w:widowControl/>
        <w:jc w:val="left"/>
        <w:rPr>
          <w:rFonts w:hint="eastAsia" w:ascii="宋体" w:hAnsi="宋体" w:eastAsia="宋体" w:cs="宋体"/>
          <w:b/>
          <w:spacing w:val="0"/>
          <w:kern w:val="2"/>
          <w:highlight w:val="none"/>
        </w:rPr>
      </w:pPr>
      <w:r>
        <w:rPr>
          <w:rFonts w:hint="eastAsia" w:ascii="宋体" w:hAnsi="宋体" w:eastAsia="宋体" w:cs="宋体"/>
          <w:b/>
          <w:highlight w:val="none"/>
        </w:rPr>
        <w:br w:type="page"/>
      </w:r>
    </w:p>
    <w:p>
      <w:pPr>
        <w:pStyle w:val="44"/>
        <w:ind w:firstLine="0" w:firstLineChars="0"/>
        <w:rPr>
          <w:rFonts w:hint="eastAsia" w:ascii="宋体" w:hAnsi="宋体" w:eastAsia="宋体" w:cs="宋体"/>
          <w:b/>
          <w:spacing w:val="0"/>
          <w:kern w:val="2"/>
          <w:highlight w:val="none"/>
        </w:rPr>
      </w:pPr>
      <w:r>
        <w:rPr>
          <w:rFonts w:hint="eastAsia" w:ascii="宋体" w:hAnsi="宋体" w:eastAsia="宋体" w:cs="宋体"/>
          <w:b/>
          <w:spacing w:val="0"/>
          <w:kern w:val="2"/>
          <w:highlight w:val="none"/>
          <w:lang w:val="en-US" w:eastAsia="zh-CN"/>
        </w:rPr>
        <w:t>五、</w:t>
      </w:r>
      <w:r>
        <w:rPr>
          <w:rFonts w:hint="eastAsia" w:ascii="宋体" w:hAnsi="宋体" w:eastAsia="宋体" w:cs="宋体"/>
          <w:b/>
          <w:spacing w:val="0"/>
          <w:kern w:val="2"/>
          <w:highlight w:val="none"/>
        </w:rPr>
        <w:t>同类项目业绩介绍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2510"/>
        <w:gridCol w:w="2819"/>
        <w:gridCol w:w="1236"/>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66" w:type="dxa"/>
            <w:shd w:val="clear" w:color="auto" w:fill="F3F3F3"/>
            <w:vAlign w:val="center"/>
          </w:tcPr>
          <w:p>
            <w:pPr>
              <w:jc w:val="center"/>
              <w:rPr>
                <w:rFonts w:hint="eastAsia" w:ascii="宋体" w:hAnsi="宋体" w:eastAsia="宋体" w:cs="宋体"/>
                <w:b/>
                <w:bCs/>
                <w:szCs w:val="21"/>
                <w:highlight w:val="none"/>
              </w:rPr>
            </w:pPr>
            <w:r>
              <w:rPr>
                <w:rFonts w:hint="eastAsia" w:ascii="宋体" w:hAnsi="宋体" w:eastAsia="宋体" w:cs="宋体"/>
                <w:b/>
                <w:bCs/>
                <w:szCs w:val="21"/>
                <w:highlight w:val="none"/>
              </w:rPr>
              <w:t>序号</w:t>
            </w:r>
          </w:p>
        </w:tc>
        <w:tc>
          <w:tcPr>
            <w:tcW w:w="2510" w:type="dxa"/>
            <w:shd w:val="clear" w:color="auto" w:fill="F3F3F3"/>
            <w:vAlign w:val="center"/>
          </w:tcPr>
          <w:p>
            <w:pPr>
              <w:jc w:val="center"/>
              <w:rPr>
                <w:rFonts w:hint="eastAsia" w:ascii="宋体" w:hAnsi="宋体" w:eastAsia="宋体" w:cs="宋体"/>
                <w:b/>
                <w:bCs/>
                <w:szCs w:val="21"/>
                <w:highlight w:val="none"/>
              </w:rPr>
            </w:pPr>
            <w:r>
              <w:rPr>
                <w:rFonts w:hint="eastAsia" w:ascii="宋体" w:hAnsi="宋体" w:eastAsia="宋体" w:cs="宋体"/>
                <w:b/>
                <w:bCs/>
                <w:szCs w:val="21"/>
                <w:highlight w:val="none"/>
              </w:rPr>
              <w:t>客户名称</w:t>
            </w:r>
          </w:p>
        </w:tc>
        <w:tc>
          <w:tcPr>
            <w:tcW w:w="2819" w:type="dxa"/>
            <w:shd w:val="clear" w:color="auto" w:fill="F3F3F3"/>
            <w:vAlign w:val="center"/>
          </w:tcPr>
          <w:p>
            <w:pPr>
              <w:jc w:val="center"/>
              <w:rPr>
                <w:rFonts w:hint="eastAsia" w:ascii="宋体" w:hAnsi="宋体" w:eastAsia="宋体" w:cs="宋体"/>
                <w:b/>
                <w:bCs/>
                <w:szCs w:val="21"/>
                <w:highlight w:val="none"/>
              </w:rPr>
            </w:pPr>
            <w:r>
              <w:rPr>
                <w:rFonts w:hint="eastAsia" w:ascii="宋体" w:hAnsi="宋体" w:eastAsia="宋体" w:cs="宋体"/>
                <w:b/>
                <w:bCs/>
                <w:szCs w:val="21"/>
                <w:highlight w:val="none"/>
              </w:rPr>
              <w:t>项目名称及合同金额</w:t>
            </w:r>
          </w:p>
          <w:p>
            <w:pPr>
              <w:jc w:val="center"/>
              <w:rPr>
                <w:rFonts w:hint="eastAsia" w:ascii="宋体" w:hAnsi="宋体" w:eastAsia="宋体" w:cs="宋体"/>
                <w:b/>
                <w:bCs/>
                <w:szCs w:val="21"/>
                <w:highlight w:val="none"/>
              </w:rPr>
            </w:pPr>
            <w:r>
              <w:rPr>
                <w:rFonts w:hint="eastAsia" w:ascii="宋体" w:hAnsi="宋体" w:eastAsia="宋体" w:cs="宋体"/>
                <w:b/>
                <w:bCs/>
                <w:szCs w:val="21"/>
                <w:highlight w:val="none"/>
              </w:rPr>
              <w:t>（万元）</w:t>
            </w:r>
          </w:p>
        </w:tc>
        <w:tc>
          <w:tcPr>
            <w:tcW w:w="1236" w:type="dxa"/>
            <w:shd w:val="clear" w:color="auto" w:fill="F3F3F3"/>
            <w:vAlign w:val="center"/>
          </w:tcPr>
          <w:p>
            <w:pPr>
              <w:jc w:val="center"/>
              <w:rPr>
                <w:rFonts w:hint="eastAsia" w:ascii="宋体" w:hAnsi="宋体" w:eastAsia="宋体" w:cs="宋体"/>
                <w:b/>
                <w:bCs/>
                <w:szCs w:val="21"/>
                <w:highlight w:val="none"/>
              </w:rPr>
            </w:pPr>
            <w:r>
              <w:rPr>
                <w:rFonts w:hint="eastAsia" w:ascii="宋体" w:hAnsi="宋体" w:eastAsia="宋体" w:cs="宋体"/>
                <w:b/>
                <w:bCs/>
                <w:szCs w:val="21"/>
                <w:highlight w:val="none"/>
              </w:rPr>
              <w:t>竣工时间</w:t>
            </w:r>
          </w:p>
        </w:tc>
        <w:tc>
          <w:tcPr>
            <w:tcW w:w="2237" w:type="dxa"/>
            <w:shd w:val="clear" w:color="auto" w:fill="F3F3F3"/>
            <w:vAlign w:val="center"/>
          </w:tcPr>
          <w:p>
            <w:pPr>
              <w:jc w:val="center"/>
              <w:rPr>
                <w:rFonts w:hint="eastAsia" w:ascii="宋体" w:hAnsi="宋体" w:eastAsia="宋体" w:cs="宋体"/>
                <w:b/>
                <w:bCs/>
                <w:szCs w:val="21"/>
                <w:highlight w:val="none"/>
              </w:rPr>
            </w:pPr>
            <w:r>
              <w:rPr>
                <w:rFonts w:hint="eastAsia" w:ascii="宋体" w:hAnsi="宋体" w:eastAsia="宋体" w:cs="宋体"/>
                <w:b/>
                <w:bCs/>
                <w:szCs w:val="21"/>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66"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2510" w:type="dxa"/>
            <w:vAlign w:val="center"/>
          </w:tcPr>
          <w:p>
            <w:pPr>
              <w:ind w:firstLine="480"/>
              <w:jc w:val="center"/>
              <w:rPr>
                <w:rFonts w:hint="eastAsia" w:ascii="宋体" w:hAnsi="宋体" w:eastAsia="宋体" w:cs="宋体"/>
                <w:szCs w:val="21"/>
                <w:highlight w:val="none"/>
              </w:rPr>
            </w:pPr>
          </w:p>
        </w:tc>
        <w:tc>
          <w:tcPr>
            <w:tcW w:w="2819" w:type="dxa"/>
            <w:vAlign w:val="center"/>
          </w:tcPr>
          <w:p>
            <w:pPr>
              <w:ind w:firstLine="480"/>
              <w:jc w:val="center"/>
              <w:rPr>
                <w:rFonts w:hint="eastAsia" w:ascii="宋体" w:hAnsi="宋体" w:eastAsia="宋体" w:cs="宋体"/>
                <w:szCs w:val="21"/>
                <w:highlight w:val="none"/>
              </w:rPr>
            </w:pPr>
          </w:p>
        </w:tc>
        <w:tc>
          <w:tcPr>
            <w:tcW w:w="1236" w:type="dxa"/>
            <w:vAlign w:val="center"/>
          </w:tcPr>
          <w:p>
            <w:pPr>
              <w:ind w:firstLine="480"/>
              <w:jc w:val="center"/>
              <w:rPr>
                <w:rFonts w:hint="eastAsia" w:ascii="宋体" w:hAnsi="宋体" w:eastAsia="宋体" w:cs="宋体"/>
                <w:szCs w:val="21"/>
                <w:highlight w:val="none"/>
              </w:rPr>
            </w:pPr>
          </w:p>
        </w:tc>
        <w:tc>
          <w:tcPr>
            <w:tcW w:w="2237" w:type="dxa"/>
            <w:vAlign w:val="center"/>
          </w:tcPr>
          <w:p>
            <w:pPr>
              <w:ind w:firstLine="48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66"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2510" w:type="dxa"/>
            <w:vAlign w:val="center"/>
          </w:tcPr>
          <w:p>
            <w:pPr>
              <w:ind w:firstLine="480"/>
              <w:jc w:val="center"/>
              <w:rPr>
                <w:rFonts w:hint="eastAsia" w:ascii="宋体" w:hAnsi="宋体" w:eastAsia="宋体" w:cs="宋体"/>
                <w:szCs w:val="21"/>
                <w:highlight w:val="none"/>
              </w:rPr>
            </w:pPr>
          </w:p>
        </w:tc>
        <w:tc>
          <w:tcPr>
            <w:tcW w:w="2819" w:type="dxa"/>
            <w:vAlign w:val="center"/>
          </w:tcPr>
          <w:p>
            <w:pPr>
              <w:ind w:firstLine="480"/>
              <w:jc w:val="center"/>
              <w:rPr>
                <w:rFonts w:hint="eastAsia" w:ascii="宋体" w:hAnsi="宋体" w:eastAsia="宋体" w:cs="宋体"/>
                <w:szCs w:val="21"/>
                <w:highlight w:val="none"/>
              </w:rPr>
            </w:pPr>
          </w:p>
        </w:tc>
        <w:tc>
          <w:tcPr>
            <w:tcW w:w="1236" w:type="dxa"/>
            <w:vAlign w:val="center"/>
          </w:tcPr>
          <w:p>
            <w:pPr>
              <w:pStyle w:val="43"/>
              <w:ind w:left="-134" w:firstLine="482"/>
              <w:rPr>
                <w:rFonts w:hint="eastAsia" w:ascii="宋体" w:hAnsi="宋体" w:eastAsia="宋体" w:cs="宋体"/>
                <w:color w:val="auto"/>
                <w:highlight w:val="none"/>
              </w:rPr>
            </w:pPr>
          </w:p>
        </w:tc>
        <w:tc>
          <w:tcPr>
            <w:tcW w:w="2237" w:type="dxa"/>
            <w:vAlign w:val="center"/>
          </w:tcPr>
          <w:p>
            <w:pPr>
              <w:ind w:firstLine="48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66"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2510" w:type="dxa"/>
            <w:vAlign w:val="center"/>
          </w:tcPr>
          <w:p>
            <w:pPr>
              <w:ind w:firstLine="480"/>
              <w:jc w:val="center"/>
              <w:rPr>
                <w:rFonts w:hint="eastAsia" w:ascii="宋体" w:hAnsi="宋体" w:eastAsia="宋体" w:cs="宋体"/>
                <w:szCs w:val="21"/>
                <w:highlight w:val="none"/>
              </w:rPr>
            </w:pPr>
          </w:p>
        </w:tc>
        <w:tc>
          <w:tcPr>
            <w:tcW w:w="2819" w:type="dxa"/>
            <w:vAlign w:val="center"/>
          </w:tcPr>
          <w:p>
            <w:pPr>
              <w:ind w:firstLine="480"/>
              <w:jc w:val="center"/>
              <w:rPr>
                <w:rFonts w:hint="eastAsia" w:ascii="宋体" w:hAnsi="宋体" w:eastAsia="宋体" w:cs="宋体"/>
                <w:szCs w:val="21"/>
                <w:highlight w:val="none"/>
              </w:rPr>
            </w:pPr>
          </w:p>
        </w:tc>
        <w:tc>
          <w:tcPr>
            <w:tcW w:w="1236" w:type="dxa"/>
            <w:vAlign w:val="center"/>
          </w:tcPr>
          <w:p>
            <w:pPr>
              <w:ind w:firstLine="480"/>
              <w:jc w:val="center"/>
              <w:rPr>
                <w:rFonts w:hint="eastAsia" w:ascii="宋体" w:hAnsi="宋体" w:eastAsia="宋体" w:cs="宋体"/>
                <w:szCs w:val="21"/>
                <w:highlight w:val="none"/>
              </w:rPr>
            </w:pPr>
          </w:p>
        </w:tc>
        <w:tc>
          <w:tcPr>
            <w:tcW w:w="2237" w:type="dxa"/>
            <w:vAlign w:val="center"/>
          </w:tcPr>
          <w:p>
            <w:pPr>
              <w:ind w:firstLine="48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66"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w:t>
            </w:r>
          </w:p>
        </w:tc>
        <w:tc>
          <w:tcPr>
            <w:tcW w:w="2510" w:type="dxa"/>
            <w:vAlign w:val="center"/>
          </w:tcPr>
          <w:p>
            <w:pPr>
              <w:ind w:firstLine="480"/>
              <w:jc w:val="center"/>
              <w:rPr>
                <w:rFonts w:hint="eastAsia" w:ascii="宋体" w:hAnsi="宋体" w:eastAsia="宋体" w:cs="宋体"/>
                <w:szCs w:val="21"/>
                <w:highlight w:val="none"/>
              </w:rPr>
            </w:pPr>
          </w:p>
        </w:tc>
        <w:tc>
          <w:tcPr>
            <w:tcW w:w="2819" w:type="dxa"/>
            <w:vAlign w:val="center"/>
          </w:tcPr>
          <w:p>
            <w:pPr>
              <w:ind w:firstLine="480"/>
              <w:jc w:val="center"/>
              <w:rPr>
                <w:rFonts w:hint="eastAsia" w:ascii="宋体" w:hAnsi="宋体" w:eastAsia="宋体" w:cs="宋体"/>
                <w:szCs w:val="21"/>
                <w:highlight w:val="none"/>
              </w:rPr>
            </w:pPr>
          </w:p>
        </w:tc>
        <w:tc>
          <w:tcPr>
            <w:tcW w:w="1236" w:type="dxa"/>
            <w:vAlign w:val="center"/>
          </w:tcPr>
          <w:p>
            <w:pPr>
              <w:ind w:firstLine="480"/>
              <w:jc w:val="center"/>
              <w:rPr>
                <w:rFonts w:hint="eastAsia" w:ascii="宋体" w:hAnsi="宋体" w:eastAsia="宋体" w:cs="宋体"/>
                <w:szCs w:val="21"/>
                <w:highlight w:val="none"/>
              </w:rPr>
            </w:pPr>
          </w:p>
        </w:tc>
        <w:tc>
          <w:tcPr>
            <w:tcW w:w="2237" w:type="dxa"/>
            <w:vAlign w:val="center"/>
          </w:tcPr>
          <w:p>
            <w:pPr>
              <w:ind w:firstLine="480"/>
              <w:jc w:val="center"/>
              <w:rPr>
                <w:rFonts w:hint="eastAsia" w:ascii="宋体" w:hAnsi="宋体" w:eastAsia="宋体" w:cs="宋体"/>
                <w:szCs w:val="21"/>
                <w:highlight w:val="none"/>
              </w:rPr>
            </w:pPr>
          </w:p>
        </w:tc>
      </w:tr>
    </w:tbl>
    <w:p>
      <w:pPr>
        <w:ind w:firstLine="480"/>
        <w:rPr>
          <w:rFonts w:hint="eastAsia" w:ascii="宋体" w:hAnsi="宋体" w:eastAsia="宋体" w:cs="宋体"/>
          <w:highlight w:val="none"/>
        </w:rPr>
      </w:pPr>
      <w:r>
        <w:rPr>
          <w:rFonts w:hint="eastAsia" w:ascii="宋体" w:hAnsi="宋体" w:eastAsia="宋体" w:cs="宋体"/>
          <w:highlight w:val="none"/>
        </w:rPr>
        <w:t>注：业绩是必须以响应供应商名义完成并已验收的项目。报价人/响应供应商必须提供合同关键页复印件及验收报告。</w:t>
      </w:r>
    </w:p>
    <w:p>
      <w:pPr>
        <w:jc w:val="left"/>
        <w:outlineLvl w:val="1"/>
        <w:rPr>
          <w:rFonts w:hint="eastAsia" w:ascii="宋体" w:hAnsi="宋体" w:eastAsia="宋体" w:cs="宋体"/>
          <w:b/>
          <w:highlight w:val="none"/>
        </w:rPr>
      </w:pPr>
    </w:p>
    <w:p>
      <w:pPr>
        <w:jc w:val="left"/>
        <w:outlineLvl w:val="1"/>
        <w:rPr>
          <w:rFonts w:hint="eastAsia" w:ascii="宋体" w:hAnsi="宋体" w:eastAsia="宋体" w:cs="宋体"/>
          <w:b/>
          <w:highlight w:val="none"/>
        </w:rPr>
      </w:pPr>
    </w:p>
    <w:p>
      <w:pPr>
        <w:widowControl/>
        <w:jc w:val="left"/>
        <w:rPr>
          <w:rFonts w:hint="eastAsia" w:ascii="宋体" w:hAnsi="宋体" w:eastAsia="宋体" w:cs="宋体"/>
          <w:b/>
          <w:highlight w:val="none"/>
        </w:rPr>
      </w:pPr>
      <w:r>
        <w:rPr>
          <w:rFonts w:hint="eastAsia" w:ascii="宋体" w:hAnsi="宋体" w:eastAsia="宋体" w:cs="宋体"/>
          <w:b/>
          <w:highlight w:val="none"/>
        </w:rPr>
        <w:br w:type="page"/>
      </w:r>
    </w:p>
    <w:bookmarkEnd w:id="180"/>
    <w:p>
      <w:pPr>
        <w:jc w:val="both"/>
        <w:outlineLvl w:val="1"/>
        <w:rPr>
          <w:rFonts w:hint="eastAsia" w:ascii="宋体" w:hAnsi="宋体" w:eastAsia="宋体" w:cs="宋体"/>
          <w:b/>
          <w:highlight w:val="none"/>
        </w:rPr>
      </w:pPr>
      <w:r>
        <w:rPr>
          <w:rFonts w:hint="eastAsia" w:ascii="宋体" w:hAnsi="宋体" w:eastAsia="宋体" w:cs="宋体"/>
          <w:b/>
          <w:highlight w:val="none"/>
          <w:lang w:val="en-US" w:eastAsia="zh-CN"/>
        </w:rPr>
        <w:t>六</w:t>
      </w:r>
      <w:r>
        <w:rPr>
          <w:rFonts w:hint="eastAsia" w:ascii="宋体" w:hAnsi="宋体" w:eastAsia="宋体" w:cs="宋体"/>
          <w:b/>
          <w:highlight w:val="none"/>
        </w:rPr>
        <w:t>、价格部分</w:t>
      </w:r>
    </w:p>
    <w:p>
      <w:pPr>
        <w:jc w:val="center"/>
        <w:rPr>
          <w:rFonts w:hint="eastAsia" w:ascii="宋体" w:hAnsi="宋体" w:eastAsia="宋体" w:cs="宋体"/>
          <w:b/>
          <w:bCs/>
          <w:highlight w:val="none"/>
        </w:rPr>
      </w:pPr>
      <w:r>
        <w:rPr>
          <w:rFonts w:hint="eastAsia" w:ascii="宋体" w:hAnsi="宋体" w:eastAsia="宋体" w:cs="宋体"/>
          <w:b/>
          <w:bCs/>
          <w:highlight w:val="none"/>
        </w:rPr>
        <w:t>报价一览表</w:t>
      </w:r>
    </w:p>
    <w:tbl>
      <w:tblPr>
        <w:tblStyle w:val="21"/>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7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1728" w:type="dxa"/>
            <w:tcBorders>
              <w:bottom w:val="single" w:color="auto" w:sz="4" w:space="0"/>
            </w:tcBorders>
            <w:vAlign w:val="center"/>
          </w:tcPr>
          <w:p>
            <w:pPr>
              <w:jc w:val="center"/>
              <w:rPr>
                <w:rFonts w:hint="eastAsia" w:ascii="宋体" w:hAnsi="宋体" w:eastAsia="宋体" w:cs="宋体"/>
                <w:highlight w:val="none"/>
              </w:rPr>
            </w:pPr>
            <w:r>
              <w:rPr>
                <w:rFonts w:hint="eastAsia" w:ascii="宋体" w:hAnsi="宋体" w:eastAsia="宋体" w:cs="宋体"/>
                <w:highlight w:val="none"/>
              </w:rPr>
              <w:t>项目名称</w:t>
            </w:r>
          </w:p>
        </w:tc>
        <w:tc>
          <w:tcPr>
            <w:tcW w:w="7632" w:type="dxa"/>
            <w:tcBorders>
              <w:bottom w:val="single" w:color="auto" w:sz="4" w:space="0"/>
            </w:tcBorders>
            <w:vAlign w:val="center"/>
          </w:tcPr>
          <w:p>
            <w:pPr>
              <w:jc w:val="cente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1728" w:type="dxa"/>
            <w:tcBorders>
              <w:bottom w:val="single" w:color="auto" w:sz="4" w:space="0"/>
            </w:tcBorders>
            <w:vAlign w:val="center"/>
          </w:tcPr>
          <w:p>
            <w:pPr>
              <w:jc w:val="center"/>
              <w:rPr>
                <w:rFonts w:hint="eastAsia" w:ascii="宋体" w:hAnsi="宋体" w:eastAsia="宋体" w:cs="宋体"/>
                <w:highlight w:val="none"/>
              </w:rPr>
            </w:pPr>
            <w:r>
              <w:rPr>
                <w:rFonts w:hint="eastAsia" w:ascii="宋体" w:hAnsi="宋体" w:eastAsia="宋体" w:cs="宋体"/>
                <w:highlight w:val="none"/>
              </w:rPr>
              <w:t>响应供应商</w:t>
            </w:r>
          </w:p>
        </w:tc>
        <w:tc>
          <w:tcPr>
            <w:tcW w:w="7632" w:type="dxa"/>
            <w:tcBorders>
              <w:bottom w:val="single" w:color="auto" w:sz="4" w:space="0"/>
            </w:tcBorders>
            <w:vAlign w:val="center"/>
          </w:tcPr>
          <w:p>
            <w:pPr>
              <w:jc w:val="center"/>
              <w:rPr>
                <w:rFonts w:hint="eastAsia" w:ascii="宋体" w:hAnsi="宋体" w:eastAsia="宋体" w:cs="宋体"/>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1" w:hRule="atLeast"/>
        </w:trPr>
        <w:tc>
          <w:tcPr>
            <w:tcW w:w="1728" w:type="dxa"/>
            <w:tcBorders>
              <w:bottom w:val="single" w:color="auto" w:sz="2" w:space="0"/>
            </w:tcBorders>
            <w:vAlign w:val="center"/>
          </w:tcPr>
          <w:p>
            <w:pPr>
              <w:jc w:val="center"/>
              <w:rPr>
                <w:rFonts w:hint="eastAsia" w:ascii="宋体" w:hAnsi="宋体" w:eastAsia="宋体" w:cs="宋体"/>
                <w:highlight w:val="none"/>
              </w:rPr>
            </w:pPr>
            <w:r>
              <w:rPr>
                <w:rFonts w:hint="eastAsia" w:ascii="宋体" w:hAnsi="宋体" w:eastAsia="宋体" w:cs="宋体"/>
                <w:highlight w:val="none"/>
              </w:rPr>
              <w:t>总报价</w:t>
            </w:r>
          </w:p>
        </w:tc>
        <w:tc>
          <w:tcPr>
            <w:tcW w:w="7632" w:type="dxa"/>
            <w:tcBorders>
              <w:bottom w:val="single" w:color="auto" w:sz="2" w:space="0"/>
            </w:tcBorders>
            <w:vAlign w:val="center"/>
          </w:tcPr>
          <w:p>
            <w:pPr>
              <w:rPr>
                <w:rFonts w:hint="eastAsia" w:ascii="宋体" w:hAnsi="宋体" w:eastAsia="宋体" w:cs="宋体"/>
                <w:highlight w:val="none"/>
              </w:rPr>
            </w:pPr>
            <w:r>
              <w:rPr>
                <w:rFonts w:hint="eastAsia" w:ascii="宋体" w:hAnsi="宋体" w:eastAsia="宋体" w:cs="宋体"/>
                <w:highlight w:val="none"/>
              </w:rPr>
              <w:t>（大写）人民币                     元整（￥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1728" w:type="dxa"/>
            <w:vAlign w:val="center"/>
          </w:tcPr>
          <w:p>
            <w:pPr>
              <w:jc w:val="center"/>
              <w:rPr>
                <w:rFonts w:hint="default" w:ascii="宋体" w:hAnsi="宋体" w:eastAsia="宋体" w:cs="宋体"/>
                <w:highlight w:val="none"/>
                <w:lang w:val="en-US" w:eastAsia="zh-CN"/>
              </w:rPr>
            </w:pPr>
            <w:r>
              <w:rPr>
                <w:rFonts w:hint="eastAsia" w:ascii="宋体" w:hAnsi="宋体" w:cs="宋体"/>
                <w:highlight w:val="none"/>
                <w:lang w:val="en-US" w:eastAsia="zh-CN"/>
              </w:rPr>
              <w:t>质保期</w:t>
            </w:r>
          </w:p>
        </w:tc>
        <w:tc>
          <w:tcPr>
            <w:tcW w:w="7632" w:type="dxa"/>
            <w:vAlign w:val="center"/>
          </w:tcPr>
          <w:p>
            <w:pPr>
              <w:jc w:val="center"/>
              <w:rPr>
                <w:rFonts w:hint="default" w:ascii="宋体" w:hAnsi="宋体" w:eastAsia="宋体" w:cs="宋体"/>
                <w:highlight w:val="none"/>
                <w:lang w:val="en-US" w:eastAsia="zh-CN"/>
              </w:rPr>
            </w:pPr>
            <w:r>
              <w:rPr>
                <w:rFonts w:hint="eastAsia" w:ascii="宋体" w:hAnsi="宋体" w:cs="宋体"/>
                <w:highlight w:val="none"/>
                <w:u w:val="single"/>
                <w:lang w:val="en-US" w:eastAsia="zh-CN"/>
              </w:rPr>
              <w:t xml:space="preserve">       </w:t>
            </w:r>
            <w:r>
              <w:rPr>
                <w:rFonts w:hint="eastAsia" w:ascii="宋体" w:hAnsi="宋体" w:cs="宋体"/>
                <w:highlight w:val="none"/>
                <w:lang w:val="en-US" w:eastAsia="zh-CN"/>
              </w:rPr>
              <w:t xml:space="preserve">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1728" w:type="dxa"/>
            <w:vAlign w:val="center"/>
          </w:tcPr>
          <w:p>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质保期外维保服务报价（年）</w:t>
            </w:r>
          </w:p>
        </w:tc>
        <w:tc>
          <w:tcPr>
            <w:tcW w:w="7632" w:type="dxa"/>
            <w:vAlign w:val="center"/>
          </w:tcPr>
          <w:p>
            <w:pPr>
              <w:jc w:val="cente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9360" w:type="dxa"/>
            <w:gridSpan w:val="2"/>
            <w:vAlign w:val="center"/>
          </w:tcPr>
          <w:p>
            <w:pPr>
              <w:jc w:val="center"/>
              <w:rPr>
                <w:rFonts w:hint="eastAsia" w:ascii="宋体" w:hAnsi="宋体" w:eastAsia="宋体" w:cs="宋体"/>
                <w:highlight w:val="none"/>
              </w:rPr>
            </w:pPr>
            <w:r>
              <w:rPr>
                <w:rFonts w:hint="eastAsia" w:ascii="宋体" w:hAnsi="宋体" w:eastAsia="宋体" w:cs="宋体"/>
                <w:highlight w:val="none"/>
              </w:rPr>
              <w:t>备注：详细内容见《报价明细报价表》。</w:t>
            </w:r>
          </w:p>
        </w:tc>
      </w:tr>
    </w:tbl>
    <w:p>
      <w:pPr>
        <w:rPr>
          <w:rFonts w:hint="eastAsia" w:ascii="宋体" w:hAnsi="宋体" w:eastAsia="宋体" w:cs="宋体"/>
          <w:b/>
          <w:bCs/>
          <w:highlight w:val="none"/>
        </w:rPr>
      </w:pPr>
      <w:r>
        <w:rPr>
          <w:rFonts w:hint="eastAsia" w:ascii="宋体" w:hAnsi="宋体" w:eastAsia="宋体" w:cs="宋体"/>
          <w:b/>
          <w:bCs/>
          <w:highlight w:val="none"/>
        </w:rPr>
        <w:t>注：</w:t>
      </w:r>
    </w:p>
    <w:p>
      <w:pPr>
        <w:ind w:firstLine="480"/>
        <w:rPr>
          <w:rFonts w:hint="eastAsia" w:ascii="宋体" w:hAnsi="宋体" w:eastAsia="宋体" w:cs="宋体"/>
          <w:highlight w:val="none"/>
        </w:rPr>
      </w:pPr>
      <w:r>
        <w:rPr>
          <w:rFonts w:hint="eastAsia" w:ascii="宋体" w:hAnsi="宋体" w:eastAsia="宋体" w:cs="宋体"/>
          <w:highlight w:val="none"/>
        </w:rPr>
        <w:t>1.响应供应商须按要求填写所有信息，不得随意更改本表格式。</w:t>
      </w:r>
    </w:p>
    <w:p>
      <w:pPr>
        <w:ind w:firstLine="480"/>
        <w:rPr>
          <w:rFonts w:hint="eastAsia" w:ascii="宋体" w:hAnsi="宋体" w:eastAsia="宋体" w:cs="宋体"/>
          <w:highlight w:val="none"/>
        </w:rPr>
      </w:pPr>
      <w:r>
        <w:rPr>
          <w:rFonts w:hint="eastAsia" w:ascii="宋体" w:hAnsi="宋体" w:eastAsia="宋体" w:cs="宋体"/>
          <w:highlight w:val="none"/>
        </w:rPr>
        <w:t>2.报价中必须包含货物及零配件的购置和安装、运输保险、装卸、培训辅导、质保期售后服务、全额含税发票、雇员费用、合同实施过程中应预见和不可预见费用等。所有价格均应以人民币报价，金额单位为元。</w:t>
      </w:r>
    </w:p>
    <w:p>
      <w:pPr>
        <w:ind w:firstLine="480"/>
        <w:rPr>
          <w:rFonts w:hint="eastAsia" w:ascii="宋体" w:hAnsi="宋体" w:eastAsia="宋体" w:cs="宋体"/>
          <w:highlight w:val="none"/>
        </w:rPr>
      </w:pPr>
    </w:p>
    <w:p>
      <w:pPr>
        <w:pStyle w:val="27"/>
        <w:rPr>
          <w:rFonts w:hint="eastAsia" w:ascii="宋体" w:hAnsi="宋体" w:eastAsia="宋体" w:cs="宋体"/>
          <w:highlight w:val="none"/>
        </w:rPr>
      </w:pPr>
    </w:p>
    <w:p>
      <w:pPr>
        <w:pStyle w:val="27"/>
        <w:rPr>
          <w:rFonts w:hint="eastAsia" w:ascii="宋体" w:hAnsi="宋体" w:eastAsia="宋体" w:cs="宋体"/>
          <w:highlight w:val="none"/>
        </w:rPr>
      </w:pPr>
    </w:p>
    <w:p>
      <w:pPr>
        <w:pStyle w:val="27"/>
        <w:rPr>
          <w:rFonts w:hint="eastAsia" w:ascii="宋体" w:hAnsi="宋体" w:eastAsia="宋体" w:cs="宋体"/>
          <w:highlight w:val="none"/>
        </w:rPr>
      </w:pPr>
    </w:p>
    <w:p>
      <w:pPr>
        <w:ind w:firstLine="480"/>
        <w:rPr>
          <w:rFonts w:hint="eastAsia" w:ascii="宋体" w:hAnsi="宋体" w:eastAsia="宋体" w:cs="宋体"/>
          <w:highlight w:val="none"/>
        </w:rPr>
      </w:pPr>
    </w:p>
    <w:p>
      <w:pPr>
        <w:ind w:firstLine="480"/>
        <w:rPr>
          <w:rFonts w:hint="eastAsia" w:ascii="宋体" w:hAnsi="宋体" w:eastAsia="宋体" w:cs="宋体"/>
          <w:highlight w:val="none"/>
        </w:rPr>
      </w:pPr>
    </w:p>
    <w:p>
      <w:pPr>
        <w:ind w:firstLine="480"/>
        <w:rPr>
          <w:rFonts w:hint="eastAsia" w:ascii="宋体" w:hAnsi="宋体" w:eastAsia="宋体" w:cs="宋体"/>
          <w:highlight w:val="none"/>
        </w:rPr>
      </w:pPr>
    </w:p>
    <w:p>
      <w:pPr>
        <w:ind w:firstLine="480"/>
        <w:rPr>
          <w:rFonts w:hint="eastAsia" w:ascii="宋体" w:hAnsi="宋体" w:eastAsia="宋体" w:cs="宋体"/>
          <w:highlight w:val="none"/>
        </w:rPr>
      </w:pPr>
    </w:p>
    <w:p>
      <w:pPr>
        <w:ind w:firstLine="480"/>
        <w:rPr>
          <w:rFonts w:hint="eastAsia" w:ascii="宋体" w:hAnsi="宋体" w:eastAsia="宋体" w:cs="宋体"/>
          <w:highlight w:val="none"/>
        </w:rPr>
      </w:pPr>
      <w:r>
        <w:rPr>
          <w:rFonts w:hint="eastAsia" w:ascii="宋体" w:hAnsi="宋体" w:eastAsia="宋体" w:cs="宋体"/>
          <w:highlight w:val="none"/>
        </w:rPr>
        <w:t>响应供应商法定代表人（或法定代表人授权代表）签字：</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pPr>
        <w:ind w:firstLine="480"/>
        <w:rPr>
          <w:rFonts w:hint="eastAsia" w:ascii="宋体" w:hAnsi="宋体" w:eastAsia="宋体" w:cs="宋体"/>
          <w:highlight w:val="none"/>
          <w:u w:val="single"/>
        </w:rPr>
      </w:pPr>
      <w:r>
        <w:rPr>
          <w:rFonts w:hint="eastAsia" w:ascii="宋体" w:hAnsi="宋体" w:eastAsia="宋体" w:cs="宋体"/>
          <w:highlight w:val="none"/>
        </w:rPr>
        <w:t>响应供应商名称（签章）：</w:t>
      </w:r>
      <w:r>
        <w:rPr>
          <w:rFonts w:hint="eastAsia" w:ascii="宋体" w:hAnsi="宋体" w:eastAsia="宋体" w:cs="宋体"/>
          <w:highlight w:val="none"/>
          <w:u w:val="single"/>
        </w:rPr>
        <w:t xml:space="preserve">                        </w:t>
      </w:r>
    </w:p>
    <w:p>
      <w:pPr>
        <w:ind w:firstLine="480"/>
        <w:rPr>
          <w:rFonts w:hint="eastAsia" w:ascii="宋体" w:hAnsi="宋体" w:eastAsia="宋体" w:cs="宋体"/>
          <w:highlight w:val="none"/>
        </w:rPr>
      </w:pPr>
      <w:r>
        <w:rPr>
          <w:rFonts w:hint="eastAsia" w:ascii="宋体" w:hAnsi="宋体" w:eastAsia="宋体" w:cs="宋体"/>
          <w:highlight w:val="none"/>
        </w:rPr>
        <w:t>日期：   年   月   日</w:t>
      </w:r>
    </w:p>
    <w:p>
      <w:pPr>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center"/>
        <w:rPr>
          <w:rFonts w:hint="eastAsia" w:ascii="宋体" w:hAnsi="宋体" w:eastAsia="宋体" w:cs="宋体"/>
          <w:b/>
          <w:sz w:val="28"/>
          <w:szCs w:val="28"/>
          <w:highlight w:val="none"/>
        </w:rPr>
      </w:pPr>
      <w:r>
        <w:rPr>
          <w:rFonts w:hint="eastAsia" w:ascii="宋体" w:hAnsi="宋体" w:eastAsia="宋体" w:cs="宋体"/>
          <w:highlight w:val="none"/>
        </w:rPr>
        <w:br w:type="page"/>
      </w:r>
      <w:r>
        <w:rPr>
          <w:rFonts w:hint="eastAsia" w:ascii="宋体" w:hAnsi="宋体" w:eastAsia="宋体" w:cs="宋体"/>
          <w:b/>
          <w:sz w:val="28"/>
          <w:szCs w:val="28"/>
          <w:highlight w:val="none"/>
        </w:rPr>
        <w:t>报价明细报价表</w:t>
      </w:r>
    </w:p>
    <w:tbl>
      <w:tblPr>
        <w:tblStyle w:val="21"/>
        <w:tblW w:w="8820" w:type="dxa"/>
        <w:jc w:val="center"/>
        <w:tblLayout w:type="fixed"/>
        <w:tblCellMar>
          <w:top w:w="0" w:type="dxa"/>
          <w:left w:w="108" w:type="dxa"/>
          <w:bottom w:w="0" w:type="dxa"/>
          <w:right w:w="108" w:type="dxa"/>
        </w:tblCellMar>
      </w:tblPr>
      <w:tblGrid>
        <w:gridCol w:w="1242"/>
        <w:gridCol w:w="2674"/>
        <w:gridCol w:w="946"/>
        <w:gridCol w:w="945"/>
        <w:gridCol w:w="1313"/>
        <w:gridCol w:w="1700"/>
      </w:tblGrid>
      <w:tr>
        <w:trPr>
          <w:trHeight w:val="898" w:hRule="atLeast"/>
          <w:jc w:val="center"/>
        </w:trPr>
        <w:tc>
          <w:tcPr>
            <w:tcW w:w="1242"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序号</w:t>
            </w:r>
          </w:p>
        </w:tc>
        <w:tc>
          <w:tcPr>
            <w:tcW w:w="2674"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项目名称</w:t>
            </w:r>
          </w:p>
        </w:tc>
        <w:tc>
          <w:tcPr>
            <w:tcW w:w="94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单位</w:t>
            </w:r>
          </w:p>
        </w:tc>
        <w:tc>
          <w:tcPr>
            <w:tcW w:w="94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数量</w:t>
            </w:r>
          </w:p>
        </w:tc>
        <w:tc>
          <w:tcPr>
            <w:tcW w:w="131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单价</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总价</w:t>
            </w:r>
          </w:p>
        </w:tc>
      </w:tr>
      <w:tr>
        <w:tblPrEx>
          <w:tblCellMar>
            <w:top w:w="0" w:type="dxa"/>
            <w:left w:w="108" w:type="dxa"/>
            <w:bottom w:w="0" w:type="dxa"/>
            <w:right w:w="108" w:type="dxa"/>
          </w:tblCellMar>
        </w:tblPrEx>
        <w:trPr>
          <w:trHeight w:val="572" w:hRule="atLeast"/>
          <w:jc w:val="center"/>
        </w:trPr>
        <w:tc>
          <w:tcPr>
            <w:tcW w:w="1242" w:type="dxa"/>
            <w:tcBorders>
              <w:top w:val="single" w:color="auto" w:sz="6" w:space="0"/>
              <w:left w:val="single" w:color="auto" w:sz="6" w:space="0"/>
              <w:bottom w:val="single" w:color="auto" w:sz="6" w:space="0"/>
              <w:right w:val="single" w:color="auto" w:sz="6" w:space="0"/>
            </w:tcBorders>
            <w:vAlign w:val="center"/>
          </w:tcPr>
          <w:p>
            <w:pPr>
              <w:spacing w:before="156" w:beforeLines="50" w:after="156" w:afterLines="50" w:line="360" w:lineRule="exact"/>
              <w:ind w:firstLine="420"/>
              <w:jc w:val="center"/>
              <w:rPr>
                <w:rFonts w:hint="eastAsia" w:ascii="宋体" w:hAnsi="宋体" w:eastAsia="宋体" w:cs="宋体"/>
                <w:szCs w:val="21"/>
                <w:highlight w:val="none"/>
              </w:rPr>
            </w:pPr>
          </w:p>
        </w:tc>
        <w:tc>
          <w:tcPr>
            <w:tcW w:w="2674" w:type="dxa"/>
            <w:tcBorders>
              <w:top w:val="single" w:color="auto" w:sz="6" w:space="0"/>
              <w:left w:val="single" w:color="auto" w:sz="4" w:space="0"/>
              <w:bottom w:val="single" w:color="auto" w:sz="6" w:space="0"/>
              <w:right w:val="single" w:color="auto" w:sz="4" w:space="0"/>
            </w:tcBorders>
            <w:vAlign w:val="center"/>
          </w:tcPr>
          <w:p>
            <w:pPr>
              <w:spacing w:before="156" w:beforeLines="50" w:after="156" w:afterLines="50" w:line="360" w:lineRule="exact"/>
              <w:ind w:firstLine="420"/>
              <w:jc w:val="center"/>
              <w:rPr>
                <w:rFonts w:hint="eastAsia" w:ascii="宋体" w:hAnsi="宋体" w:eastAsia="宋体" w:cs="宋体"/>
                <w:szCs w:val="21"/>
                <w:highlight w:val="none"/>
              </w:rPr>
            </w:pPr>
          </w:p>
        </w:tc>
        <w:tc>
          <w:tcPr>
            <w:tcW w:w="946" w:type="dxa"/>
            <w:tcBorders>
              <w:top w:val="single" w:color="auto" w:sz="6" w:space="0"/>
              <w:left w:val="single" w:color="auto" w:sz="6" w:space="0"/>
              <w:bottom w:val="single" w:color="auto" w:sz="6" w:space="0"/>
              <w:right w:val="single" w:color="auto" w:sz="6" w:space="0"/>
            </w:tcBorders>
            <w:vAlign w:val="center"/>
          </w:tcPr>
          <w:p>
            <w:pPr>
              <w:spacing w:before="156" w:beforeLines="50" w:after="156" w:afterLines="50" w:line="360" w:lineRule="exact"/>
              <w:ind w:firstLine="420"/>
              <w:jc w:val="center"/>
              <w:rPr>
                <w:rFonts w:hint="eastAsia" w:ascii="宋体" w:hAnsi="宋体" w:eastAsia="宋体" w:cs="宋体"/>
                <w:szCs w:val="21"/>
                <w:highlight w:val="none"/>
              </w:rPr>
            </w:pPr>
          </w:p>
        </w:tc>
        <w:tc>
          <w:tcPr>
            <w:tcW w:w="945" w:type="dxa"/>
            <w:tcBorders>
              <w:top w:val="single" w:color="auto" w:sz="6" w:space="0"/>
              <w:left w:val="single" w:color="auto" w:sz="6" w:space="0"/>
              <w:bottom w:val="single" w:color="auto" w:sz="6" w:space="0"/>
              <w:right w:val="single" w:color="auto" w:sz="6" w:space="0"/>
            </w:tcBorders>
            <w:vAlign w:val="center"/>
          </w:tcPr>
          <w:p>
            <w:pPr>
              <w:spacing w:before="156" w:beforeLines="50" w:after="156" w:afterLines="50" w:line="360" w:lineRule="exact"/>
              <w:ind w:firstLine="420"/>
              <w:jc w:val="center"/>
              <w:rPr>
                <w:rFonts w:hint="eastAsia" w:ascii="宋体" w:hAnsi="宋体" w:eastAsia="宋体" w:cs="宋体"/>
                <w:szCs w:val="21"/>
                <w:highlight w:val="none"/>
              </w:rPr>
            </w:pPr>
          </w:p>
        </w:tc>
        <w:tc>
          <w:tcPr>
            <w:tcW w:w="1313" w:type="dxa"/>
            <w:tcBorders>
              <w:top w:val="single" w:color="auto" w:sz="6" w:space="0"/>
              <w:left w:val="single" w:color="auto" w:sz="6" w:space="0"/>
              <w:bottom w:val="single" w:color="auto" w:sz="6" w:space="0"/>
              <w:right w:val="single" w:color="auto" w:sz="6" w:space="0"/>
            </w:tcBorders>
            <w:vAlign w:val="center"/>
          </w:tcPr>
          <w:p>
            <w:pPr>
              <w:spacing w:before="156" w:beforeLines="50" w:after="156" w:afterLines="50" w:line="360" w:lineRule="exact"/>
              <w:ind w:firstLine="420"/>
              <w:jc w:val="center"/>
              <w:rPr>
                <w:rFonts w:hint="eastAsia" w:ascii="宋体" w:hAnsi="宋体" w:eastAsia="宋体" w:cs="宋体"/>
                <w:szCs w:val="21"/>
                <w:highlight w:val="none"/>
              </w:rPr>
            </w:pPr>
          </w:p>
        </w:tc>
        <w:tc>
          <w:tcPr>
            <w:tcW w:w="1700" w:type="dxa"/>
            <w:tcBorders>
              <w:top w:val="single" w:color="auto" w:sz="6" w:space="0"/>
              <w:left w:val="single" w:color="auto" w:sz="6" w:space="0"/>
              <w:bottom w:val="single" w:color="auto" w:sz="6" w:space="0"/>
              <w:right w:val="single" w:color="auto" w:sz="6" w:space="0"/>
            </w:tcBorders>
            <w:vAlign w:val="center"/>
          </w:tcPr>
          <w:p>
            <w:pPr>
              <w:spacing w:before="156" w:beforeLines="50" w:after="156" w:afterLines="50" w:line="360" w:lineRule="exact"/>
              <w:ind w:firstLine="420"/>
              <w:jc w:val="center"/>
              <w:rPr>
                <w:rFonts w:hint="eastAsia" w:ascii="宋体" w:hAnsi="宋体" w:eastAsia="宋体" w:cs="宋体"/>
                <w:szCs w:val="21"/>
                <w:highlight w:val="none"/>
              </w:rPr>
            </w:pPr>
          </w:p>
        </w:tc>
      </w:tr>
      <w:tr>
        <w:tblPrEx>
          <w:tblCellMar>
            <w:top w:w="0" w:type="dxa"/>
            <w:left w:w="108" w:type="dxa"/>
            <w:bottom w:w="0" w:type="dxa"/>
            <w:right w:w="108" w:type="dxa"/>
          </w:tblCellMar>
        </w:tblPrEx>
        <w:trPr>
          <w:trHeight w:val="572" w:hRule="atLeast"/>
          <w:jc w:val="center"/>
        </w:trPr>
        <w:tc>
          <w:tcPr>
            <w:tcW w:w="1242" w:type="dxa"/>
            <w:tcBorders>
              <w:top w:val="single" w:color="auto" w:sz="6" w:space="0"/>
              <w:left w:val="single" w:color="auto" w:sz="6" w:space="0"/>
              <w:bottom w:val="single" w:color="auto" w:sz="6" w:space="0"/>
              <w:right w:val="single" w:color="auto" w:sz="6" w:space="0"/>
            </w:tcBorders>
            <w:vAlign w:val="center"/>
          </w:tcPr>
          <w:p>
            <w:pPr>
              <w:spacing w:before="156" w:beforeLines="50" w:after="156" w:afterLines="50" w:line="360" w:lineRule="exact"/>
              <w:ind w:firstLine="420"/>
              <w:jc w:val="center"/>
              <w:rPr>
                <w:rFonts w:hint="eastAsia" w:ascii="宋体" w:hAnsi="宋体" w:eastAsia="宋体" w:cs="宋体"/>
                <w:szCs w:val="21"/>
                <w:highlight w:val="none"/>
              </w:rPr>
            </w:pPr>
          </w:p>
        </w:tc>
        <w:tc>
          <w:tcPr>
            <w:tcW w:w="2674" w:type="dxa"/>
            <w:tcBorders>
              <w:top w:val="single" w:color="auto" w:sz="6" w:space="0"/>
              <w:left w:val="single" w:color="auto" w:sz="4" w:space="0"/>
              <w:bottom w:val="single" w:color="auto" w:sz="6" w:space="0"/>
              <w:right w:val="single" w:color="auto" w:sz="4" w:space="0"/>
            </w:tcBorders>
            <w:vAlign w:val="center"/>
          </w:tcPr>
          <w:p>
            <w:pPr>
              <w:spacing w:before="156" w:beforeLines="50" w:after="156" w:afterLines="50" w:line="360" w:lineRule="exact"/>
              <w:jc w:val="center"/>
              <w:rPr>
                <w:rFonts w:hint="eastAsia" w:ascii="宋体" w:hAnsi="宋体" w:eastAsia="宋体" w:cs="宋体"/>
                <w:szCs w:val="21"/>
                <w:highlight w:val="none"/>
              </w:rPr>
            </w:pPr>
            <w:r>
              <w:rPr>
                <w:rFonts w:hint="eastAsia" w:ascii="宋体" w:hAnsi="宋体" w:eastAsia="宋体" w:cs="宋体"/>
                <w:szCs w:val="21"/>
                <w:highlight w:val="none"/>
              </w:rPr>
              <w:t>合计</w:t>
            </w:r>
          </w:p>
        </w:tc>
        <w:tc>
          <w:tcPr>
            <w:tcW w:w="946" w:type="dxa"/>
            <w:tcBorders>
              <w:top w:val="single" w:color="auto" w:sz="6" w:space="0"/>
              <w:left w:val="single" w:color="auto" w:sz="6" w:space="0"/>
              <w:bottom w:val="single" w:color="auto" w:sz="6" w:space="0"/>
              <w:right w:val="single" w:color="auto" w:sz="6" w:space="0"/>
            </w:tcBorders>
            <w:vAlign w:val="center"/>
          </w:tcPr>
          <w:p>
            <w:pPr>
              <w:spacing w:before="156" w:beforeLines="50" w:after="156" w:afterLines="50" w:line="360" w:lineRule="exact"/>
              <w:ind w:firstLine="420"/>
              <w:jc w:val="center"/>
              <w:rPr>
                <w:rFonts w:hint="eastAsia" w:ascii="宋体" w:hAnsi="宋体" w:eastAsia="宋体" w:cs="宋体"/>
                <w:szCs w:val="21"/>
                <w:highlight w:val="none"/>
              </w:rPr>
            </w:pPr>
          </w:p>
        </w:tc>
        <w:tc>
          <w:tcPr>
            <w:tcW w:w="945" w:type="dxa"/>
            <w:tcBorders>
              <w:top w:val="single" w:color="auto" w:sz="6" w:space="0"/>
              <w:left w:val="single" w:color="auto" w:sz="6" w:space="0"/>
              <w:bottom w:val="single" w:color="auto" w:sz="6" w:space="0"/>
              <w:right w:val="single" w:color="auto" w:sz="6" w:space="0"/>
            </w:tcBorders>
            <w:vAlign w:val="center"/>
          </w:tcPr>
          <w:p>
            <w:pPr>
              <w:spacing w:before="156" w:beforeLines="50" w:after="156" w:afterLines="50" w:line="360" w:lineRule="exact"/>
              <w:ind w:firstLine="420"/>
              <w:jc w:val="center"/>
              <w:rPr>
                <w:rFonts w:hint="eastAsia" w:ascii="宋体" w:hAnsi="宋体" w:eastAsia="宋体" w:cs="宋体"/>
                <w:szCs w:val="21"/>
                <w:highlight w:val="none"/>
              </w:rPr>
            </w:pPr>
          </w:p>
        </w:tc>
        <w:tc>
          <w:tcPr>
            <w:tcW w:w="1313" w:type="dxa"/>
            <w:tcBorders>
              <w:top w:val="single" w:color="auto" w:sz="6" w:space="0"/>
              <w:left w:val="single" w:color="auto" w:sz="6" w:space="0"/>
              <w:bottom w:val="single" w:color="auto" w:sz="6" w:space="0"/>
              <w:right w:val="single" w:color="auto" w:sz="6" w:space="0"/>
            </w:tcBorders>
            <w:vAlign w:val="center"/>
          </w:tcPr>
          <w:p>
            <w:pPr>
              <w:spacing w:before="156" w:beforeLines="50" w:after="156" w:afterLines="50" w:line="360" w:lineRule="exact"/>
              <w:ind w:firstLine="420"/>
              <w:jc w:val="center"/>
              <w:rPr>
                <w:rFonts w:hint="eastAsia" w:ascii="宋体" w:hAnsi="宋体" w:eastAsia="宋体" w:cs="宋体"/>
                <w:szCs w:val="21"/>
                <w:highlight w:val="none"/>
              </w:rPr>
            </w:pPr>
          </w:p>
        </w:tc>
        <w:tc>
          <w:tcPr>
            <w:tcW w:w="1700" w:type="dxa"/>
            <w:tcBorders>
              <w:top w:val="single" w:color="auto" w:sz="6" w:space="0"/>
              <w:left w:val="single" w:color="auto" w:sz="6" w:space="0"/>
              <w:bottom w:val="single" w:color="auto" w:sz="6" w:space="0"/>
              <w:right w:val="single" w:color="auto" w:sz="6" w:space="0"/>
            </w:tcBorders>
            <w:vAlign w:val="center"/>
          </w:tcPr>
          <w:p>
            <w:pPr>
              <w:spacing w:before="156" w:beforeLines="50" w:after="156" w:afterLines="50" w:line="360" w:lineRule="exact"/>
              <w:ind w:firstLine="420"/>
              <w:jc w:val="center"/>
              <w:rPr>
                <w:rFonts w:hint="eastAsia" w:ascii="宋体" w:hAnsi="宋体" w:eastAsia="宋体" w:cs="宋体"/>
                <w:szCs w:val="21"/>
                <w:highlight w:val="none"/>
              </w:rPr>
            </w:pPr>
          </w:p>
        </w:tc>
      </w:tr>
    </w:tbl>
    <w:p>
      <w:pPr>
        <w:widowControl/>
        <w:jc w:val="center"/>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widowControl/>
        <w:jc w:val="left"/>
        <w:rPr>
          <w:rFonts w:hint="eastAsia" w:ascii="宋体" w:hAnsi="宋体" w:eastAsia="宋体" w:cs="宋体"/>
          <w:highlight w:val="none"/>
        </w:rPr>
      </w:pPr>
    </w:p>
    <w:p>
      <w:pPr>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七、</w:t>
      </w:r>
      <w:r>
        <w:rPr>
          <w:rFonts w:hint="eastAsia" w:ascii="宋体" w:hAnsi="宋体" w:eastAsia="宋体" w:cs="宋体"/>
          <w:b/>
          <w:sz w:val="21"/>
          <w:szCs w:val="21"/>
          <w:highlight w:val="none"/>
        </w:rPr>
        <w:t>采购需求的“负面清单”</w:t>
      </w:r>
    </w:p>
    <w:p>
      <w:pPr>
        <w:spacing w:line="24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为有利于后期项目的合理竞争，请供应商提供如下“负面清单”，并注意以下事项：</w:t>
      </w:r>
    </w:p>
    <w:p>
      <w:pPr>
        <w:spacing w:line="24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1.供应商完成该项目不需要额外具备的供应商资格条件。</w:t>
      </w:r>
    </w:p>
    <w:p>
      <w:pPr>
        <w:spacing w:line="24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2.供应商认为《</w:t>
      </w:r>
      <w:r>
        <w:rPr>
          <w:rFonts w:hint="eastAsia" w:ascii="宋体" w:hAnsi="宋体" w:eastAsia="宋体" w:cs="宋体"/>
          <w:sz w:val="21"/>
          <w:szCs w:val="21"/>
          <w:highlight w:val="none"/>
          <w:lang w:val="en-US" w:eastAsia="zh-CN"/>
        </w:rPr>
        <w:t>用户需求书</w:t>
      </w:r>
      <w:r>
        <w:rPr>
          <w:rFonts w:hint="eastAsia" w:ascii="宋体" w:hAnsi="宋体" w:eastAsia="宋体" w:cs="宋体"/>
          <w:sz w:val="21"/>
          <w:szCs w:val="21"/>
          <w:highlight w:val="none"/>
        </w:rPr>
        <w:t>》信息中的内容，哪些可能会对采购项目的采购预算或者最高限价的合理设定，带来不利影响的内容。</w:t>
      </w:r>
    </w:p>
    <w:p>
      <w:pPr>
        <w:spacing w:line="24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3.后期采购项目的评审规则制定过程中，供应商认为可能涉及作为评审因素的技术或商务评审中，哪些指标的不合理设置，容易造成以不合理的条件对供应商实行差别待遇或者歧视待遇情形的。</w:t>
      </w:r>
    </w:p>
    <w:p>
      <w:pPr>
        <w:spacing w:line="24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4.合同后期履行过程中，可能不利于采购人的情形（包括供货期、质保要求等等，主要是避免个别供应商协助采购人制定的采购方案中存在不利于采购人，而采购人却未能发现的）。</w:t>
      </w:r>
    </w:p>
    <w:p>
      <w:pPr>
        <w:spacing w:line="24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5.具体参考的标准</w:t>
      </w:r>
    </w:p>
    <w:tbl>
      <w:tblPr>
        <w:tblStyle w:val="22"/>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43"/>
        <w:gridCol w:w="2401"/>
        <w:gridCol w:w="3402"/>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1143" w:type="dxa"/>
          </w:tcPr>
          <w:p>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内容</w:t>
            </w:r>
          </w:p>
        </w:tc>
        <w:tc>
          <w:tcPr>
            <w:tcW w:w="2401" w:type="dxa"/>
          </w:tcPr>
          <w:p>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具体事项</w:t>
            </w:r>
          </w:p>
        </w:tc>
        <w:tc>
          <w:tcPr>
            <w:tcW w:w="3402" w:type="dxa"/>
          </w:tcPr>
          <w:p>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具体填写说明</w:t>
            </w:r>
          </w:p>
        </w:tc>
        <w:tc>
          <w:tcPr>
            <w:tcW w:w="2101" w:type="dxa"/>
          </w:tcPr>
          <w:p>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143" w:type="dxa"/>
            <w:vMerge w:val="restart"/>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资格条件</w:t>
            </w:r>
          </w:p>
        </w:tc>
        <w:tc>
          <w:tcPr>
            <w:tcW w:w="240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本项目应当具备的供应商资格条件</w:t>
            </w:r>
          </w:p>
        </w:tc>
        <w:tc>
          <w:tcPr>
            <w:tcW w:w="3402" w:type="dxa"/>
          </w:tcPr>
          <w:p>
            <w:pPr>
              <w:pStyle w:val="32"/>
              <w:numPr>
                <w:ilvl w:val="0"/>
                <w:numId w:val="43"/>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政府采购法第22条；</w:t>
            </w:r>
          </w:p>
          <w:p>
            <w:pPr>
              <w:pStyle w:val="32"/>
              <w:numPr>
                <w:ilvl w:val="0"/>
                <w:numId w:val="43"/>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采购项目对供应商的特定要求。</w:t>
            </w:r>
          </w:p>
        </w:tc>
        <w:tc>
          <w:tcPr>
            <w:tcW w:w="2101"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tcPr>
          <w:p>
            <w:pPr>
              <w:rPr>
                <w:rFonts w:hint="eastAsia" w:ascii="宋体" w:hAnsi="宋体" w:eastAsia="宋体" w:cs="宋体"/>
                <w:sz w:val="21"/>
                <w:szCs w:val="21"/>
                <w:highlight w:val="none"/>
              </w:rPr>
            </w:pPr>
          </w:p>
        </w:tc>
        <w:tc>
          <w:tcPr>
            <w:tcW w:w="1143" w:type="dxa"/>
            <w:vMerge w:val="continue"/>
          </w:tcPr>
          <w:p>
            <w:pPr>
              <w:rPr>
                <w:rFonts w:hint="eastAsia" w:ascii="宋体" w:hAnsi="宋体" w:eastAsia="宋体" w:cs="宋体"/>
                <w:sz w:val="21"/>
                <w:szCs w:val="21"/>
                <w:highlight w:val="none"/>
              </w:rPr>
            </w:pPr>
          </w:p>
        </w:tc>
        <w:tc>
          <w:tcPr>
            <w:tcW w:w="240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本项目不应当包含在内的供应商资格条件</w:t>
            </w:r>
          </w:p>
        </w:tc>
        <w:tc>
          <w:tcPr>
            <w:tcW w:w="3402" w:type="dxa"/>
          </w:tcPr>
          <w:p>
            <w:pPr>
              <w:pStyle w:val="32"/>
              <w:numPr>
                <w:ilvl w:val="0"/>
                <w:numId w:val="44"/>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供应商后期履行本项目不需要包含的资格条件。</w:t>
            </w:r>
          </w:p>
        </w:tc>
        <w:tc>
          <w:tcPr>
            <w:tcW w:w="2101"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143" w:type="dxa"/>
            <w:vMerge w:val="restart"/>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技术需求</w:t>
            </w:r>
          </w:p>
        </w:tc>
        <w:tc>
          <w:tcPr>
            <w:tcW w:w="2401" w:type="dxa"/>
            <w:vMerge w:val="restart"/>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根据本项目需要达到的绩效，后期采购时包含的技术需求</w:t>
            </w:r>
          </w:p>
        </w:tc>
        <w:tc>
          <w:tcPr>
            <w:tcW w:w="3402" w:type="dxa"/>
          </w:tcPr>
          <w:p>
            <w:pPr>
              <w:pStyle w:val="32"/>
              <w:numPr>
                <w:ilvl w:val="0"/>
                <w:numId w:val="45"/>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从有利于采购人角度出发，供应商认为本次采购项目应当包含的基本技术参数。</w:t>
            </w:r>
          </w:p>
        </w:tc>
        <w:tc>
          <w:tcPr>
            <w:tcW w:w="210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不应将自身具有核心竞争力的技术参数填入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rPr>
                <w:rFonts w:hint="eastAsia" w:ascii="宋体" w:hAnsi="宋体" w:eastAsia="宋体" w:cs="宋体"/>
                <w:sz w:val="21"/>
                <w:szCs w:val="21"/>
                <w:highlight w:val="none"/>
              </w:rPr>
            </w:pPr>
          </w:p>
        </w:tc>
        <w:tc>
          <w:tcPr>
            <w:tcW w:w="1143" w:type="dxa"/>
            <w:vMerge w:val="continue"/>
            <w:vAlign w:val="center"/>
          </w:tcPr>
          <w:p>
            <w:pPr>
              <w:rPr>
                <w:rFonts w:hint="eastAsia" w:ascii="宋体" w:hAnsi="宋体" w:eastAsia="宋体" w:cs="宋体"/>
                <w:sz w:val="21"/>
                <w:szCs w:val="21"/>
                <w:highlight w:val="none"/>
              </w:rPr>
            </w:pPr>
          </w:p>
        </w:tc>
        <w:tc>
          <w:tcPr>
            <w:tcW w:w="2401" w:type="dxa"/>
            <w:vMerge w:val="continue"/>
            <w:vAlign w:val="center"/>
          </w:tcPr>
          <w:p>
            <w:pPr>
              <w:rPr>
                <w:rFonts w:hint="eastAsia" w:ascii="宋体" w:hAnsi="宋体" w:eastAsia="宋体" w:cs="宋体"/>
                <w:sz w:val="21"/>
                <w:szCs w:val="21"/>
                <w:highlight w:val="none"/>
              </w:rPr>
            </w:pPr>
          </w:p>
        </w:tc>
        <w:tc>
          <w:tcPr>
            <w:tcW w:w="3402" w:type="dxa"/>
          </w:tcPr>
          <w:p>
            <w:pPr>
              <w:pStyle w:val="32"/>
              <w:numPr>
                <w:ilvl w:val="0"/>
                <w:numId w:val="46"/>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拟参与后期竞争时，供应商认为其提供的货物（服务）具备核心竞争力的技术参数；</w:t>
            </w:r>
          </w:p>
        </w:tc>
        <w:tc>
          <w:tcPr>
            <w:tcW w:w="210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即后期认为应当作为实质性要求的技术参数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rPr>
                <w:rFonts w:hint="eastAsia" w:ascii="宋体" w:hAnsi="宋体" w:eastAsia="宋体" w:cs="宋体"/>
                <w:sz w:val="21"/>
                <w:szCs w:val="21"/>
                <w:highlight w:val="none"/>
              </w:rPr>
            </w:pPr>
          </w:p>
        </w:tc>
        <w:tc>
          <w:tcPr>
            <w:tcW w:w="1143" w:type="dxa"/>
            <w:vMerge w:val="continue"/>
            <w:vAlign w:val="center"/>
          </w:tcPr>
          <w:p>
            <w:pPr>
              <w:rPr>
                <w:rFonts w:hint="eastAsia" w:ascii="宋体" w:hAnsi="宋体" w:eastAsia="宋体" w:cs="宋体"/>
                <w:sz w:val="21"/>
                <w:szCs w:val="21"/>
                <w:highlight w:val="none"/>
              </w:rPr>
            </w:pPr>
          </w:p>
        </w:tc>
        <w:tc>
          <w:tcPr>
            <w:tcW w:w="2401" w:type="dxa"/>
            <w:vMerge w:val="restart"/>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根据本项目需要达到的绩效，后期采购时可以不需要包含的技术需求</w:t>
            </w:r>
          </w:p>
        </w:tc>
        <w:tc>
          <w:tcPr>
            <w:tcW w:w="3402" w:type="dxa"/>
          </w:tcPr>
          <w:p>
            <w:pPr>
              <w:pStyle w:val="32"/>
              <w:numPr>
                <w:ilvl w:val="0"/>
                <w:numId w:val="47"/>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供应商以列举的方式，认为其他供应商在技术需求制定过程中会作为实质性要求的技术参数。</w:t>
            </w:r>
          </w:p>
        </w:tc>
        <w:tc>
          <w:tcPr>
            <w:tcW w:w="210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货物项目可以按照不同的品牌，分开逐项列举，并提供相关说明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rPr>
                <w:rFonts w:hint="eastAsia" w:ascii="宋体" w:hAnsi="宋体" w:eastAsia="宋体" w:cs="宋体"/>
                <w:sz w:val="21"/>
                <w:szCs w:val="21"/>
                <w:highlight w:val="none"/>
              </w:rPr>
            </w:pPr>
          </w:p>
        </w:tc>
        <w:tc>
          <w:tcPr>
            <w:tcW w:w="1143" w:type="dxa"/>
            <w:vMerge w:val="continue"/>
            <w:vAlign w:val="center"/>
          </w:tcPr>
          <w:p>
            <w:pPr>
              <w:rPr>
                <w:rFonts w:hint="eastAsia" w:ascii="宋体" w:hAnsi="宋体" w:eastAsia="宋体" w:cs="宋体"/>
                <w:sz w:val="21"/>
                <w:szCs w:val="21"/>
                <w:highlight w:val="none"/>
              </w:rPr>
            </w:pPr>
          </w:p>
        </w:tc>
        <w:tc>
          <w:tcPr>
            <w:tcW w:w="2401" w:type="dxa"/>
            <w:vMerge w:val="continue"/>
            <w:vAlign w:val="center"/>
          </w:tcPr>
          <w:p>
            <w:pPr>
              <w:rPr>
                <w:rFonts w:hint="eastAsia" w:ascii="宋体" w:hAnsi="宋体" w:eastAsia="宋体" w:cs="宋体"/>
                <w:sz w:val="21"/>
                <w:szCs w:val="21"/>
                <w:highlight w:val="none"/>
              </w:rPr>
            </w:pPr>
          </w:p>
        </w:tc>
        <w:tc>
          <w:tcPr>
            <w:tcW w:w="3402" w:type="dxa"/>
          </w:tcPr>
          <w:p>
            <w:pPr>
              <w:pStyle w:val="32"/>
              <w:numPr>
                <w:ilvl w:val="0"/>
                <w:numId w:val="48"/>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供应商认为需要特别说明的内容</w:t>
            </w:r>
          </w:p>
        </w:tc>
        <w:tc>
          <w:tcPr>
            <w:tcW w:w="210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从有利于采购人的角度，对采购人提出的建议和意见。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rPr>
                <w:rFonts w:hint="eastAsia" w:ascii="宋体" w:hAnsi="宋体" w:eastAsia="宋体" w:cs="宋体"/>
                <w:sz w:val="21"/>
                <w:szCs w:val="21"/>
                <w:highlight w:val="none"/>
              </w:rPr>
            </w:pPr>
          </w:p>
        </w:tc>
        <w:tc>
          <w:tcPr>
            <w:tcW w:w="1143" w:type="dxa"/>
            <w:vMerge w:val="continue"/>
            <w:vAlign w:val="center"/>
          </w:tcPr>
          <w:p>
            <w:pPr>
              <w:rPr>
                <w:rFonts w:hint="eastAsia" w:ascii="宋体" w:hAnsi="宋体" w:eastAsia="宋体" w:cs="宋体"/>
                <w:sz w:val="21"/>
                <w:szCs w:val="21"/>
                <w:highlight w:val="none"/>
              </w:rPr>
            </w:pPr>
          </w:p>
        </w:tc>
        <w:tc>
          <w:tcPr>
            <w:tcW w:w="2401" w:type="dxa"/>
            <w:vMerge w:val="restart"/>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征集基本需求中的技术参数是否具有倾向性、排他性情况</w:t>
            </w:r>
          </w:p>
        </w:tc>
        <w:tc>
          <w:tcPr>
            <w:tcW w:w="3402" w:type="dxa"/>
          </w:tcPr>
          <w:p>
            <w:pPr>
              <w:pStyle w:val="32"/>
              <w:numPr>
                <w:ilvl w:val="0"/>
                <w:numId w:val="49"/>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采购人在本项目提供的征集基本需求中，是否存在倾向于某一个品牌或某一个供应商的情形？或者存在排他技术参数的情形？</w:t>
            </w:r>
          </w:p>
        </w:tc>
        <w:tc>
          <w:tcPr>
            <w:tcW w:w="210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供应商可以逐项列举，从本项目采购技术需求必要性的角度，进行说明，并提供相关证明材料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rPr>
                <w:rFonts w:hint="eastAsia" w:ascii="宋体" w:hAnsi="宋体" w:eastAsia="宋体" w:cs="宋体"/>
                <w:sz w:val="21"/>
                <w:szCs w:val="21"/>
                <w:highlight w:val="none"/>
              </w:rPr>
            </w:pPr>
          </w:p>
        </w:tc>
        <w:tc>
          <w:tcPr>
            <w:tcW w:w="1143" w:type="dxa"/>
            <w:vMerge w:val="continue"/>
            <w:vAlign w:val="center"/>
          </w:tcPr>
          <w:p>
            <w:pPr>
              <w:rPr>
                <w:rFonts w:hint="eastAsia" w:ascii="宋体" w:hAnsi="宋体" w:eastAsia="宋体" w:cs="宋体"/>
                <w:sz w:val="21"/>
                <w:szCs w:val="21"/>
                <w:highlight w:val="none"/>
              </w:rPr>
            </w:pPr>
          </w:p>
        </w:tc>
        <w:tc>
          <w:tcPr>
            <w:tcW w:w="2401" w:type="dxa"/>
            <w:vMerge w:val="continue"/>
            <w:vAlign w:val="center"/>
          </w:tcPr>
          <w:p>
            <w:pPr>
              <w:rPr>
                <w:rFonts w:hint="eastAsia" w:ascii="宋体" w:hAnsi="宋体" w:eastAsia="宋体" w:cs="宋体"/>
                <w:sz w:val="21"/>
                <w:szCs w:val="21"/>
                <w:highlight w:val="none"/>
              </w:rPr>
            </w:pPr>
          </w:p>
        </w:tc>
        <w:tc>
          <w:tcPr>
            <w:tcW w:w="3402" w:type="dxa"/>
          </w:tcPr>
          <w:p>
            <w:pPr>
              <w:pStyle w:val="32"/>
              <w:numPr>
                <w:ilvl w:val="0"/>
                <w:numId w:val="50"/>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针对征集基本需求中的技术参数，供应商建议应当如何设定较为合理。</w:t>
            </w:r>
          </w:p>
        </w:tc>
        <w:tc>
          <w:tcPr>
            <w:tcW w:w="2101"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143" w:type="dxa"/>
            <w:vMerge w:val="restart"/>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商务需求</w:t>
            </w:r>
          </w:p>
        </w:tc>
        <w:tc>
          <w:tcPr>
            <w:tcW w:w="2401" w:type="dxa"/>
            <w:vMerge w:val="restart"/>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根据本项目需要达到的绩效，后期采购时包含的商务需求</w:t>
            </w:r>
          </w:p>
        </w:tc>
        <w:tc>
          <w:tcPr>
            <w:tcW w:w="3402" w:type="dxa"/>
          </w:tcPr>
          <w:p>
            <w:pPr>
              <w:pStyle w:val="32"/>
              <w:numPr>
                <w:ilvl w:val="0"/>
                <w:numId w:val="51"/>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从有利于采购人角度出发，供应商认为本次采购项目应当包含的基本商务参数；</w:t>
            </w:r>
          </w:p>
        </w:tc>
        <w:tc>
          <w:tcPr>
            <w:tcW w:w="210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不应将自身具有核心竞争力的商务参数填入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tcPr>
          <w:p>
            <w:pPr>
              <w:rPr>
                <w:rFonts w:hint="eastAsia" w:ascii="宋体" w:hAnsi="宋体" w:eastAsia="宋体" w:cs="宋体"/>
                <w:sz w:val="21"/>
                <w:szCs w:val="21"/>
                <w:highlight w:val="none"/>
              </w:rPr>
            </w:pPr>
          </w:p>
        </w:tc>
        <w:tc>
          <w:tcPr>
            <w:tcW w:w="1143" w:type="dxa"/>
            <w:vMerge w:val="continue"/>
          </w:tcPr>
          <w:p>
            <w:pPr>
              <w:rPr>
                <w:rFonts w:hint="eastAsia" w:ascii="宋体" w:hAnsi="宋体" w:eastAsia="宋体" w:cs="宋体"/>
                <w:sz w:val="21"/>
                <w:szCs w:val="21"/>
                <w:highlight w:val="none"/>
              </w:rPr>
            </w:pPr>
          </w:p>
        </w:tc>
        <w:tc>
          <w:tcPr>
            <w:tcW w:w="2401" w:type="dxa"/>
            <w:vMerge w:val="continue"/>
          </w:tcPr>
          <w:p>
            <w:pPr>
              <w:rPr>
                <w:rFonts w:hint="eastAsia" w:ascii="宋体" w:hAnsi="宋体" w:eastAsia="宋体" w:cs="宋体"/>
                <w:sz w:val="21"/>
                <w:szCs w:val="21"/>
                <w:highlight w:val="none"/>
              </w:rPr>
            </w:pPr>
          </w:p>
        </w:tc>
        <w:tc>
          <w:tcPr>
            <w:tcW w:w="3402" w:type="dxa"/>
          </w:tcPr>
          <w:p>
            <w:pPr>
              <w:pStyle w:val="32"/>
              <w:numPr>
                <w:ilvl w:val="0"/>
                <w:numId w:val="52"/>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拟参与后期竞争时，供应商认为其提供的货物（服务）具备核心竞争力的商务参数；</w:t>
            </w:r>
          </w:p>
        </w:tc>
        <w:tc>
          <w:tcPr>
            <w:tcW w:w="210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即后期认为应当作为实质性要求的商务参数，货物项目包括保修年限、耗材提供等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tcPr>
          <w:p>
            <w:pPr>
              <w:rPr>
                <w:rFonts w:hint="eastAsia" w:ascii="宋体" w:hAnsi="宋体" w:eastAsia="宋体" w:cs="宋体"/>
                <w:sz w:val="21"/>
                <w:szCs w:val="21"/>
                <w:highlight w:val="none"/>
              </w:rPr>
            </w:pPr>
          </w:p>
        </w:tc>
        <w:tc>
          <w:tcPr>
            <w:tcW w:w="1143" w:type="dxa"/>
            <w:vMerge w:val="continue"/>
          </w:tcPr>
          <w:p>
            <w:pPr>
              <w:rPr>
                <w:rFonts w:hint="eastAsia" w:ascii="宋体" w:hAnsi="宋体" w:eastAsia="宋体" w:cs="宋体"/>
                <w:sz w:val="21"/>
                <w:szCs w:val="21"/>
                <w:highlight w:val="none"/>
              </w:rPr>
            </w:pPr>
          </w:p>
        </w:tc>
        <w:tc>
          <w:tcPr>
            <w:tcW w:w="2401" w:type="dxa"/>
            <w:vMerge w:val="restart"/>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根据本项目需要达到的绩效，后期采购时可以不需要包含的商务需求</w:t>
            </w:r>
          </w:p>
        </w:tc>
        <w:tc>
          <w:tcPr>
            <w:tcW w:w="3402" w:type="dxa"/>
          </w:tcPr>
          <w:p>
            <w:pPr>
              <w:pStyle w:val="32"/>
              <w:numPr>
                <w:ilvl w:val="0"/>
                <w:numId w:val="53"/>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供应商以列举的方式，认为其他供应商在商务需求制定过程中会作为实质性要求的商务参数。</w:t>
            </w:r>
          </w:p>
        </w:tc>
        <w:tc>
          <w:tcPr>
            <w:tcW w:w="210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货物项目可以按照不同的品牌，分开逐项列举，并提供相关说明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tcPr>
          <w:p>
            <w:pPr>
              <w:rPr>
                <w:rFonts w:hint="eastAsia" w:ascii="宋体" w:hAnsi="宋体" w:eastAsia="宋体" w:cs="宋体"/>
                <w:sz w:val="21"/>
                <w:szCs w:val="21"/>
                <w:highlight w:val="none"/>
              </w:rPr>
            </w:pPr>
          </w:p>
        </w:tc>
        <w:tc>
          <w:tcPr>
            <w:tcW w:w="1143" w:type="dxa"/>
            <w:vMerge w:val="continue"/>
          </w:tcPr>
          <w:p>
            <w:pPr>
              <w:rPr>
                <w:rFonts w:hint="eastAsia" w:ascii="宋体" w:hAnsi="宋体" w:eastAsia="宋体" w:cs="宋体"/>
                <w:sz w:val="21"/>
                <w:szCs w:val="21"/>
                <w:highlight w:val="none"/>
              </w:rPr>
            </w:pPr>
          </w:p>
        </w:tc>
        <w:tc>
          <w:tcPr>
            <w:tcW w:w="2401" w:type="dxa"/>
            <w:vMerge w:val="continue"/>
          </w:tcPr>
          <w:p>
            <w:pPr>
              <w:rPr>
                <w:rFonts w:hint="eastAsia" w:ascii="宋体" w:hAnsi="宋体" w:eastAsia="宋体" w:cs="宋体"/>
                <w:sz w:val="21"/>
                <w:szCs w:val="21"/>
                <w:highlight w:val="none"/>
              </w:rPr>
            </w:pPr>
          </w:p>
        </w:tc>
        <w:tc>
          <w:tcPr>
            <w:tcW w:w="3402" w:type="dxa"/>
          </w:tcPr>
          <w:p>
            <w:pPr>
              <w:pStyle w:val="32"/>
              <w:numPr>
                <w:ilvl w:val="0"/>
                <w:numId w:val="54"/>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供应商认为需要特别说明的内容。</w:t>
            </w:r>
          </w:p>
        </w:tc>
        <w:tc>
          <w:tcPr>
            <w:tcW w:w="210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从有利于采购人的角度，对采购项目对采购人提出的建议和意见。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143" w:type="dxa"/>
            <w:vMerge w:val="restart"/>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评审因素</w:t>
            </w:r>
          </w:p>
        </w:tc>
        <w:tc>
          <w:tcPr>
            <w:tcW w:w="2401" w:type="dxa"/>
            <w:vMerge w:val="restart"/>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供应商根据过往参与的同类采购项目，对评审因素的设定提出建议和意见</w:t>
            </w:r>
          </w:p>
        </w:tc>
        <w:tc>
          <w:tcPr>
            <w:tcW w:w="3402" w:type="dxa"/>
          </w:tcPr>
          <w:p>
            <w:pPr>
              <w:pStyle w:val="32"/>
              <w:numPr>
                <w:ilvl w:val="0"/>
                <w:numId w:val="55"/>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本项目在后期评审因素制定时，哪些因素应当重点考虑？</w:t>
            </w:r>
          </w:p>
        </w:tc>
        <w:tc>
          <w:tcPr>
            <w:tcW w:w="2101"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rPr>
                <w:rFonts w:hint="eastAsia" w:ascii="宋体" w:hAnsi="宋体" w:eastAsia="宋体" w:cs="宋体"/>
                <w:sz w:val="21"/>
                <w:szCs w:val="21"/>
                <w:highlight w:val="none"/>
              </w:rPr>
            </w:pPr>
          </w:p>
        </w:tc>
        <w:tc>
          <w:tcPr>
            <w:tcW w:w="1143" w:type="dxa"/>
            <w:vMerge w:val="continue"/>
            <w:vAlign w:val="center"/>
          </w:tcPr>
          <w:p>
            <w:pPr>
              <w:rPr>
                <w:rFonts w:hint="eastAsia" w:ascii="宋体" w:hAnsi="宋体" w:eastAsia="宋体" w:cs="宋体"/>
                <w:sz w:val="21"/>
                <w:szCs w:val="21"/>
                <w:highlight w:val="none"/>
              </w:rPr>
            </w:pPr>
          </w:p>
        </w:tc>
        <w:tc>
          <w:tcPr>
            <w:tcW w:w="2401" w:type="dxa"/>
            <w:vMerge w:val="continue"/>
            <w:vAlign w:val="center"/>
          </w:tcPr>
          <w:p>
            <w:pPr>
              <w:rPr>
                <w:rFonts w:hint="eastAsia" w:ascii="宋体" w:hAnsi="宋体" w:eastAsia="宋体" w:cs="宋体"/>
                <w:sz w:val="21"/>
                <w:szCs w:val="21"/>
                <w:highlight w:val="none"/>
              </w:rPr>
            </w:pPr>
          </w:p>
        </w:tc>
        <w:tc>
          <w:tcPr>
            <w:tcW w:w="3402" w:type="dxa"/>
          </w:tcPr>
          <w:p>
            <w:pPr>
              <w:pStyle w:val="32"/>
              <w:numPr>
                <w:ilvl w:val="0"/>
                <w:numId w:val="55"/>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本项目在后期评审因素制定时，哪些因素不应当重点考虑？</w:t>
            </w:r>
          </w:p>
        </w:tc>
        <w:tc>
          <w:tcPr>
            <w:tcW w:w="210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供应商结合过往参与的同类采购项目存在的不合理情形，列举方式逐项列举。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jc w:val="center"/>
        </w:trPr>
        <w:tc>
          <w:tcPr>
            <w:tcW w:w="675"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143"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预算与最高限价</w:t>
            </w:r>
          </w:p>
        </w:tc>
        <w:tc>
          <w:tcPr>
            <w:tcW w:w="2401"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根据本项目的预算提供相关的建议和意见</w:t>
            </w:r>
          </w:p>
        </w:tc>
        <w:tc>
          <w:tcPr>
            <w:tcW w:w="3402" w:type="dxa"/>
          </w:tcPr>
          <w:p>
            <w:pPr>
              <w:pStyle w:val="32"/>
              <w:numPr>
                <w:ilvl w:val="0"/>
                <w:numId w:val="56"/>
              </w:numPr>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本项目提供的征集需求中，技术参数、商务参数对应的最高限价应当设定为多少较为合理？</w:t>
            </w:r>
          </w:p>
        </w:tc>
        <w:tc>
          <w:tcPr>
            <w:tcW w:w="210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供应商在说明的同时，最好提供相关依据，包括过往合同、各地的政府采购网上的中标（成交）结果公告链接，或者合同。</w:t>
            </w:r>
          </w:p>
        </w:tc>
      </w:tr>
    </w:tbl>
    <w:p>
      <w:pPr>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rPr>
          <w:rFonts w:hint="eastAsia" w:ascii="宋体" w:hAnsi="宋体" w:eastAsia="宋体" w:cs="宋体"/>
          <w:sz w:val="21"/>
          <w:szCs w:val="21"/>
          <w:highlight w:val="none"/>
        </w:rPr>
      </w:pPr>
      <w:r>
        <w:rPr>
          <w:rFonts w:hint="eastAsia" w:ascii="宋体" w:hAnsi="宋体" w:eastAsia="宋体" w:cs="宋体"/>
          <w:sz w:val="21"/>
          <w:szCs w:val="21"/>
          <w:highlight w:val="none"/>
        </w:rPr>
        <w:t>6.“负面清单”制作参考格式（供应商可以自行调整）</w:t>
      </w:r>
    </w:p>
    <w:tbl>
      <w:tblPr>
        <w:tblStyle w:val="22"/>
        <w:tblW w:w="10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813"/>
        <w:gridCol w:w="4826"/>
        <w:gridCol w:w="2361"/>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所属部分</w:t>
            </w: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4826" w:type="dxa"/>
          </w:tcPr>
          <w:p>
            <w:pPr>
              <w:rPr>
                <w:rFonts w:hint="eastAsia" w:ascii="宋体" w:hAnsi="宋体" w:eastAsia="宋体" w:cs="宋体"/>
                <w:sz w:val="21"/>
                <w:szCs w:val="21"/>
                <w:highlight w:val="none"/>
              </w:rPr>
            </w:pPr>
            <w:r>
              <w:rPr>
                <w:rFonts w:hint="eastAsia" w:ascii="宋体" w:hAnsi="宋体" w:eastAsia="宋体" w:cs="宋体"/>
                <w:color w:val="FF0000"/>
                <w:sz w:val="21"/>
                <w:szCs w:val="21"/>
                <w:highlight w:val="none"/>
              </w:rPr>
              <w:t>供应商结合过往经验，认为《基本要求》存在歧视、排他等条款，或者后期招标采购时不应作为技术、商务或评审因素的内容。</w:t>
            </w:r>
          </w:p>
        </w:tc>
        <w:tc>
          <w:tcPr>
            <w:tcW w:w="2361"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修改建议或意见</w:t>
            </w:r>
          </w:p>
        </w:tc>
        <w:tc>
          <w:tcPr>
            <w:tcW w:w="1034"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restart"/>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资格条件</w:t>
            </w: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restart"/>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技术要求</w:t>
            </w: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restart"/>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商务要求</w:t>
            </w: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restart"/>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评审规则</w:t>
            </w: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restart"/>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预算或最高限价制定</w:t>
            </w: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restart"/>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合同条款</w:t>
            </w: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restart"/>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其他（如有）</w:t>
            </w: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tcPr>
          <w:p>
            <w:pPr>
              <w:rPr>
                <w:rFonts w:hint="eastAsia" w:ascii="宋体" w:hAnsi="宋体" w:eastAsia="宋体" w:cs="宋体"/>
                <w:sz w:val="21"/>
                <w:szCs w:val="21"/>
                <w:highlight w:val="none"/>
              </w:rPr>
            </w:pPr>
          </w:p>
        </w:tc>
        <w:tc>
          <w:tcPr>
            <w:tcW w:w="813" w:type="dxa"/>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4826" w:type="dxa"/>
          </w:tcPr>
          <w:p>
            <w:pPr>
              <w:rPr>
                <w:rFonts w:hint="eastAsia" w:ascii="宋体" w:hAnsi="宋体" w:eastAsia="宋体" w:cs="宋体"/>
                <w:sz w:val="21"/>
                <w:szCs w:val="21"/>
                <w:highlight w:val="none"/>
              </w:rPr>
            </w:pPr>
          </w:p>
        </w:tc>
        <w:tc>
          <w:tcPr>
            <w:tcW w:w="2361" w:type="dxa"/>
          </w:tcPr>
          <w:p>
            <w:pPr>
              <w:rPr>
                <w:rFonts w:hint="eastAsia" w:ascii="宋体" w:hAnsi="宋体" w:eastAsia="宋体" w:cs="宋体"/>
                <w:sz w:val="21"/>
                <w:szCs w:val="21"/>
                <w:highlight w:val="none"/>
              </w:rPr>
            </w:pPr>
          </w:p>
        </w:tc>
        <w:tc>
          <w:tcPr>
            <w:tcW w:w="1034" w:type="dxa"/>
          </w:tcPr>
          <w:p>
            <w:pPr>
              <w:rPr>
                <w:rFonts w:hint="eastAsia" w:ascii="宋体" w:hAnsi="宋体" w:eastAsia="宋体" w:cs="宋体"/>
                <w:sz w:val="21"/>
                <w:szCs w:val="21"/>
                <w:highlight w:val="none"/>
              </w:rPr>
            </w:pPr>
          </w:p>
        </w:tc>
      </w:tr>
    </w:tbl>
    <w:p>
      <w:pPr>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jc w:val="right"/>
        <w:rPr>
          <w:rFonts w:hint="eastAsia" w:ascii="宋体" w:hAnsi="宋体" w:eastAsia="宋体" w:cs="宋体"/>
          <w:sz w:val="21"/>
          <w:szCs w:val="21"/>
          <w:highlight w:val="none"/>
        </w:rPr>
      </w:pPr>
      <w:r>
        <w:rPr>
          <w:rFonts w:hint="eastAsia" w:ascii="宋体" w:hAnsi="宋体" w:eastAsia="宋体" w:cs="宋体"/>
          <w:sz w:val="21"/>
          <w:szCs w:val="21"/>
          <w:highlight w:val="none"/>
        </w:rPr>
        <w:t>供应商（加盖公章）：</w:t>
      </w:r>
    </w:p>
    <w:p>
      <w:pPr>
        <w:jc w:val="right"/>
        <w:rPr>
          <w:rFonts w:hint="eastAsia" w:ascii="宋体" w:hAnsi="宋体" w:eastAsia="宋体" w:cs="宋体"/>
          <w:sz w:val="21"/>
          <w:szCs w:val="21"/>
          <w:highlight w:val="none"/>
        </w:rPr>
      </w:pPr>
      <w:r>
        <w:rPr>
          <w:rFonts w:hint="eastAsia" w:ascii="宋体" w:hAnsi="宋体" w:eastAsia="宋体" w:cs="宋体"/>
          <w:sz w:val="21"/>
          <w:szCs w:val="21"/>
          <w:highlight w:val="none"/>
        </w:rPr>
        <w:t>202</w:t>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日</w:t>
      </w:r>
    </w:p>
    <w:p>
      <w:pPr>
        <w:widowControl/>
        <w:jc w:val="left"/>
        <w:rPr>
          <w:rFonts w:hint="eastAsia" w:ascii="宋体" w:hAnsi="宋体" w:eastAsia="宋体" w:cs="宋体"/>
          <w:sz w:val="21"/>
          <w:szCs w:val="21"/>
          <w:highlight w:val="none"/>
        </w:rPr>
      </w:pPr>
    </w:p>
    <w:sectPr>
      <w:pgSz w:w="11906" w:h="16838"/>
      <w:pgMar w:top="1440" w:right="1797" w:bottom="1440" w:left="1797"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t061967" w:date="2023-12-27T08:27:00Z" w:initials="L">
    <w:p w14:paraId="14796CDF">
      <w:pPr>
        <w:pStyle w:val="9"/>
      </w:pPr>
      <w:r>
        <w:rPr>
          <w:rFonts w:hint="eastAsia"/>
        </w:rPr>
        <w:t>增加</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4796CD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7E5043"/>
    <w:multiLevelType w:val="singleLevel"/>
    <w:tmpl w:val="D57E5043"/>
    <w:lvl w:ilvl="0" w:tentative="0">
      <w:start w:val="1"/>
      <w:numFmt w:val="decimal"/>
      <w:lvlText w:val="%1."/>
      <w:lvlJc w:val="left"/>
      <w:pPr>
        <w:tabs>
          <w:tab w:val="left" w:pos="312"/>
        </w:tabs>
      </w:pPr>
    </w:lvl>
  </w:abstractNum>
  <w:abstractNum w:abstractNumId="1">
    <w:nsid w:val="00EB6366"/>
    <w:multiLevelType w:val="multilevel"/>
    <w:tmpl w:val="00EB636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69E08EC"/>
    <w:multiLevelType w:val="multilevel"/>
    <w:tmpl w:val="069E08E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E7856C2"/>
    <w:multiLevelType w:val="multilevel"/>
    <w:tmpl w:val="0E7856C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FCF343D"/>
    <w:multiLevelType w:val="multilevel"/>
    <w:tmpl w:val="0FCF343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FE45C5D"/>
    <w:multiLevelType w:val="multilevel"/>
    <w:tmpl w:val="0FE45C5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16F01F1"/>
    <w:multiLevelType w:val="multilevel"/>
    <w:tmpl w:val="116F01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79619E2"/>
    <w:multiLevelType w:val="multilevel"/>
    <w:tmpl w:val="179619E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17F96A25"/>
    <w:multiLevelType w:val="multilevel"/>
    <w:tmpl w:val="17F96A25"/>
    <w:lvl w:ilvl="0" w:tentative="0">
      <w:start w:val="3"/>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1BD440C9"/>
    <w:multiLevelType w:val="multilevel"/>
    <w:tmpl w:val="1BD440C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D115EF0"/>
    <w:multiLevelType w:val="multilevel"/>
    <w:tmpl w:val="1D115EF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1E3918CC"/>
    <w:multiLevelType w:val="multilevel"/>
    <w:tmpl w:val="1E3918C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FEA0B3F"/>
    <w:multiLevelType w:val="multilevel"/>
    <w:tmpl w:val="1FEA0B3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226004B3"/>
    <w:multiLevelType w:val="multilevel"/>
    <w:tmpl w:val="226004B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4">
    <w:nsid w:val="23756C39"/>
    <w:multiLevelType w:val="multilevel"/>
    <w:tmpl w:val="23756C3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26442D38"/>
    <w:multiLevelType w:val="multilevel"/>
    <w:tmpl w:val="26442D3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2F285DBA"/>
    <w:multiLevelType w:val="multilevel"/>
    <w:tmpl w:val="2F285DB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F4624C6"/>
    <w:multiLevelType w:val="multilevel"/>
    <w:tmpl w:val="2F4624C6"/>
    <w:lvl w:ilvl="0" w:tentative="0">
      <w:start w:val="1"/>
      <w:numFmt w:val="decimal"/>
      <w:lvlText w:val="%1."/>
      <w:lvlJc w:val="left"/>
      <w:pPr>
        <w:ind w:left="425" w:hanging="425"/>
      </w:pPr>
      <w:rPr>
        <w:rFonts w:hint="eastAsia"/>
      </w:rPr>
    </w:lvl>
    <w:lvl w:ilvl="1" w:tentative="0">
      <w:start w:val="2"/>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pStyle w:val="6"/>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8">
    <w:nsid w:val="2F9772C1"/>
    <w:multiLevelType w:val="multilevel"/>
    <w:tmpl w:val="2F9772C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3288C6B2"/>
    <w:multiLevelType w:val="singleLevel"/>
    <w:tmpl w:val="3288C6B2"/>
    <w:lvl w:ilvl="0" w:tentative="0">
      <w:start w:val="1"/>
      <w:numFmt w:val="chineseCounting"/>
      <w:suff w:val="nothing"/>
      <w:lvlText w:val="%1、"/>
      <w:lvlJc w:val="left"/>
      <w:rPr>
        <w:rFonts w:hint="eastAsia"/>
      </w:rPr>
    </w:lvl>
  </w:abstractNum>
  <w:abstractNum w:abstractNumId="20">
    <w:nsid w:val="32B61AED"/>
    <w:multiLevelType w:val="multilevel"/>
    <w:tmpl w:val="32B61AE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347C3F08"/>
    <w:multiLevelType w:val="multilevel"/>
    <w:tmpl w:val="347C3F0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58B489D"/>
    <w:multiLevelType w:val="multilevel"/>
    <w:tmpl w:val="358B489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35E26DDC"/>
    <w:multiLevelType w:val="multilevel"/>
    <w:tmpl w:val="35E26DD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35F243AD"/>
    <w:multiLevelType w:val="multilevel"/>
    <w:tmpl w:val="35F243A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37434685"/>
    <w:multiLevelType w:val="multilevel"/>
    <w:tmpl w:val="3743468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D41158D"/>
    <w:multiLevelType w:val="multilevel"/>
    <w:tmpl w:val="3D41158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40443D88"/>
    <w:multiLevelType w:val="multilevel"/>
    <w:tmpl w:val="40443D8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410945AF"/>
    <w:multiLevelType w:val="multilevel"/>
    <w:tmpl w:val="410945A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9">
    <w:nsid w:val="419E1CE7"/>
    <w:multiLevelType w:val="multilevel"/>
    <w:tmpl w:val="419E1CE7"/>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44010B0F"/>
    <w:multiLevelType w:val="multilevel"/>
    <w:tmpl w:val="44010B0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46336588"/>
    <w:multiLevelType w:val="multilevel"/>
    <w:tmpl w:val="46336588"/>
    <w:lvl w:ilvl="0" w:tentative="0">
      <w:start w:val="1"/>
      <w:numFmt w:val="decimal"/>
      <w:lvlText w:val="（%1）"/>
      <w:lvlJc w:val="left"/>
      <w:pPr>
        <w:ind w:left="1260"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2">
    <w:nsid w:val="46874929"/>
    <w:multiLevelType w:val="singleLevel"/>
    <w:tmpl w:val="46874929"/>
    <w:lvl w:ilvl="0" w:tentative="0">
      <w:start w:val="1"/>
      <w:numFmt w:val="chineseCounting"/>
      <w:suff w:val="nothing"/>
      <w:lvlText w:val="%1、"/>
      <w:lvlJc w:val="left"/>
      <w:rPr>
        <w:rFonts w:hint="eastAsia"/>
      </w:rPr>
    </w:lvl>
  </w:abstractNum>
  <w:abstractNum w:abstractNumId="33">
    <w:nsid w:val="4BAF3D61"/>
    <w:multiLevelType w:val="multilevel"/>
    <w:tmpl w:val="4BAF3D6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4C4B2462"/>
    <w:multiLevelType w:val="multilevel"/>
    <w:tmpl w:val="4C4B246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4D270448"/>
    <w:multiLevelType w:val="multilevel"/>
    <w:tmpl w:val="4D270448"/>
    <w:lvl w:ilvl="0" w:tentative="0">
      <w:start w:val="1"/>
      <w:numFmt w:val="chineseCountingThousand"/>
      <w:lvlText w:val="%1、"/>
      <w:lvlJc w:val="left"/>
      <w:pPr>
        <w:tabs>
          <w:tab w:val="left" w:pos="432"/>
        </w:tabs>
        <w:ind w:left="432" w:hanging="432"/>
      </w:pPr>
      <w:rPr>
        <w:rFonts w:hint="eastAsia" w:ascii="Arial" w:hAnsi="Arial" w:cs="Arial"/>
        <w:sz w:val="32"/>
        <w:szCs w:val="32"/>
      </w:rPr>
    </w:lvl>
    <w:lvl w:ilvl="1" w:tentative="0">
      <w:start w:val="1"/>
      <w:numFmt w:val="decimal"/>
      <w:isLgl/>
      <w:lvlText w:val="%1.%2"/>
      <w:lvlJc w:val="left"/>
      <w:pPr>
        <w:tabs>
          <w:tab w:val="left" w:pos="576"/>
        </w:tabs>
        <w:ind w:left="576" w:hanging="576"/>
      </w:pPr>
      <w:rPr>
        <w:rFonts w:hint="default" w:ascii="Arial" w:hAnsi="Arial" w:cs="Arial"/>
      </w:rPr>
    </w:lvl>
    <w:lvl w:ilvl="2" w:tentative="0">
      <w:start w:val="1"/>
      <w:numFmt w:val="decimal"/>
      <w:isLgl/>
      <w:lvlText w:val="%1.%2.%3"/>
      <w:lvlJc w:val="left"/>
      <w:pPr>
        <w:tabs>
          <w:tab w:val="left" w:pos="720"/>
        </w:tabs>
        <w:ind w:left="720" w:hanging="720"/>
      </w:pPr>
      <w:rPr>
        <w:rFonts w:hint="default" w:ascii="Arial" w:hAnsi="Arial" w:cs="Arial"/>
      </w:rPr>
    </w:lvl>
    <w:lvl w:ilvl="3" w:tentative="0">
      <w:start w:val="1"/>
      <w:numFmt w:val="decimal"/>
      <w:pStyle w:val="5"/>
      <w:isLgl/>
      <w:lvlText w:val="%1.%2.%3.%4"/>
      <w:lvlJc w:val="left"/>
      <w:pPr>
        <w:tabs>
          <w:tab w:val="left" w:pos="864"/>
        </w:tabs>
        <w:ind w:left="864" w:hanging="864"/>
      </w:pPr>
      <w:rPr>
        <w:rFonts w:hint="default" w:ascii="Arial" w:hAnsi="Arial" w:cs="Arial"/>
      </w:rPr>
    </w:lvl>
    <w:lvl w:ilvl="4" w:tentative="0">
      <w:start w:val="1"/>
      <w:numFmt w:val="decimal"/>
      <w:isLgl/>
      <w:lvlText w:val="%1.%2.%3.%4.%5"/>
      <w:lvlJc w:val="left"/>
      <w:pPr>
        <w:tabs>
          <w:tab w:val="left" w:pos="1008"/>
        </w:tabs>
        <w:ind w:left="1008" w:hanging="1008"/>
      </w:pPr>
      <w:rPr>
        <w:rFonts w:hint="default" w:ascii="Arial" w:hAnsi="Arial" w:cs="Arial"/>
      </w:rPr>
    </w:lvl>
    <w:lvl w:ilvl="5" w:tentative="0">
      <w:start w:val="1"/>
      <w:numFmt w:val="decimal"/>
      <w:isLgl/>
      <w:lvlText w:val="%1.%2.%3.%4.%5.%6"/>
      <w:lvlJc w:val="left"/>
      <w:pPr>
        <w:tabs>
          <w:tab w:val="left" w:pos="1152"/>
        </w:tabs>
        <w:ind w:left="1152" w:hanging="1152"/>
      </w:pPr>
      <w:rPr>
        <w:rFonts w:hint="default" w:ascii="Arial" w:hAnsi="Arial" w:cs="Arial"/>
      </w:rPr>
    </w:lvl>
    <w:lvl w:ilvl="6" w:tentative="0">
      <w:start w:val="1"/>
      <w:numFmt w:val="decimal"/>
      <w:isLgl/>
      <w:lvlText w:val="%1.%2.%3.%4.%5.%6.%7"/>
      <w:lvlJc w:val="left"/>
      <w:pPr>
        <w:tabs>
          <w:tab w:val="left" w:pos="1296"/>
        </w:tabs>
        <w:ind w:left="1296" w:hanging="1296"/>
      </w:pPr>
      <w:rPr>
        <w:rFonts w:hint="default" w:ascii="Arial" w:hAnsi="Arial" w:cs="Arial"/>
      </w:rPr>
    </w:lvl>
    <w:lvl w:ilvl="7" w:tentative="0">
      <w:start w:val="1"/>
      <w:numFmt w:val="decimal"/>
      <w:isLgl/>
      <w:lvlText w:val="%1.%2.%3.%4.%5.%6.%7.%8"/>
      <w:lvlJc w:val="left"/>
      <w:pPr>
        <w:tabs>
          <w:tab w:val="left" w:pos="1440"/>
        </w:tabs>
        <w:ind w:left="1440" w:hanging="1440"/>
      </w:pPr>
      <w:rPr>
        <w:rFonts w:hint="default" w:ascii="Arial" w:hAnsi="Arial" w:cs="Arial"/>
      </w:rPr>
    </w:lvl>
    <w:lvl w:ilvl="8" w:tentative="0">
      <w:start w:val="1"/>
      <w:numFmt w:val="decimal"/>
      <w:isLgl/>
      <w:lvlText w:val="%1.%2.%3.%4.%5.%6.%7.%8.%9"/>
      <w:lvlJc w:val="left"/>
      <w:pPr>
        <w:tabs>
          <w:tab w:val="left" w:pos="1584"/>
        </w:tabs>
        <w:ind w:left="1584" w:hanging="1584"/>
      </w:pPr>
      <w:rPr>
        <w:rFonts w:hint="default" w:ascii="Arial" w:hAnsi="Arial" w:cs="Arial"/>
      </w:rPr>
    </w:lvl>
  </w:abstractNum>
  <w:abstractNum w:abstractNumId="36">
    <w:nsid w:val="4E793CB9"/>
    <w:multiLevelType w:val="multilevel"/>
    <w:tmpl w:val="4E793CB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4FD90298"/>
    <w:multiLevelType w:val="multilevel"/>
    <w:tmpl w:val="4FD9029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555971DE"/>
    <w:multiLevelType w:val="multilevel"/>
    <w:tmpl w:val="555971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57D84756"/>
    <w:multiLevelType w:val="multilevel"/>
    <w:tmpl w:val="57D8475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580209E8"/>
    <w:multiLevelType w:val="multilevel"/>
    <w:tmpl w:val="580209E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58CE2553"/>
    <w:multiLevelType w:val="multilevel"/>
    <w:tmpl w:val="58CE255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627C0CA9"/>
    <w:multiLevelType w:val="multilevel"/>
    <w:tmpl w:val="627C0CA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63521476"/>
    <w:multiLevelType w:val="multilevel"/>
    <w:tmpl w:val="6352147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4">
    <w:nsid w:val="63D35B53"/>
    <w:multiLevelType w:val="multilevel"/>
    <w:tmpl w:val="63D35B53"/>
    <w:lvl w:ilvl="0" w:tentative="0">
      <w:start w:val="1"/>
      <w:numFmt w:val="decimal"/>
      <w:pStyle w:val="54"/>
      <w:lvlText w:val="%1."/>
      <w:lvlJc w:val="left"/>
      <w:pPr>
        <w:ind w:left="440" w:hanging="440"/>
      </w:pPr>
      <w:rPr>
        <w:rFonts w:hint="eastAsia"/>
      </w:rPr>
    </w:lvl>
    <w:lvl w:ilvl="1" w:tentative="0">
      <w:start w:val="1"/>
      <w:numFmt w:val="decimal"/>
      <w:pStyle w:val="55"/>
      <w:isLgl/>
      <w:suff w:val="space"/>
      <w:lvlText w:val="%1.%2"/>
      <w:lvlJc w:val="left"/>
      <w:pPr>
        <w:ind w:left="0" w:firstLine="0"/>
      </w:pPr>
      <w:rPr>
        <w:sz w:val="30"/>
        <w:szCs w:val="30"/>
      </w:rPr>
    </w:lvl>
    <w:lvl w:ilvl="2" w:tentative="0">
      <w:start w:val="1"/>
      <w:numFmt w:val="decimal"/>
      <w:pStyle w:val="56"/>
      <w:isLgl/>
      <w:suff w:val="space"/>
      <w:lvlText w:val="%1.%2.%3"/>
      <w:lvlJc w:val="left"/>
      <w:pPr>
        <w:ind w:left="0" w:firstLine="0"/>
      </w:pPr>
    </w:lvl>
    <w:lvl w:ilvl="3" w:tentative="0">
      <w:start w:val="1"/>
      <w:numFmt w:val="decimal"/>
      <w:pStyle w:val="57"/>
      <w:isLgl/>
      <w:suff w:val="space"/>
      <w:lvlText w:val="%1.%2.%3.%4"/>
      <w:lvlJc w:val="left"/>
      <w:pPr>
        <w:ind w:left="0" w:firstLine="0"/>
      </w:pPr>
    </w:lvl>
    <w:lvl w:ilvl="4" w:tentative="0">
      <w:start w:val="1"/>
      <w:numFmt w:val="decimal"/>
      <w:isLgl/>
      <w:suff w:val="space"/>
      <w:lvlText w:val="%1.%2.%3.%4.%5"/>
      <w:lvlJc w:val="left"/>
      <w:pPr>
        <w:ind w:left="0" w:firstLine="0"/>
      </w:pPr>
    </w:lvl>
    <w:lvl w:ilvl="5" w:tentative="0">
      <w:start w:val="1"/>
      <w:numFmt w:val="decimal"/>
      <w:isLgl/>
      <w:suff w:val="space"/>
      <w:lvlText w:val="%1.%2.%3.%4.%5.%6"/>
      <w:lvlJc w:val="left"/>
      <w:pPr>
        <w:ind w:left="0" w:firstLine="0"/>
      </w:pPr>
    </w:lvl>
    <w:lvl w:ilvl="6" w:tentative="0">
      <w:start w:val="1"/>
      <w:numFmt w:val="decimal"/>
      <w:isLgl/>
      <w:suff w:val="space"/>
      <w:lvlText w:val="%1.%2.%3.%4.%5.%6.%7"/>
      <w:lvlJc w:val="left"/>
      <w:pPr>
        <w:ind w:left="0" w:firstLine="0"/>
      </w:pPr>
    </w:lvl>
    <w:lvl w:ilvl="7" w:tentative="0">
      <w:start w:val="1"/>
      <w:numFmt w:val="decimal"/>
      <w:isLgl/>
      <w:suff w:val="space"/>
      <w:lvlText w:val="%1.%2.%3.%4.%5.%6.%7.%8"/>
      <w:lvlJc w:val="left"/>
      <w:pPr>
        <w:ind w:left="0" w:firstLine="0"/>
      </w:pPr>
    </w:lvl>
    <w:lvl w:ilvl="8" w:tentative="0">
      <w:start w:val="1"/>
      <w:numFmt w:val="decimal"/>
      <w:suff w:val="nothing"/>
      <w:lvlText w:val="%1.%2.%3.%4.%5.%6.%7.%8.%9"/>
      <w:lvlJc w:val="left"/>
      <w:pPr>
        <w:ind w:left="0" w:firstLine="0"/>
      </w:pPr>
    </w:lvl>
  </w:abstractNum>
  <w:abstractNum w:abstractNumId="45">
    <w:nsid w:val="640B48FE"/>
    <w:multiLevelType w:val="multilevel"/>
    <w:tmpl w:val="640B48F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6">
    <w:nsid w:val="6414140D"/>
    <w:multiLevelType w:val="multilevel"/>
    <w:tmpl w:val="6414140D"/>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3"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7">
    <w:nsid w:val="652F07B8"/>
    <w:multiLevelType w:val="multilevel"/>
    <w:tmpl w:val="652F07B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65AA0430"/>
    <w:multiLevelType w:val="multilevel"/>
    <w:tmpl w:val="65AA043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66CA0DCA"/>
    <w:multiLevelType w:val="multilevel"/>
    <w:tmpl w:val="66CA0DCA"/>
    <w:lvl w:ilvl="0" w:tentative="0">
      <w:start w:val="1"/>
      <w:numFmt w:val="bullet"/>
      <w:pStyle w:val="46"/>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580"/>
        </w:tabs>
        <w:ind w:left="580" w:hanging="420"/>
      </w:pPr>
      <w:rPr>
        <w:rFonts w:hint="default" w:ascii="Wingdings" w:hAnsi="Wingdings"/>
      </w:rPr>
    </w:lvl>
    <w:lvl w:ilvl="2" w:tentative="0">
      <w:start w:val="1"/>
      <w:numFmt w:val="bullet"/>
      <w:lvlText w:val=""/>
      <w:lvlJc w:val="left"/>
      <w:pPr>
        <w:tabs>
          <w:tab w:val="left" w:pos="1000"/>
        </w:tabs>
        <w:ind w:left="1000" w:hanging="420"/>
      </w:pPr>
      <w:rPr>
        <w:rFonts w:hint="default" w:ascii="Wingdings" w:hAnsi="Wingdings"/>
      </w:rPr>
    </w:lvl>
    <w:lvl w:ilvl="3" w:tentative="0">
      <w:start w:val="1"/>
      <w:numFmt w:val="bullet"/>
      <w:lvlText w:val=""/>
      <w:lvlJc w:val="left"/>
      <w:pPr>
        <w:tabs>
          <w:tab w:val="left" w:pos="1420"/>
        </w:tabs>
        <w:ind w:left="1420" w:hanging="420"/>
      </w:pPr>
      <w:rPr>
        <w:rFonts w:hint="default" w:ascii="Wingdings" w:hAnsi="Wingdings"/>
      </w:rPr>
    </w:lvl>
    <w:lvl w:ilvl="4" w:tentative="0">
      <w:start w:val="1"/>
      <w:numFmt w:val="bullet"/>
      <w:lvlText w:val=""/>
      <w:lvlJc w:val="left"/>
      <w:pPr>
        <w:tabs>
          <w:tab w:val="left" w:pos="1840"/>
        </w:tabs>
        <w:ind w:left="1840" w:hanging="420"/>
      </w:pPr>
      <w:rPr>
        <w:rFonts w:hint="default" w:ascii="Wingdings" w:hAnsi="Wingdings"/>
      </w:rPr>
    </w:lvl>
    <w:lvl w:ilvl="5" w:tentative="0">
      <w:start w:val="1"/>
      <w:numFmt w:val="bullet"/>
      <w:lvlText w:val=""/>
      <w:lvlJc w:val="left"/>
      <w:pPr>
        <w:tabs>
          <w:tab w:val="left" w:pos="2260"/>
        </w:tabs>
        <w:ind w:left="2260" w:hanging="420"/>
      </w:pPr>
      <w:rPr>
        <w:rFonts w:hint="default" w:ascii="Wingdings" w:hAnsi="Wingdings"/>
      </w:rPr>
    </w:lvl>
    <w:lvl w:ilvl="6" w:tentative="0">
      <w:start w:val="1"/>
      <w:numFmt w:val="bullet"/>
      <w:lvlText w:val=""/>
      <w:lvlJc w:val="left"/>
      <w:pPr>
        <w:tabs>
          <w:tab w:val="left" w:pos="2680"/>
        </w:tabs>
        <w:ind w:left="2680" w:hanging="420"/>
      </w:pPr>
      <w:rPr>
        <w:rFonts w:hint="default" w:ascii="Wingdings" w:hAnsi="Wingdings"/>
      </w:rPr>
    </w:lvl>
    <w:lvl w:ilvl="7" w:tentative="0">
      <w:start w:val="1"/>
      <w:numFmt w:val="bullet"/>
      <w:lvlText w:val=""/>
      <w:lvlJc w:val="left"/>
      <w:pPr>
        <w:tabs>
          <w:tab w:val="left" w:pos="3100"/>
        </w:tabs>
        <w:ind w:left="3100" w:hanging="420"/>
      </w:pPr>
      <w:rPr>
        <w:rFonts w:hint="default" w:ascii="Wingdings" w:hAnsi="Wingdings"/>
      </w:rPr>
    </w:lvl>
    <w:lvl w:ilvl="8" w:tentative="0">
      <w:start w:val="1"/>
      <w:numFmt w:val="bullet"/>
      <w:lvlText w:val=""/>
      <w:lvlJc w:val="left"/>
      <w:pPr>
        <w:tabs>
          <w:tab w:val="left" w:pos="3520"/>
        </w:tabs>
        <w:ind w:left="3520" w:hanging="420"/>
      </w:pPr>
      <w:rPr>
        <w:rFonts w:hint="default" w:ascii="Wingdings" w:hAnsi="Wingdings"/>
      </w:rPr>
    </w:lvl>
  </w:abstractNum>
  <w:abstractNum w:abstractNumId="50">
    <w:nsid w:val="75BD29A8"/>
    <w:multiLevelType w:val="multilevel"/>
    <w:tmpl w:val="75BD29A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1">
    <w:nsid w:val="78361336"/>
    <w:multiLevelType w:val="multilevel"/>
    <w:tmpl w:val="7836133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2">
    <w:nsid w:val="793D7481"/>
    <w:multiLevelType w:val="multilevel"/>
    <w:tmpl w:val="793D748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3">
    <w:nsid w:val="795C1F42"/>
    <w:multiLevelType w:val="multilevel"/>
    <w:tmpl w:val="795C1F4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799E667E"/>
    <w:multiLevelType w:val="multilevel"/>
    <w:tmpl w:val="799E667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5">
    <w:nsid w:val="7DD6557C"/>
    <w:multiLevelType w:val="multilevel"/>
    <w:tmpl w:val="7DD6557C"/>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5"/>
  </w:num>
  <w:num w:numId="2">
    <w:abstractNumId w:val="17"/>
  </w:num>
  <w:num w:numId="3">
    <w:abstractNumId w:val="49"/>
  </w:num>
  <w:num w:numId="4">
    <w:abstractNumId w:val="44"/>
  </w:num>
  <w:num w:numId="5">
    <w:abstractNumId w:val="19"/>
  </w:num>
  <w:num w:numId="6">
    <w:abstractNumId w:val="32"/>
  </w:num>
  <w:num w:numId="7">
    <w:abstractNumId w:val="9"/>
  </w:num>
  <w:num w:numId="8">
    <w:abstractNumId w:val="46"/>
  </w:num>
  <w:num w:numId="9">
    <w:abstractNumId w:val="8"/>
  </w:num>
  <w:num w:numId="10">
    <w:abstractNumId w:val="0"/>
  </w:num>
  <w:num w:numId="11">
    <w:abstractNumId w:val="54"/>
  </w:num>
  <w:num w:numId="12">
    <w:abstractNumId w:val="13"/>
  </w:num>
  <w:num w:numId="13">
    <w:abstractNumId w:val="23"/>
  </w:num>
  <w:num w:numId="14">
    <w:abstractNumId w:val="33"/>
  </w:num>
  <w:num w:numId="15">
    <w:abstractNumId w:val="27"/>
  </w:num>
  <w:num w:numId="16">
    <w:abstractNumId w:val="47"/>
  </w:num>
  <w:num w:numId="17">
    <w:abstractNumId w:val="37"/>
  </w:num>
  <w:num w:numId="18">
    <w:abstractNumId w:val="14"/>
  </w:num>
  <w:num w:numId="19">
    <w:abstractNumId w:val="22"/>
  </w:num>
  <w:num w:numId="20">
    <w:abstractNumId w:val="18"/>
  </w:num>
  <w:num w:numId="21">
    <w:abstractNumId w:val="51"/>
  </w:num>
  <w:num w:numId="22">
    <w:abstractNumId w:val="52"/>
  </w:num>
  <w:num w:numId="23">
    <w:abstractNumId w:val="15"/>
  </w:num>
  <w:num w:numId="24">
    <w:abstractNumId w:val="42"/>
  </w:num>
  <w:num w:numId="25">
    <w:abstractNumId w:val="41"/>
  </w:num>
  <w:num w:numId="26">
    <w:abstractNumId w:val="20"/>
  </w:num>
  <w:num w:numId="27">
    <w:abstractNumId w:val="26"/>
  </w:num>
  <w:num w:numId="28">
    <w:abstractNumId w:val="7"/>
  </w:num>
  <w:num w:numId="29">
    <w:abstractNumId w:val="55"/>
  </w:num>
  <w:num w:numId="30">
    <w:abstractNumId w:val="34"/>
  </w:num>
  <w:num w:numId="31">
    <w:abstractNumId w:val="3"/>
  </w:num>
  <w:num w:numId="32">
    <w:abstractNumId w:val="39"/>
  </w:num>
  <w:num w:numId="33">
    <w:abstractNumId w:val="40"/>
  </w:num>
  <w:num w:numId="34">
    <w:abstractNumId w:val="5"/>
  </w:num>
  <w:num w:numId="35">
    <w:abstractNumId w:val="45"/>
  </w:num>
  <w:num w:numId="36">
    <w:abstractNumId w:val="43"/>
  </w:num>
  <w:num w:numId="37">
    <w:abstractNumId w:val="50"/>
  </w:num>
  <w:num w:numId="38">
    <w:abstractNumId w:val="10"/>
  </w:num>
  <w:num w:numId="39">
    <w:abstractNumId w:val="28"/>
  </w:num>
  <w:num w:numId="40">
    <w:abstractNumId w:val="12"/>
  </w:num>
  <w:num w:numId="41">
    <w:abstractNumId w:val="31"/>
  </w:num>
  <w:num w:numId="42">
    <w:abstractNumId w:val="29"/>
  </w:num>
  <w:num w:numId="43">
    <w:abstractNumId w:val="21"/>
  </w:num>
  <w:num w:numId="44">
    <w:abstractNumId w:val="30"/>
  </w:num>
  <w:num w:numId="45">
    <w:abstractNumId w:val="6"/>
  </w:num>
  <w:num w:numId="46">
    <w:abstractNumId w:val="2"/>
  </w:num>
  <w:num w:numId="47">
    <w:abstractNumId w:val="38"/>
  </w:num>
  <w:num w:numId="48">
    <w:abstractNumId w:val="25"/>
  </w:num>
  <w:num w:numId="49">
    <w:abstractNumId w:val="11"/>
  </w:num>
  <w:num w:numId="50">
    <w:abstractNumId w:val="53"/>
  </w:num>
  <w:num w:numId="51">
    <w:abstractNumId w:val="24"/>
  </w:num>
  <w:num w:numId="52">
    <w:abstractNumId w:val="16"/>
  </w:num>
  <w:num w:numId="53">
    <w:abstractNumId w:val="36"/>
  </w:num>
  <w:num w:numId="54">
    <w:abstractNumId w:val="1"/>
  </w:num>
  <w:num w:numId="55">
    <w:abstractNumId w:val="48"/>
  </w:num>
  <w:num w:numId="5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061967">
    <w15:presenceInfo w15:providerId="AD" w15:userId="S::t061967@365of.top::4cc9549d-53e4-4c11-845b-f6863e864d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AzZmFjMmU2NDYyMTJiZDRjNzQ0NWRhNGZjOWE4NDkifQ=="/>
  </w:docVars>
  <w:rsids>
    <w:rsidRoot w:val="00FC41EF"/>
    <w:rsid w:val="00014317"/>
    <w:rsid w:val="000242A7"/>
    <w:rsid w:val="00026181"/>
    <w:rsid w:val="00053470"/>
    <w:rsid w:val="000573ED"/>
    <w:rsid w:val="00062E18"/>
    <w:rsid w:val="000632CD"/>
    <w:rsid w:val="000633CC"/>
    <w:rsid w:val="000660C3"/>
    <w:rsid w:val="000753DB"/>
    <w:rsid w:val="0007589E"/>
    <w:rsid w:val="00076F93"/>
    <w:rsid w:val="00077D18"/>
    <w:rsid w:val="00077E14"/>
    <w:rsid w:val="00077EEB"/>
    <w:rsid w:val="00084D1C"/>
    <w:rsid w:val="00086E62"/>
    <w:rsid w:val="000904D2"/>
    <w:rsid w:val="0009715C"/>
    <w:rsid w:val="000C60DC"/>
    <w:rsid w:val="000D3F9D"/>
    <w:rsid w:val="000D5179"/>
    <w:rsid w:val="000D683B"/>
    <w:rsid w:val="00105B19"/>
    <w:rsid w:val="001105DE"/>
    <w:rsid w:val="00112002"/>
    <w:rsid w:val="00116C13"/>
    <w:rsid w:val="00117DC7"/>
    <w:rsid w:val="00117E88"/>
    <w:rsid w:val="00151430"/>
    <w:rsid w:val="00152420"/>
    <w:rsid w:val="001544F2"/>
    <w:rsid w:val="00163EB3"/>
    <w:rsid w:val="001715DC"/>
    <w:rsid w:val="00172260"/>
    <w:rsid w:val="0017721F"/>
    <w:rsid w:val="00180FB3"/>
    <w:rsid w:val="0018423C"/>
    <w:rsid w:val="0018744D"/>
    <w:rsid w:val="00191AE9"/>
    <w:rsid w:val="00191DAD"/>
    <w:rsid w:val="0019370C"/>
    <w:rsid w:val="001A0AFE"/>
    <w:rsid w:val="001B0BD5"/>
    <w:rsid w:val="001B0D71"/>
    <w:rsid w:val="001B304D"/>
    <w:rsid w:val="001B3AED"/>
    <w:rsid w:val="001B55E6"/>
    <w:rsid w:val="001B5B8B"/>
    <w:rsid w:val="001B70A3"/>
    <w:rsid w:val="001E01D9"/>
    <w:rsid w:val="001E5484"/>
    <w:rsid w:val="001F040A"/>
    <w:rsid w:val="001F62D6"/>
    <w:rsid w:val="001F7EB5"/>
    <w:rsid w:val="00212990"/>
    <w:rsid w:val="002233C4"/>
    <w:rsid w:val="0023491E"/>
    <w:rsid w:val="002463C8"/>
    <w:rsid w:val="00260D08"/>
    <w:rsid w:val="002622B2"/>
    <w:rsid w:val="00264843"/>
    <w:rsid w:val="002665E6"/>
    <w:rsid w:val="00267C75"/>
    <w:rsid w:val="00274E72"/>
    <w:rsid w:val="00277BFB"/>
    <w:rsid w:val="00283F40"/>
    <w:rsid w:val="00285081"/>
    <w:rsid w:val="002858FA"/>
    <w:rsid w:val="00295BD1"/>
    <w:rsid w:val="00297267"/>
    <w:rsid w:val="002A2763"/>
    <w:rsid w:val="002A45FE"/>
    <w:rsid w:val="002B43F0"/>
    <w:rsid w:val="002C1C07"/>
    <w:rsid w:val="002C2110"/>
    <w:rsid w:val="002C2F28"/>
    <w:rsid w:val="002C5A87"/>
    <w:rsid w:val="002C6999"/>
    <w:rsid w:val="002C6DD7"/>
    <w:rsid w:val="002D7E4D"/>
    <w:rsid w:val="002E2900"/>
    <w:rsid w:val="002F06DB"/>
    <w:rsid w:val="002F35FE"/>
    <w:rsid w:val="00300EF6"/>
    <w:rsid w:val="00307333"/>
    <w:rsid w:val="0031203E"/>
    <w:rsid w:val="00314756"/>
    <w:rsid w:val="003164A6"/>
    <w:rsid w:val="003237F7"/>
    <w:rsid w:val="0032746E"/>
    <w:rsid w:val="00331CCA"/>
    <w:rsid w:val="00333B29"/>
    <w:rsid w:val="00347599"/>
    <w:rsid w:val="0035240D"/>
    <w:rsid w:val="0035665D"/>
    <w:rsid w:val="00362585"/>
    <w:rsid w:val="003712FB"/>
    <w:rsid w:val="00372BD5"/>
    <w:rsid w:val="00374029"/>
    <w:rsid w:val="00381D22"/>
    <w:rsid w:val="00382C43"/>
    <w:rsid w:val="00396144"/>
    <w:rsid w:val="003B1888"/>
    <w:rsid w:val="003C6E44"/>
    <w:rsid w:val="003D1249"/>
    <w:rsid w:val="003D1354"/>
    <w:rsid w:val="003D5CF4"/>
    <w:rsid w:val="003E15C3"/>
    <w:rsid w:val="003E6E09"/>
    <w:rsid w:val="003F141A"/>
    <w:rsid w:val="004117A8"/>
    <w:rsid w:val="00412258"/>
    <w:rsid w:val="00415EB4"/>
    <w:rsid w:val="00416CA6"/>
    <w:rsid w:val="004404A4"/>
    <w:rsid w:val="00440EE3"/>
    <w:rsid w:val="00446FB1"/>
    <w:rsid w:val="0044784D"/>
    <w:rsid w:val="00450EEF"/>
    <w:rsid w:val="00456694"/>
    <w:rsid w:val="00462C28"/>
    <w:rsid w:val="004638DF"/>
    <w:rsid w:val="00463EB9"/>
    <w:rsid w:val="004646E6"/>
    <w:rsid w:val="00473CD8"/>
    <w:rsid w:val="004815CA"/>
    <w:rsid w:val="00495602"/>
    <w:rsid w:val="0049576E"/>
    <w:rsid w:val="004A3DB3"/>
    <w:rsid w:val="004A4303"/>
    <w:rsid w:val="004A6F93"/>
    <w:rsid w:val="004A7AB7"/>
    <w:rsid w:val="004B072D"/>
    <w:rsid w:val="004B7064"/>
    <w:rsid w:val="004B7E5A"/>
    <w:rsid w:val="004C68E3"/>
    <w:rsid w:val="004D0B90"/>
    <w:rsid w:val="004D1423"/>
    <w:rsid w:val="004D1526"/>
    <w:rsid w:val="004E18C6"/>
    <w:rsid w:val="004E2A94"/>
    <w:rsid w:val="004E42D3"/>
    <w:rsid w:val="004E732A"/>
    <w:rsid w:val="004F50AC"/>
    <w:rsid w:val="005038C1"/>
    <w:rsid w:val="00510AF4"/>
    <w:rsid w:val="005148A5"/>
    <w:rsid w:val="00516DDA"/>
    <w:rsid w:val="00524145"/>
    <w:rsid w:val="00533E87"/>
    <w:rsid w:val="00535504"/>
    <w:rsid w:val="00551465"/>
    <w:rsid w:val="00554F10"/>
    <w:rsid w:val="0055609E"/>
    <w:rsid w:val="00556CC0"/>
    <w:rsid w:val="00561424"/>
    <w:rsid w:val="00562E1C"/>
    <w:rsid w:val="005833E7"/>
    <w:rsid w:val="00586B29"/>
    <w:rsid w:val="0058763F"/>
    <w:rsid w:val="005B6065"/>
    <w:rsid w:val="005C2AF5"/>
    <w:rsid w:val="005D0756"/>
    <w:rsid w:val="005D6A8F"/>
    <w:rsid w:val="005F0E42"/>
    <w:rsid w:val="005F1EEF"/>
    <w:rsid w:val="005F2F8A"/>
    <w:rsid w:val="005F4A10"/>
    <w:rsid w:val="00606BC6"/>
    <w:rsid w:val="00611236"/>
    <w:rsid w:val="006118B3"/>
    <w:rsid w:val="0061752E"/>
    <w:rsid w:val="006229B6"/>
    <w:rsid w:val="00630D95"/>
    <w:rsid w:val="00634EA0"/>
    <w:rsid w:val="00647546"/>
    <w:rsid w:val="006718EF"/>
    <w:rsid w:val="006718F9"/>
    <w:rsid w:val="00676393"/>
    <w:rsid w:val="00676F15"/>
    <w:rsid w:val="0068228E"/>
    <w:rsid w:val="006827EA"/>
    <w:rsid w:val="00684E9C"/>
    <w:rsid w:val="00690044"/>
    <w:rsid w:val="006927DB"/>
    <w:rsid w:val="00694CC9"/>
    <w:rsid w:val="006A65EA"/>
    <w:rsid w:val="006B1DE0"/>
    <w:rsid w:val="006B50C6"/>
    <w:rsid w:val="006B54EE"/>
    <w:rsid w:val="006C1EEE"/>
    <w:rsid w:val="006C24B2"/>
    <w:rsid w:val="006C56AF"/>
    <w:rsid w:val="006E08DB"/>
    <w:rsid w:val="006E3BFF"/>
    <w:rsid w:val="006E586D"/>
    <w:rsid w:val="006F1033"/>
    <w:rsid w:val="007028D6"/>
    <w:rsid w:val="0070293B"/>
    <w:rsid w:val="007057B2"/>
    <w:rsid w:val="00714AD5"/>
    <w:rsid w:val="00714F00"/>
    <w:rsid w:val="0072382A"/>
    <w:rsid w:val="00725117"/>
    <w:rsid w:val="00727ACD"/>
    <w:rsid w:val="0073178D"/>
    <w:rsid w:val="00733B70"/>
    <w:rsid w:val="00737B07"/>
    <w:rsid w:val="0074287E"/>
    <w:rsid w:val="00744AEB"/>
    <w:rsid w:val="00762A59"/>
    <w:rsid w:val="00765707"/>
    <w:rsid w:val="007707A1"/>
    <w:rsid w:val="00773288"/>
    <w:rsid w:val="007854A7"/>
    <w:rsid w:val="007874FA"/>
    <w:rsid w:val="0079405D"/>
    <w:rsid w:val="0079752E"/>
    <w:rsid w:val="0079762B"/>
    <w:rsid w:val="007A7B4A"/>
    <w:rsid w:val="007B19FF"/>
    <w:rsid w:val="007B4471"/>
    <w:rsid w:val="007B61DE"/>
    <w:rsid w:val="007C3ADC"/>
    <w:rsid w:val="007D350B"/>
    <w:rsid w:val="007D6C76"/>
    <w:rsid w:val="007F0058"/>
    <w:rsid w:val="007F3051"/>
    <w:rsid w:val="008022DA"/>
    <w:rsid w:val="008029AD"/>
    <w:rsid w:val="00802F90"/>
    <w:rsid w:val="008112E2"/>
    <w:rsid w:val="00812005"/>
    <w:rsid w:val="008167D2"/>
    <w:rsid w:val="00816D1C"/>
    <w:rsid w:val="00817273"/>
    <w:rsid w:val="00817F91"/>
    <w:rsid w:val="00821F77"/>
    <w:rsid w:val="00825C90"/>
    <w:rsid w:val="0083222A"/>
    <w:rsid w:val="00833810"/>
    <w:rsid w:val="008365B7"/>
    <w:rsid w:val="008417AB"/>
    <w:rsid w:val="00854A26"/>
    <w:rsid w:val="00861919"/>
    <w:rsid w:val="008813ED"/>
    <w:rsid w:val="00881D6D"/>
    <w:rsid w:val="00884545"/>
    <w:rsid w:val="00884E2F"/>
    <w:rsid w:val="00887AAA"/>
    <w:rsid w:val="00893082"/>
    <w:rsid w:val="008A38E2"/>
    <w:rsid w:val="008A45C0"/>
    <w:rsid w:val="008B33CC"/>
    <w:rsid w:val="008D21CC"/>
    <w:rsid w:val="008E01E6"/>
    <w:rsid w:val="008F7826"/>
    <w:rsid w:val="008F7D19"/>
    <w:rsid w:val="008F7DD3"/>
    <w:rsid w:val="00906F34"/>
    <w:rsid w:val="00911025"/>
    <w:rsid w:val="009129DB"/>
    <w:rsid w:val="00912AB7"/>
    <w:rsid w:val="00917060"/>
    <w:rsid w:val="00917579"/>
    <w:rsid w:val="00923404"/>
    <w:rsid w:val="00933F48"/>
    <w:rsid w:val="009352AF"/>
    <w:rsid w:val="00950907"/>
    <w:rsid w:val="0095486D"/>
    <w:rsid w:val="0095514D"/>
    <w:rsid w:val="00955A8A"/>
    <w:rsid w:val="00960FF4"/>
    <w:rsid w:val="00975C64"/>
    <w:rsid w:val="00981A0C"/>
    <w:rsid w:val="009862BB"/>
    <w:rsid w:val="00987403"/>
    <w:rsid w:val="00991CB5"/>
    <w:rsid w:val="00993BBD"/>
    <w:rsid w:val="009973B1"/>
    <w:rsid w:val="009A2021"/>
    <w:rsid w:val="009A75CD"/>
    <w:rsid w:val="009A77FB"/>
    <w:rsid w:val="009B302D"/>
    <w:rsid w:val="009B4BE7"/>
    <w:rsid w:val="009C08B7"/>
    <w:rsid w:val="009D1FF5"/>
    <w:rsid w:val="009D22B7"/>
    <w:rsid w:val="009D4EE1"/>
    <w:rsid w:val="009E36AF"/>
    <w:rsid w:val="009E4314"/>
    <w:rsid w:val="009F310C"/>
    <w:rsid w:val="009F5F3F"/>
    <w:rsid w:val="009F704D"/>
    <w:rsid w:val="00A0137D"/>
    <w:rsid w:val="00A0520F"/>
    <w:rsid w:val="00A14DD0"/>
    <w:rsid w:val="00A231D7"/>
    <w:rsid w:val="00A3087E"/>
    <w:rsid w:val="00A32C4C"/>
    <w:rsid w:val="00A35D5F"/>
    <w:rsid w:val="00A36292"/>
    <w:rsid w:val="00A470C0"/>
    <w:rsid w:val="00A50265"/>
    <w:rsid w:val="00A5493C"/>
    <w:rsid w:val="00A64754"/>
    <w:rsid w:val="00A70375"/>
    <w:rsid w:val="00A7268D"/>
    <w:rsid w:val="00A74163"/>
    <w:rsid w:val="00A826DA"/>
    <w:rsid w:val="00A83A02"/>
    <w:rsid w:val="00A9037F"/>
    <w:rsid w:val="00A94D64"/>
    <w:rsid w:val="00AA1D56"/>
    <w:rsid w:val="00AA2B19"/>
    <w:rsid w:val="00AA4119"/>
    <w:rsid w:val="00AB10C5"/>
    <w:rsid w:val="00AB43A4"/>
    <w:rsid w:val="00AB5393"/>
    <w:rsid w:val="00AC4B9F"/>
    <w:rsid w:val="00AD17E1"/>
    <w:rsid w:val="00AD221B"/>
    <w:rsid w:val="00AD7B80"/>
    <w:rsid w:val="00AE7878"/>
    <w:rsid w:val="00AF1037"/>
    <w:rsid w:val="00AF1938"/>
    <w:rsid w:val="00B05B32"/>
    <w:rsid w:val="00B1015C"/>
    <w:rsid w:val="00B104DF"/>
    <w:rsid w:val="00B27231"/>
    <w:rsid w:val="00B428F6"/>
    <w:rsid w:val="00B451B3"/>
    <w:rsid w:val="00B57DE9"/>
    <w:rsid w:val="00B67C9B"/>
    <w:rsid w:val="00B84241"/>
    <w:rsid w:val="00B85125"/>
    <w:rsid w:val="00B91330"/>
    <w:rsid w:val="00B924BB"/>
    <w:rsid w:val="00B97B37"/>
    <w:rsid w:val="00BA0DA4"/>
    <w:rsid w:val="00BB2634"/>
    <w:rsid w:val="00BB5EE7"/>
    <w:rsid w:val="00BC1779"/>
    <w:rsid w:val="00BC2C0A"/>
    <w:rsid w:val="00BC49C6"/>
    <w:rsid w:val="00BC643B"/>
    <w:rsid w:val="00BD5117"/>
    <w:rsid w:val="00BD520A"/>
    <w:rsid w:val="00BE3FC7"/>
    <w:rsid w:val="00BE71A6"/>
    <w:rsid w:val="00C008C8"/>
    <w:rsid w:val="00C073D6"/>
    <w:rsid w:val="00C07A0A"/>
    <w:rsid w:val="00C11D51"/>
    <w:rsid w:val="00C1362A"/>
    <w:rsid w:val="00C3110F"/>
    <w:rsid w:val="00C3676F"/>
    <w:rsid w:val="00C406CD"/>
    <w:rsid w:val="00C41C5B"/>
    <w:rsid w:val="00C43AFB"/>
    <w:rsid w:val="00C47F61"/>
    <w:rsid w:val="00C64B97"/>
    <w:rsid w:val="00C739C1"/>
    <w:rsid w:val="00C81626"/>
    <w:rsid w:val="00C822E1"/>
    <w:rsid w:val="00C8325D"/>
    <w:rsid w:val="00C85034"/>
    <w:rsid w:val="00C9246A"/>
    <w:rsid w:val="00C93E41"/>
    <w:rsid w:val="00CA6C27"/>
    <w:rsid w:val="00CB4E88"/>
    <w:rsid w:val="00CC4C7E"/>
    <w:rsid w:val="00CD3A79"/>
    <w:rsid w:val="00CD4D6C"/>
    <w:rsid w:val="00CD7E3F"/>
    <w:rsid w:val="00CE10F1"/>
    <w:rsid w:val="00CE2A6A"/>
    <w:rsid w:val="00CE515C"/>
    <w:rsid w:val="00D26507"/>
    <w:rsid w:val="00D36C71"/>
    <w:rsid w:val="00D51CDD"/>
    <w:rsid w:val="00D528DB"/>
    <w:rsid w:val="00D834C4"/>
    <w:rsid w:val="00D84066"/>
    <w:rsid w:val="00D84724"/>
    <w:rsid w:val="00D866EE"/>
    <w:rsid w:val="00D929B8"/>
    <w:rsid w:val="00D97AE3"/>
    <w:rsid w:val="00DA18F8"/>
    <w:rsid w:val="00DA1DEB"/>
    <w:rsid w:val="00DA5695"/>
    <w:rsid w:val="00DA5CE9"/>
    <w:rsid w:val="00DB1EBF"/>
    <w:rsid w:val="00DC0638"/>
    <w:rsid w:val="00DC72B8"/>
    <w:rsid w:val="00DE0C23"/>
    <w:rsid w:val="00DF19BD"/>
    <w:rsid w:val="00DF2690"/>
    <w:rsid w:val="00DF3414"/>
    <w:rsid w:val="00DF4600"/>
    <w:rsid w:val="00DF5C95"/>
    <w:rsid w:val="00E0106A"/>
    <w:rsid w:val="00E01EC6"/>
    <w:rsid w:val="00E02CB5"/>
    <w:rsid w:val="00E03657"/>
    <w:rsid w:val="00E21563"/>
    <w:rsid w:val="00E218F5"/>
    <w:rsid w:val="00E35A79"/>
    <w:rsid w:val="00E36B65"/>
    <w:rsid w:val="00E450B5"/>
    <w:rsid w:val="00E50E87"/>
    <w:rsid w:val="00E56782"/>
    <w:rsid w:val="00E77B27"/>
    <w:rsid w:val="00E90531"/>
    <w:rsid w:val="00E918AB"/>
    <w:rsid w:val="00EA7393"/>
    <w:rsid w:val="00EC1300"/>
    <w:rsid w:val="00EC5079"/>
    <w:rsid w:val="00ED2A78"/>
    <w:rsid w:val="00ED7055"/>
    <w:rsid w:val="00ED7802"/>
    <w:rsid w:val="00EE19C7"/>
    <w:rsid w:val="00EE2F05"/>
    <w:rsid w:val="00EE7640"/>
    <w:rsid w:val="00F04684"/>
    <w:rsid w:val="00F07E81"/>
    <w:rsid w:val="00F116FA"/>
    <w:rsid w:val="00F1620A"/>
    <w:rsid w:val="00F22DEA"/>
    <w:rsid w:val="00F306D5"/>
    <w:rsid w:val="00F41B13"/>
    <w:rsid w:val="00F51A1C"/>
    <w:rsid w:val="00F55994"/>
    <w:rsid w:val="00F67162"/>
    <w:rsid w:val="00F7494F"/>
    <w:rsid w:val="00F759D5"/>
    <w:rsid w:val="00F825E2"/>
    <w:rsid w:val="00F83C84"/>
    <w:rsid w:val="00F854F9"/>
    <w:rsid w:val="00F854FB"/>
    <w:rsid w:val="00F86780"/>
    <w:rsid w:val="00F87420"/>
    <w:rsid w:val="00F9197E"/>
    <w:rsid w:val="00F94494"/>
    <w:rsid w:val="00F95145"/>
    <w:rsid w:val="00FA2EEC"/>
    <w:rsid w:val="00FB3470"/>
    <w:rsid w:val="00FB587A"/>
    <w:rsid w:val="00FC0A72"/>
    <w:rsid w:val="00FC0D9E"/>
    <w:rsid w:val="00FC0D9F"/>
    <w:rsid w:val="00FC41EF"/>
    <w:rsid w:val="00FD73D5"/>
    <w:rsid w:val="00FE6550"/>
    <w:rsid w:val="00FF1334"/>
    <w:rsid w:val="00FF4C44"/>
    <w:rsid w:val="00FF5988"/>
    <w:rsid w:val="00FF6FD4"/>
    <w:rsid w:val="07A62D33"/>
    <w:rsid w:val="1BD96055"/>
    <w:rsid w:val="23D87429"/>
    <w:rsid w:val="26BC664B"/>
    <w:rsid w:val="29E028A9"/>
    <w:rsid w:val="2A793775"/>
    <w:rsid w:val="33787A1C"/>
    <w:rsid w:val="3640556A"/>
    <w:rsid w:val="37B72501"/>
    <w:rsid w:val="3ED94930"/>
    <w:rsid w:val="4266250F"/>
    <w:rsid w:val="47B46B00"/>
    <w:rsid w:val="4BD751C5"/>
    <w:rsid w:val="4C1409FD"/>
    <w:rsid w:val="6BAA3311"/>
    <w:rsid w:val="7837720C"/>
    <w:rsid w:val="7994087A"/>
    <w:rsid w:val="7E4669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nhideWhenUsed="0"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7"/>
    <w:qFormat/>
    <w:uiPriority w:val="9"/>
    <w:pPr>
      <w:keepNext/>
      <w:keepLines/>
      <w:spacing w:before="340" w:after="330" w:line="578" w:lineRule="auto"/>
      <w:outlineLvl w:val="0"/>
    </w:pPr>
    <w:rPr>
      <w:b/>
      <w:bCs/>
      <w:kern w:val="44"/>
      <w:sz w:val="44"/>
      <w:szCs w:val="44"/>
      <w:lang w:val="zh-CN" w:eastAsia="zh-CN"/>
    </w:rPr>
  </w:style>
  <w:style w:type="paragraph" w:styleId="3">
    <w:name w:val="heading 2"/>
    <w:basedOn w:val="1"/>
    <w:next w:val="1"/>
    <w:link w:val="50"/>
    <w:semiHidden/>
    <w:unhideWhenUsed/>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41"/>
    <w:qFormat/>
    <w:uiPriority w:val="9"/>
    <w:pPr>
      <w:keepNext/>
      <w:keepLines/>
      <w:spacing w:before="260" w:after="260" w:line="400" w:lineRule="exact"/>
      <w:jc w:val="left"/>
      <w:outlineLvl w:val="2"/>
    </w:pPr>
    <w:rPr>
      <w:rFonts w:ascii="Times New Roman" w:hAnsi="Times New Roman"/>
      <w:b/>
      <w:kern w:val="0"/>
      <w:sz w:val="28"/>
      <w:szCs w:val="20"/>
      <w:lang w:val="zh-CN" w:eastAsia="zh-CN"/>
    </w:rPr>
  </w:style>
  <w:style w:type="paragraph" w:styleId="5">
    <w:name w:val="heading 4"/>
    <w:basedOn w:val="1"/>
    <w:next w:val="1"/>
    <w:qFormat/>
    <w:uiPriority w:val="0"/>
    <w:pPr>
      <w:keepNext/>
      <w:keepLines/>
      <w:numPr>
        <w:ilvl w:val="3"/>
        <w:numId w:val="1"/>
      </w:numPr>
      <w:spacing w:before="156" w:beforeLines="50" w:after="156" w:afterLines="50" w:line="376" w:lineRule="auto"/>
      <w:outlineLvl w:val="3"/>
    </w:pPr>
    <w:rPr>
      <w:rFonts w:ascii="宋体" w:hAnsi="宋体" w:eastAsia="仿宋" w:cs="Times New Roman"/>
      <w:b/>
      <w:bCs/>
      <w:sz w:val="32"/>
      <w:szCs w:val="28"/>
    </w:rPr>
  </w:style>
  <w:style w:type="paragraph" w:styleId="6">
    <w:name w:val="heading 5"/>
    <w:basedOn w:val="1"/>
    <w:next w:val="1"/>
    <w:unhideWhenUsed/>
    <w:qFormat/>
    <w:uiPriority w:val="0"/>
    <w:pPr>
      <w:keepNext/>
      <w:keepLines/>
      <w:numPr>
        <w:ilvl w:val="4"/>
        <w:numId w:val="2"/>
      </w:numPr>
      <w:spacing w:before="280" w:after="290" w:line="376" w:lineRule="auto"/>
      <w:jc w:val="left"/>
      <w:outlineLvl w:val="4"/>
    </w:pPr>
    <w:rPr>
      <w:rFonts w:ascii="宋体" w:hAnsi="宋体" w:cs="宋体"/>
      <w:b/>
      <w:bCs/>
      <w:szCs w:val="28"/>
    </w:rPr>
  </w:style>
  <w:style w:type="character" w:default="1" w:styleId="23">
    <w:name w:val="Default Paragraph Font"/>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unhideWhenUsed/>
    <w:qFormat/>
    <w:uiPriority w:val="0"/>
    <w:pPr>
      <w:ind w:firstLine="420" w:firstLineChars="200"/>
    </w:pPr>
    <w:rPr>
      <w:rFonts w:eastAsiaTheme="minorEastAsia"/>
    </w:rPr>
  </w:style>
  <w:style w:type="paragraph" w:styleId="8">
    <w:name w:val="caption"/>
    <w:basedOn w:val="1"/>
    <w:next w:val="1"/>
    <w:qFormat/>
    <w:uiPriority w:val="35"/>
    <w:rPr>
      <w:rFonts w:ascii="Cambria" w:hAnsi="Cambria" w:eastAsia="黑体"/>
      <w:sz w:val="20"/>
      <w:szCs w:val="20"/>
    </w:rPr>
  </w:style>
  <w:style w:type="paragraph" w:styleId="9">
    <w:name w:val="annotation text"/>
    <w:basedOn w:val="1"/>
    <w:unhideWhenUsed/>
    <w:qFormat/>
    <w:uiPriority w:val="99"/>
    <w:pPr>
      <w:jc w:val="left"/>
    </w:pPr>
  </w:style>
  <w:style w:type="paragraph" w:styleId="10">
    <w:name w:val="Body Text"/>
    <w:basedOn w:val="1"/>
    <w:next w:val="11"/>
    <w:unhideWhenUsed/>
    <w:qFormat/>
    <w:uiPriority w:val="99"/>
    <w:pPr>
      <w:spacing w:after="120"/>
    </w:pPr>
  </w:style>
  <w:style w:type="paragraph" w:styleId="11">
    <w:name w:val="toc 2"/>
    <w:basedOn w:val="1"/>
    <w:next w:val="1"/>
    <w:unhideWhenUsed/>
    <w:qFormat/>
    <w:uiPriority w:val="39"/>
    <w:pPr>
      <w:ind w:left="240"/>
      <w:jc w:val="left"/>
    </w:pPr>
    <w:rPr>
      <w:rFonts w:ascii="Calibri" w:hAnsi="Calibri" w:cs="Calibri"/>
      <w:smallCaps/>
      <w:sz w:val="20"/>
      <w:szCs w:val="20"/>
    </w:rPr>
  </w:style>
  <w:style w:type="paragraph" w:styleId="12">
    <w:name w:val="Body Text Indent"/>
    <w:basedOn w:val="1"/>
    <w:next w:val="13"/>
    <w:link w:val="33"/>
    <w:unhideWhenUsed/>
    <w:qFormat/>
    <w:uiPriority w:val="99"/>
    <w:pPr>
      <w:spacing w:line="440" w:lineRule="exact"/>
      <w:ind w:firstLine="830" w:firstLineChars="352"/>
    </w:pPr>
    <w:rPr>
      <w:rFonts w:ascii="仿宋_GB2312" w:hAnsi="Times New Roman" w:eastAsia="仿宋_GB2312"/>
      <w:kern w:val="0"/>
      <w:sz w:val="32"/>
      <w:szCs w:val="20"/>
      <w:lang w:val="zh-CN" w:eastAsia="zh-CN"/>
    </w:rPr>
  </w:style>
  <w:style w:type="paragraph" w:styleId="13">
    <w:name w:val="envelope return"/>
    <w:basedOn w:val="1"/>
    <w:qFormat/>
    <w:uiPriority w:val="0"/>
    <w:pPr>
      <w:adjustRightInd w:val="0"/>
      <w:snapToGrid w:val="0"/>
      <w:textAlignment w:val="baseline"/>
    </w:pPr>
    <w:rPr>
      <w:rFonts w:ascii="Arial" w:hAnsi="Arial" w:eastAsia="仿宋" w:cs="Arial"/>
      <w:kern w:val="0"/>
      <w:sz w:val="28"/>
      <w:szCs w:val="21"/>
    </w:rPr>
  </w:style>
  <w:style w:type="paragraph" w:styleId="14">
    <w:name w:val="Plain Text"/>
    <w:basedOn w:val="1"/>
    <w:link w:val="30"/>
    <w:unhideWhenUsed/>
    <w:qFormat/>
    <w:uiPriority w:val="99"/>
    <w:pPr>
      <w:spacing w:line="440" w:lineRule="exact"/>
      <w:ind w:firstLine="880" w:firstLineChars="200"/>
    </w:pPr>
    <w:rPr>
      <w:rFonts w:ascii="宋体" w:hAnsi="Courier New"/>
      <w:kern w:val="0"/>
      <w:sz w:val="24"/>
      <w:szCs w:val="21"/>
      <w:lang w:val="zh-CN" w:eastAsia="zh-CN"/>
    </w:rPr>
  </w:style>
  <w:style w:type="paragraph" w:styleId="15">
    <w:name w:val="Balloon Text"/>
    <w:basedOn w:val="1"/>
    <w:link w:val="38"/>
    <w:unhideWhenUsed/>
    <w:qFormat/>
    <w:uiPriority w:val="99"/>
    <w:rPr>
      <w:kern w:val="0"/>
      <w:sz w:val="18"/>
      <w:szCs w:val="18"/>
      <w:lang w:val="zh-CN" w:eastAsia="zh-CN"/>
    </w:rPr>
  </w:style>
  <w:style w:type="paragraph" w:styleId="16">
    <w:name w:val="footer"/>
    <w:basedOn w:val="1"/>
    <w:link w:val="40"/>
    <w:unhideWhenUsed/>
    <w:qFormat/>
    <w:uiPriority w:val="99"/>
    <w:pPr>
      <w:tabs>
        <w:tab w:val="center" w:pos="4153"/>
        <w:tab w:val="right" w:pos="8306"/>
      </w:tabs>
      <w:snapToGrid w:val="0"/>
      <w:jc w:val="left"/>
    </w:pPr>
    <w:rPr>
      <w:kern w:val="0"/>
      <w:sz w:val="18"/>
      <w:szCs w:val="18"/>
      <w:lang w:val="zh-CN" w:eastAsia="zh-CN"/>
    </w:rPr>
  </w:style>
  <w:style w:type="paragraph" w:styleId="17">
    <w:name w:val="header"/>
    <w:basedOn w:val="1"/>
    <w:link w:val="34"/>
    <w:unhideWhenUsed/>
    <w:qFormat/>
    <w:uiPriority w:val="99"/>
    <w:pPr>
      <w:pBdr>
        <w:bottom w:val="single" w:color="auto" w:sz="6" w:space="1"/>
      </w:pBdr>
      <w:tabs>
        <w:tab w:val="center" w:pos="4153"/>
        <w:tab w:val="right" w:pos="8306"/>
      </w:tabs>
      <w:snapToGrid w:val="0"/>
      <w:jc w:val="center"/>
    </w:pPr>
    <w:rPr>
      <w:kern w:val="0"/>
      <w:sz w:val="18"/>
      <w:szCs w:val="18"/>
      <w:lang w:val="zh-CN" w:eastAsia="zh-CN"/>
    </w:rPr>
  </w:style>
  <w:style w:type="paragraph" w:styleId="18">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9">
    <w:name w:val="Body Text First Indent"/>
    <w:basedOn w:val="10"/>
    <w:next w:val="10"/>
    <w:unhideWhenUsed/>
    <w:qFormat/>
    <w:uiPriority w:val="99"/>
    <w:pPr>
      <w:ind w:firstLine="420" w:firstLineChars="100"/>
    </w:pPr>
    <w:rPr>
      <w:rFonts w:ascii="Calibri" w:hAnsi="Calibri" w:eastAsia="宋体" w:cs="Times New Roman"/>
      <w:szCs w:val="22"/>
    </w:rPr>
  </w:style>
  <w:style w:type="paragraph" w:styleId="20">
    <w:name w:val="Body Text First Indent 2"/>
    <w:basedOn w:val="12"/>
    <w:next w:val="19"/>
    <w:unhideWhenUsed/>
    <w:qFormat/>
    <w:uiPriority w:val="99"/>
    <w:pPr>
      <w:ind w:firstLine="420" w:firstLineChars="200"/>
      <w:jc w:val="left"/>
    </w:pPr>
  </w:style>
  <w:style w:type="table" w:styleId="22">
    <w:name w:val="Table Grid"/>
    <w:basedOn w:val="21"/>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Strong"/>
    <w:basedOn w:val="23"/>
    <w:qFormat/>
    <w:uiPriority w:val="22"/>
    <w:rPr>
      <w:b/>
    </w:rPr>
  </w:style>
  <w:style w:type="character" w:styleId="25">
    <w:name w:val="Hyperlink"/>
    <w:unhideWhenUsed/>
    <w:qFormat/>
    <w:uiPriority w:val="99"/>
    <w:rPr>
      <w:color w:val="0563C1"/>
      <w:u w:val="single"/>
    </w:rPr>
  </w:style>
  <w:style w:type="character" w:styleId="26">
    <w:name w:val="annotation reference"/>
    <w:basedOn w:val="23"/>
    <w:semiHidden/>
    <w:unhideWhenUsed/>
    <w:qFormat/>
    <w:uiPriority w:val="99"/>
    <w:rPr>
      <w:sz w:val="21"/>
      <w:szCs w:val="21"/>
    </w:rPr>
  </w:style>
  <w:style w:type="paragraph" w:customStyle="1" w:styleId="27">
    <w:name w:val="样式 首行缩进:  2 字符"/>
    <w:basedOn w:val="1"/>
    <w:qFormat/>
    <w:uiPriority w:val="0"/>
    <w:pPr>
      <w:spacing w:before="120" w:after="120"/>
      <w:ind w:firstLine="582"/>
    </w:pPr>
    <w:rPr>
      <w:rFonts w:eastAsia="仿宋_GB2312" w:cs="宋体"/>
      <w:kern w:val="10"/>
      <w:sz w:val="28"/>
      <w:szCs w:val="28"/>
    </w:rPr>
  </w:style>
  <w:style w:type="character" w:customStyle="1" w:styleId="28">
    <w:name w:val="页脚 Char"/>
    <w:qFormat/>
    <w:uiPriority w:val="0"/>
    <w:rPr>
      <w:rFonts w:eastAsia="宋体"/>
      <w:kern w:val="2"/>
      <w:sz w:val="18"/>
      <w:szCs w:val="18"/>
      <w:lang w:val="en-US" w:eastAsia="zh-CN" w:bidi="ar-SA"/>
    </w:rPr>
  </w:style>
  <w:style w:type="character" w:customStyle="1" w:styleId="29">
    <w:name w:val="fontstyle01"/>
    <w:qFormat/>
    <w:uiPriority w:val="0"/>
    <w:rPr>
      <w:rFonts w:hint="eastAsia" w:ascii="宋体" w:hAnsi="宋体" w:eastAsia="宋体"/>
      <w:color w:val="000000"/>
      <w:sz w:val="28"/>
      <w:szCs w:val="28"/>
    </w:rPr>
  </w:style>
  <w:style w:type="character" w:customStyle="1" w:styleId="30">
    <w:name w:val="纯文本 字符"/>
    <w:link w:val="14"/>
    <w:qFormat/>
    <w:uiPriority w:val="99"/>
    <w:rPr>
      <w:rFonts w:ascii="宋体" w:hAnsi="Courier New" w:eastAsia="宋体" w:cs="Courier New"/>
      <w:sz w:val="24"/>
      <w:szCs w:val="21"/>
    </w:rPr>
  </w:style>
  <w:style w:type="character" w:customStyle="1" w:styleId="31">
    <w:name w:val="列表段落 字符"/>
    <w:link w:val="32"/>
    <w:qFormat/>
    <w:locked/>
    <w:uiPriority w:val="34"/>
    <w:rPr>
      <w:rFonts w:ascii="Calibri" w:hAnsi="Calibri" w:eastAsia="宋体" w:cs="Times New Roman"/>
    </w:rPr>
  </w:style>
  <w:style w:type="paragraph" w:styleId="32">
    <w:name w:val="List Paragraph"/>
    <w:basedOn w:val="1"/>
    <w:link w:val="31"/>
    <w:qFormat/>
    <w:uiPriority w:val="34"/>
    <w:pPr>
      <w:ind w:firstLine="420" w:firstLineChars="200"/>
    </w:pPr>
    <w:rPr>
      <w:kern w:val="0"/>
      <w:sz w:val="20"/>
      <w:szCs w:val="20"/>
      <w:lang w:val="zh-CN" w:eastAsia="zh-CN"/>
    </w:rPr>
  </w:style>
  <w:style w:type="character" w:customStyle="1" w:styleId="33">
    <w:name w:val="正文文本缩进 字符"/>
    <w:link w:val="12"/>
    <w:qFormat/>
    <w:uiPriority w:val="99"/>
    <w:rPr>
      <w:rFonts w:ascii="仿宋_GB2312" w:hAnsi="Times New Roman" w:eastAsia="仿宋_GB2312" w:cs="Times New Roman"/>
      <w:sz w:val="32"/>
      <w:szCs w:val="20"/>
    </w:rPr>
  </w:style>
  <w:style w:type="character" w:customStyle="1" w:styleId="34">
    <w:name w:val="页眉 字符"/>
    <w:link w:val="17"/>
    <w:qFormat/>
    <w:uiPriority w:val="99"/>
    <w:rPr>
      <w:sz w:val="18"/>
      <w:szCs w:val="18"/>
    </w:rPr>
  </w:style>
  <w:style w:type="character" w:customStyle="1" w:styleId="35">
    <w:name w:val="1J Char"/>
    <w:link w:val="36"/>
    <w:qFormat/>
    <w:uiPriority w:val="0"/>
    <w:rPr>
      <w:rFonts w:eastAsia="宋体"/>
      <w:b/>
      <w:sz w:val="24"/>
      <w:szCs w:val="24"/>
    </w:rPr>
  </w:style>
  <w:style w:type="paragraph" w:customStyle="1" w:styleId="36">
    <w:name w:val="1J"/>
    <w:basedOn w:val="1"/>
    <w:link w:val="35"/>
    <w:qFormat/>
    <w:uiPriority w:val="0"/>
    <w:pPr>
      <w:jc w:val="center"/>
    </w:pPr>
    <w:rPr>
      <w:b/>
      <w:kern w:val="0"/>
      <w:sz w:val="24"/>
      <w:szCs w:val="24"/>
      <w:lang w:val="zh-CN" w:eastAsia="zh-CN"/>
    </w:rPr>
  </w:style>
  <w:style w:type="character" w:customStyle="1" w:styleId="37">
    <w:name w:val="fontstyle31"/>
    <w:qFormat/>
    <w:uiPriority w:val="0"/>
    <w:rPr>
      <w:rFonts w:hint="default" w:ascii="Calibri" w:hAnsi="Calibri"/>
      <w:color w:val="000000"/>
      <w:sz w:val="22"/>
      <w:szCs w:val="22"/>
    </w:rPr>
  </w:style>
  <w:style w:type="character" w:customStyle="1" w:styleId="38">
    <w:name w:val="批注框文本 字符"/>
    <w:link w:val="15"/>
    <w:semiHidden/>
    <w:qFormat/>
    <w:uiPriority w:val="99"/>
    <w:rPr>
      <w:sz w:val="18"/>
      <w:szCs w:val="18"/>
    </w:rPr>
  </w:style>
  <w:style w:type="character" w:customStyle="1" w:styleId="39">
    <w:name w:val="fontstyle21"/>
    <w:qFormat/>
    <w:uiPriority w:val="0"/>
    <w:rPr>
      <w:rFonts w:hint="default" w:ascii="TimesNewRomanPSMT" w:hAnsi="TimesNewRomanPSMT"/>
      <w:color w:val="000000"/>
      <w:sz w:val="18"/>
      <w:szCs w:val="18"/>
    </w:rPr>
  </w:style>
  <w:style w:type="character" w:customStyle="1" w:styleId="40">
    <w:name w:val="页脚 字符"/>
    <w:link w:val="16"/>
    <w:qFormat/>
    <w:uiPriority w:val="99"/>
    <w:rPr>
      <w:sz w:val="18"/>
      <w:szCs w:val="18"/>
    </w:rPr>
  </w:style>
  <w:style w:type="character" w:customStyle="1" w:styleId="41">
    <w:name w:val="标题 3 字符"/>
    <w:link w:val="4"/>
    <w:qFormat/>
    <w:uiPriority w:val="9"/>
    <w:rPr>
      <w:rFonts w:ascii="Times New Roman" w:hAnsi="Times New Roman" w:eastAsia="宋体" w:cs="Times New Roman"/>
      <w:b/>
      <w:kern w:val="0"/>
      <w:sz w:val="28"/>
      <w:szCs w:val="20"/>
    </w:rPr>
  </w:style>
  <w:style w:type="paragraph" w:customStyle="1" w:styleId="42">
    <w:name w:val="图"/>
    <w:basedOn w:val="1"/>
    <w:qFormat/>
    <w:uiPriority w:val="0"/>
    <w:pPr>
      <w:keepNext/>
      <w:adjustRightInd w:val="0"/>
      <w:spacing w:before="60" w:after="60" w:line="300" w:lineRule="auto"/>
      <w:ind w:firstLine="880" w:firstLineChars="200"/>
      <w:jc w:val="center"/>
      <w:textAlignment w:val="center"/>
    </w:pPr>
    <w:rPr>
      <w:rFonts w:ascii="Times New Roman" w:hAnsi="Times New Roman"/>
      <w:spacing w:val="20"/>
      <w:kern w:val="0"/>
      <w:sz w:val="24"/>
      <w:szCs w:val="20"/>
    </w:rPr>
  </w:style>
  <w:style w:type="paragraph" w:customStyle="1" w:styleId="43">
    <w:name w:val="题注4"/>
    <w:basedOn w:val="1"/>
    <w:next w:val="8"/>
    <w:qFormat/>
    <w:uiPriority w:val="0"/>
    <w:pPr>
      <w:spacing w:line="440" w:lineRule="exact"/>
      <w:ind w:left="-132" w:leftChars="-64" w:right="-105" w:rightChars="-50" w:hanging="2" w:firstLineChars="200"/>
      <w:jc w:val="center"/>
    </w:pPr>
    <w:rPr>
      <w:rFonts w:ascii="Times New Roman" w:hAnsi="Times New Roman"/>
      <w:b/>
      <w:color w:val="FF0000"/>
      <w:sz w:val="24"/>
      <w:szCs w:val="21"/>
      <w:lang w:val="en-GB"/>
    </w:rPr>
  </w:style>
  <w:style w:type="paragraph" w:customStyle="1" w:styleId="44">
    <w:name w:val="表格文字"/>
    <w:basedOn w:val="1"/>
    <w:qFormat/>
    <w:uiPriority w:val="0"/>
    <w:pPr>
      <w:spacing w:before="25" w:after="25" w:line="440" w:lineRule="exact"/>
      <w:ind w:firstLine="880" w:firstLineChars="200"/>
      <w:jc w:val="left"/>
    </w:pPr>
    <w:rPr>
      <w:rFonts w:ascii="Times New Roman" w:hAnsi="Times New Roman"/>
      <w:bCs/>
      <w:spacing w:val="10"/>
      <w:kern w:val="0"/>
      <w:sz w:val="24"/>
      <w:szCs w:val="20"/>
    </w:rPr>
  </w:style>
  <w:style w:type="paragraph" w:customStyle="1" w:styleId="45">
    <w:name w:val="列表段落1"/>
    <w:basedOn w:val="1"/>
    <w:qFormat/>
    <w:uiPriority w:val="0"/>
    <w:pPr>
      <w:ind w:firstLine="420" w:firstLineChars="200"/>
    </w:pPr>
    <w:rPr>
      <w:rFonts w:ascii="Times New Roman" w:hAnsi="Times New Roman"/>
      <w:sz w:val="28"/>
      <w:szCs w:val="24"/>
    </w:rPr>
  </w:style>
  <w:style w:type="paragraph" w:customStyle="1" w:styleId="46">
    <w:name w:val="编号1"/>
    <w:basedOn w:val="1"/>
    <w:qFormat/>
    <w:uiPriority w:val="0"/>
    <w:pPr>
      <w:numPr>
        <w:ilvl w:val="0"/>
        <w:numId w:val="3"/>
      </w:numPr>
    </w:pPr>
    <w:rPr>
      <w:rFonts w:ascii="Times New Roman" w:hAnsi="Times New Roman"/>
      <w:szCs w:val="24"/>
    </w:rPr>
  </w:style>
  <w:style w:type="character" w:customStyle="1" w:styleId="47">
    <w:name w:val="标题 1 字符"/>
    <w:link w:val="2"/>
    <w:qFormat/>
    <w:uiPriority w:val="9"/>
    <w:rPr>
      <w:b/>
      <w:bCs/>
      <w:kern w:val="44"/>
      <w:sz w:val="44"/>
      <w:szCs w:val="44"/>
    </w:rPr>
  </w:style>
  <w:style w:type="character" w:customStyle="1" w:styleId="48">
    <w:name w:val="Unresolved Mention"/>
    <w:semiHidden/>
    <w:unhideWhenUsed/>
    <w:qFormat/>
    <w:uiPriority w:val="99"/>
    <w:rPr>
      <w:color w:val="605E5C"/>
      <w:shd w:val="clear" w:color="auto" w:fill="E1DFDD"/>
    </w:rPr>
  </w:style>
  <w:style w:type="paragraph" w:customStyle="1" w:styleId="49">
    <w:name w:val="列出段落1"/>
    <w:basedOn w:val="1"/>
    <w:qFormat/>
    <w:uiPriority w:val="34"/>
    <w:pPr>
      <w:ind w:firstLine="420" w:firstLineChars="200"/>
    </w:pPr>
  </w:style>
  <w:style w:type="character" w:customStyle="1" w:styleId="50">
    <w:name w:val="标题 2 字符"/>
    <w:link w:val="3"/>
    <w:semiHidden/>
    <w:qFormat/>
    <w:uiPriority w:val="9"/>
    <w:rPr>
      <w:rFonts w:ascii="等线 Light" w:hAnsi="等线 Light" w:eastAsia="等线 Light" w:cs="Times New Roman"/>
      <w:b/>
      <w:bCs/>
      <w:kern w:val="2"/>
      <w:sz w:val="32"/>
      <w:szCs w:val="32"/>
    </w:rPr>
  </w:style>
  <w:style w:type="table" w:customStyle="1" w:styleId="51">
    <w:name w:val="网格型1"/>
    <w:basedOn w:val="21"/>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2">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53">
    <w:name w:val="投标正文小四"/>
    <w:basedOn w:val="1"/>
    <w:qFormat/>
    <w:uiPriority w:val="0"/>
    <w:pPr>
      <w:ind w:firstLine="200" w:firstLineChars="200"/>
    </w:pPr>
    <w:rPr>
      <w:rFonts w:ascii="Calibri" w:hAnsi="Calibri"/>
      <w:szCs w:val="22"/>
    </w:rPr>
  </w:style>
  <w:style w:type="paragraph" w:customStyle="1" w:styleId="54">
    <w:name w:val="标题1"/>
    <w:basedOn w:val="1"/>
    <w:next w:val="1"/>
    <w:qFormat/>
    <w:uiPriority w:val="0"/>
    <w:pPr>
      <w:numPr>
        <w:ilvl w:val="0"/>
        <w:numId w:val="4"/>
      </w:numPr>
      <w:snapToGrid/>
      <w:ind w:firstLine="0" w:firstLineChars="0"/>
      <w:jc w:val="left"/>
      <w:outlineLvl w:val="0"/>
    </w:pPr>
    <w:rPr>
      <w:b/>
      <w:sz w:val="32"/>
    </w:rPr>
  </w:style>
  <w:style w:type="paragraph" w:customStyle="1" w:styleId="55">
    <w:name w:val="标题2"/>
    <w:basedOn w:val="54"/>
    <w:next w:val="1"/>
    <w:qFormat/>
    <w:uiPriority w:val="0"/>
    <w:pPr>
      <w:numPr>
        <w:ilvl w:val="1"/>
      </w:numPr>
      <w:outlineLvl w:val="1"/>
    </w:pPr>
    <w:rPr>
      <w:rFonts w:ascii="宋体" w:hAnsi="宋体"/>
      <w:sz w:val="30"/>
      <w:szCs w:val="20"/>
    </w:rPr>
  </w:style>
  <w:style w:type="paragraph" w:customStyle="1" w:styleId="56">
    <w:name w:val="标题3"/>
    <w:basedOn w:val="55"/>
    <w:next w:val="1"/>
    <w:qFormat/>
    <w:uiPriority w:val="0"/>
    <w:pPr>
      <w:numPr>
        <w:ilvl w:val="2"/>
      </w:numPr>
      <w:outlineLvl w:val="2"/>
    </w:pPr>
    <w:rPr>
      <w:sz w:val="28"/>
    </w:rPr>
  </w:style>
  <w:style w:type="paragraph" w:customStyle="1" w:styleId="57">
    <w:name w:val="标题4"/>
    <w:basedOn w:val="56"/>
    <w:next w:val="1"/>
    <w:qFormat/>
    <w:uiPriority w:val="0"/>
    <w:pPr>
      <w:numPr>
        <w:ilvl w:val="3"/>
      </w:numPr>
      <w:outlineLvl w:val="3"/>
    </w:pPr>
    <w:rPr>
      <w:sz w:val="24"/>
    </w:rPr>
  </w:style>
  <w:style w:type="paragraph" w:customStyle="1" w:styleId="58">
    <w:name w:val="方案正文"/>
    <w:basedOn w:val="1"/>
    <w:qFormat/>
    <w:uiPriority w:val="0"/>
    <w:pPr>
      <w:spacing w:line="360" w:lineRule="auto"/>
      <w:ind w:firstLine="200" w:firstLineChars="200"/>
    </w:pPr>
    <w:rPr>
      <w:rFonts w:ascii="仿宋_GB2312" w:hAnsi="宋体"/>
      <w:sz w:val="24"/>
    </w:rPr>
  </w:style>
  <w:style w:type="paragraph" w:customStyle="1" w:styleId="59">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
    <w:name w:val="首行缩进"/>
    <w:basedOn w:val="1"/>
    <w:qFormat/>
    <w:uiPriority w:val="0"/>
    <w:pPr>
      <w:spacing w:line="360" w:lineRule="auto"/>
      <w:ind w:firstLine="200" w:firstLineChars="200"/>
    </w:pPr>
    <w:rPr>
      <w:rFonts w:ascii="Times New Roman" w:hAnsi="Times New Roman" w:eastAsiaTheme="minorEastAsia"/>
    </w:rPr>
  </w:style>
  <w:style w:type="paragraph" w:customStyle="1" w:styleId="61">
    <w:name w:val="我的正文"/>
    <w:basedOn w:val="1"/>
    <w:link w:val="62"/>
    <w:qFormat/>
    <w:uiPriority w:val="0"/>
    <w:pPr>
      <w:snapToGrid w:val="0"/>
      <w:spacing w:before="163" w:beforeLines="50" w:line="312" w:lineRule="auto"/>
      <w:ind w:firstLine="480" w:firstLineChars="200"/>
    </w:pPr>
    <w:rPr>
      <w:rFonts w:ascii="Times New Roman" w:hAnsi="Times New Roman" w:cs="Times New Roman"/>
      <w:szCs w:val="24"/>
    </w:rPr>
  </w:style>
  <w:style w:type="character" w:customStyle="1" w:styleId="62">
    <w:name w:val="我的正文 字符"/>
    <w:basedOn w:val="23"/>
    <w:link w:val="61"/>
    <w:qFormat/>
    <w:uiPriority w:val="0"/>
    <w:rPr>
      <w:rFonts w:ascii="Times New Roman" w:hAnsi="Times New Roman" w:cs="Times New Roman"/>
      <w:szCs w:val="24"/>
    </w:rPr>
  </w:style>
  <w:style w:type="paragraph" w:customStyle="1" w:styleId="63">
    <w:name w:val="A.IndentStyle"/>
    <w:basedOn w:val="1"/>
    <w:qFormat/>
    <w:uiPriority w:val="0"/>
    <w:pPr>
      <w:spacing w:line="360" w:lineRule="auto"/>
      <w:ind w:firstLine="480" w:firstLineChars="200"/>
    </w:pPr>
    <w:rPr>
      <w:rFonts w:ascii="Times New Roman" w:hAnsi="Times New Roman" w:cs="Times New Roman"/>
      <w:szCs w:val="24"/>
    </w:rPr>
  </w:style>
  <w:style w:type="paragraph" w:customStyle="1" w:styleId="64">
    <w:name w:val="样式 正文缩进 + 首行缩进:  2 字符"/>
    <w:basedOn w:val="7"/>
    <w:qFormat/>
    <w:uiPriority w:val="0"/>
    <w:pPr>
      <w:spacing w:line="360" w:lineRule="auto"/>
      <w:ind w:firstLine="200"/>
    </w:pPr>
    <w:rPr>
      <w:rFonts w:ascii="Times New Roman" w:hAnsi="Times New Roman" w:eastAsia="宋体" w:cs="Times New Roman"/>
      <w:szCs w:val="20"/>
    </w:rPr>
  </w:style>
  <w:style w:type="paragraph" w:customStyle="1" w:styleId="65">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6">
    <w:name w:val="正文缩进1"/>
    <w:basedOn w:val="1"/>
    <w:qFormat/>
    <w:uiPriority w:val="99"/>
    <w:pPr>
      <w:widowControl/>
      <w:ind w:firstLine="420"/>
      <w:jc w:val="left"/>
    </w:pPr>
    <w:rPr>
      <w:rFonts w:eastAsia="Calibri"/>
      <w:kern w:val="0"/>
      <w:sz w:val="22"/>
      <w:szCs w:val="22"/>
      <w:lang w:eastAsia="en-US"/>
    </w:rPr>
  </w:style>
  <w:style w:type="character" w:customStyle="1" w:styleId="67">
    <w:name w:val="font11"/>
    <w:basedOn w:val="23"/>
    <w:qFormat/>
    <w:uiPriority w:val="0"/>
    <w:rPr>
      <w:rFonts w:hint="eastAsia" w:ascii="宋体" w:hAnsi="宋体" w:eastAsia="宋体" w:cs="宋体"/>
      <w:color w:val="000000"/>
      <w:sz w:val="22"/>
      <w:szCs w:val="22"/>
      <w:u w:val="none"/>
    </w:rPr>
  </w:style>
  <w:style w:type="character" w:customStyle="1" w:styleId="68">
    <w:name w:val="font21"/>
    <w:basedOn w:val="23"/>
    <w:qFormat/>
    <w:uiPriority w:val="0"/>
    <w:rPr>
      <w:rFonts w:hint="eastAsia" w:ascii="宋体" w:hAnsi="宋体" w:eastAsia="宋体" w:cs="宋体"/>
      <w:color w:val="FF0000"/>
      <w:sz w:val="22"/>
      <w:szCs w:val="22"/>
      <w:u w:val="none"/>
    </w:rPr>
  </w:style>
  <w:style w:type="character" w:customStyle="1" w:styleId="69">
    <w:name w:val="font31"/>
    <w:basedOn w:val="23"/>
    <w:qFormat/>
    <w:uiPriority w:val="0"/>
    <w:rPr>
      <w:rFonts w:hint="eastAsia" w:ascii="宋体" w:hAnsi="宋体" w:eastAsia="宋体" w:cs="宋体"/>
      <w:color w:val="000000"/>
      <w:sz w:val="22"/>
      <w:szCs w:val="22"/>
      <w:u w:val="none"/>
    </w:rPr>
  </w:style>
  <w:style w:type="character" w:customStyle="1" w:styleId="70">
    <w:name w:val="font51"/>
    <w:basedOn w:val="23"/>
    <w:qFormat/>
    <w:uiPriority w:val="0"/>
    <w:rPr>
      <w:rFonts w:hint="eastAsia" w:ascii="宋体" w:hAnsi="宋体" w:eastAsia="宋体" w:cs="宋体"/>
      <w:b/>
      <w:bCs/>
      <w:color w:val="FF0000"/>
      <w:sz w:val="22"/>
      <w:szCs w:val="22"/>
      <w:u w:val="none"/>
    </w:rPr>
  </w:style>
  <w:style w:type="character" w:customStyle="1" w:styleId="71">
    <w:name w:val="font121"/>
    <w:basedOn w:val="23"/>
    <w:qFormat/>
    <w:uiPriority w:val="0"/>
    <w:rPr>
      <w:rFonts w:hint="eastAsia" w:ascii="宋体" w:hAnsi="宋体" w:eastAsia="宋体" w:cs="宋体"/>
      <w:color w:val="FF0000"/>
      <w:sz w:val="24"/>
      <w:szCs w:val="24"/>
      <w:u w:val="none"/>
    </w:rPr>
  </w:style>
  <w:style w:type="character" w:customStyle="1" w:styleId="72">
    <w:name w:val="font131"/>
    <w:basedOn w:val="23"/>
    <w:qFormat/>
    <w:uiPriority w:val="0"/>
    <w:rPr>
      <w:rFonts w:hint="eastAsia" w:ascii="宋体" w:hAnsi="宋体" w:eastAsia="宋体" w:cs="宋体"/>
      <w:color w:val="000000"/>
      <w:sz w:val="22"/>
      <w:szCs w:val="22"/>
      <w:u w:val="single"/>
    </w:rPr>
  </w:style>
  <w:style w:type="character" w:customStyle="1" w:styleId="73">
    <w:name w:val="font141"/>
    <w:basedOn w:val="23"/>
    <w:qFormat/>
    <w:uiPriority w:val="0"/>
    <w:rPr>
      <w:rFonts w:hint="eastAsia" w:ascii="宋体" w:hAnsi="宋体" w:eastAsia="宋体" w:cs="宋体"/>
      <w:color w:val="FF0000"/>
      <w:sz w:val="22"/>
      <w:szCs w:val="22"/>
      <w:u w:val="none"/>
    </w:rPr>
  </w:style>
  <w:style w:type="character" w:customStyle="1" w:styleId="74">
    <w:name w:val="font81"/>
    <w:basedOn w:val="23"/>
    <w:qFormat/>
    <w:uiPriority w:val="0"/>
    <w:rPr>
      <w:rFonts w:hint="eastAsia" w:ascii="宋体" w:hAnsi="宋体" w:eastAsia="宋体" w:cs="宋体"/>
      <w:color w:val="000000"/>
      <w:sz w:val="22"/>
      <w:szCs w:val="22"/>
      <w:u w:val="none"/>
    </w:rPr>
  </w:style>
  <w:style w:type="character" w:customStyle="1" w:styleId="75">
    <w:name w:val="font151"/>
    <w:basedOn w:val="23"/>
    <w:qFormat/>
    <w:uiPriority w:val="0"/>
    <w:rPr>
      <w:rFonts w:ascii="Arial" w:hAnsi="Arial" w:cs="Arial"/>
      <w:color w:val="000000"/>
      <w:sz w:val="22"/>
      <w:szCs w:val="22"/>
      <w:u w:val="none"/>
    </w:rPr>
  </w:style>
  <w:style w:type="character" w:customStyle="1" w:styleId="76">
    <w:name w:val="font161"/>
    <w:basedOn w:val="23"/>
    <w:qFormat/>
    <w:uiPriority w:val="0"/>
    <w:rPr>
      <w:rFonts w:hint="default" w:ascii="Arial" w:hAnsi="Arial" w:cs="Arial"/>
      <w:color w:val="000000"/>
      <w:sz w:val="22"/>
      <w:szCs w:val="22"/>
      <w:u w:val="none"/>
    </w:rPr>
  </w:style>
  <w:style w:type="character" w:customStyle="1" w:styleId="77">
    <w:name w:val="font171"/>
    <w:basedOn w:val="23"/>
    <w:qFormat/>
    <w:uiPriority w:val="0"/>
    <w:rPr>
      <w:rFonts w:hint="default" w:ascii="Times New Roman" w:hAnsi="Times New Roman" w:cs="Times New Roman"/>
      <w:color w:val="000000"/>
      <w:sz w:val="22"/>
      <w:szCs w:val="22"/>
      <w:u w:val="none"/>
    </w:rPr>
  </w:style>
  <w:style w:type="character" w:customStyle="1" w:styleId="78">
    <w:name w:val="font112"/>
    <w:basedOn w:val="23"/>
    <w:qFormat/>
    <w:uiPriority w:val="0"/>
    <w:rPr>
      <w:rFonts w:hint="default" w:ascii="Arial" w:hAnsi="Arial" w:cs="Arial"/>
      <w:color w:val="000000"/>
      <w:sz w:val="22"/>
      <w:szCs w:val="22"/>
      <w:u w:val="none"/>
    </w:rPr>
  </w:style>
  <w:style w:type="character" w:customStyle="1" w:styleId="79">
    <w:name w:val="font181"/>
    <w:basedOn w:val="23"/>
    <w:qFormat/>
    <w:uiPriority w:val="0"/>
    <w:rPr>
      <w:rFonts w:hint="eastAsia" w:ascii="宋体" w:hAnsi="宋体" w:eastAsia="宋体" w:cs="宋体"/>
      <w:color w:val="000000"/>
      <w:sz w:val="22"/>
      <w:szCs w:val="22"/>
      <w:u w:val="none"/>
    </w:rPr>
  </w:style>
  <w:style w:type="character" w:customStyle="1" w:styleId="80">
    <w:name w:val="font191"/>
    <w:basedOn w:val="23"/>
    <w:qFormat/>
    <w:uiPriority w:val="0"/>
    <w:rPr>
      <w:rFonts w:hint="eastAsia" w:ascii="宋体" w:hAnsi="宋体" w:eastAsia="宋体" w:cs="宋体"/>
      <w:color w:val="FF0000"/>
      <w:sz w:val="22"/>
      <w:szCs w:val="22"/>
      <w:u w:val="single"/>
    </w:rPr>
  </w:style>
  <w:style w:type="character" w:customStyle="1" w:styleId="81">
    <w:name w:val="font201"/>
    <w:basedOn w:val="23"/>
    <w:qFormat/>
    <w:uiPriority w:val="0"/>
    <w:rPr>
      <w:rFonts w:hint="eastAsia" w:ascii="宋体" w:hAnsi="宋体" w:eastAsia="宋体" w:cs="宋体"/>
      <w:color w:val="FF0000"/>
      <w:sz w:val="22"/>
      <w:szCs w:val="2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mycomputer</Company>
  <Pages>22</Pages>
  <Words>1482</Words>
  <Characters>8448</Characters>
  <Lines>70</Lines>
  <Paragraphs>19</Paragraphs>
  <TotalTime>6</TotalTime>
  <ScaleCrop>false</ScaleCrop>
  <LinksUpToDate>false</LinksUpToDate>
  <CharactersWithSpaces>9911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2021-01-30T08:57:00Z</dcterms:created>
  <dc:creator>周小龙</dc:creator>
  <cp:lastModifiedBy>Lenovo</cp:lastModifiedBy>
  <cp:lastPrinted>2019-05-06T07:16:00Z</cp:lastPrinted>
  <dcterms:modified xsi:type="dcterms:W3CDTF">2024-01-15T03:05:27Z</dcterms:modified>
  <cp:revision>140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CE062A6250F34380BD24A960F6D31AAE</vt:lpwstr>
  </property>
</Properties>
</file>