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auto"/>
        <w:ind w:right="69" w:rightChars="33"/>
        <w:jc w:val="center"/>
        <w:rPr>
          <w:rFonts w:ascii="仿宋_GB2312" w:hAnsi="宋体" w:eastAsia="仿宋_GB2312"/>
          <w:b/>
          <w:bCs/>
          <w:kern w:val="0"/>
          <w:sz w:val="72"/>
          <w:szCs w:val="72"/>
        </w:rPr>
      </w:pPr>
    </w:p>
    <w:p>
      <w:pPr>
        <w:adjustRightInd w:val="0"/>
        <w:snapToGrid w:val="0"/>
        <w:spacing w:line="360" w:lineRule="auto"/>
        <w:jc w:val="center"/>
        <w:rPr>
          <w:rFonts w:hint="eastAsia" w:ascii="方正小标宋简体" w:hAnsi="宋体" w:eastAsia="方正小标宋简体"/>
          <w:b/>
          <w:bCs/>
          <w:kern w:val="0"/>
          <w:sz w:val="52"/>
          <w:szCs w:val="52"/>
        </w:rPr>
      </w:pPr>
      <w:r>
        <w:rPr>
          <w:rFonts w:hint="eastAsia" w:ascii="方正小标宋简体" w:hAnsi="宋体" w:eastAsia="方正小标宋简体"/>
          <w:b/>
          <w:bCs/>
          <w:kern w:val="0"/>
          <w:sz w:val="52"/>
          <w:szCs w:val="52"/>
        </w:rPr>
        <w:t>茂名市人民医院虚拟化智能管控</w:t>
      </w:r>
    </w:p>
    <w:p>
      <w:pPr>
        <w:adjustRightInd w:val="0"/>
        <w:snapToGrid w:val="0"/>
        <w:spacing w:line="360" w:lineRule="auto"/>
        <w:jc w:val="center"/>
        <w:rPr>
          <w:rFonts w:ascii="楷体" w:hAnsi="楷体" w:eastAsia="楷体" w:cs="楷体"/>
          <w:b/>
          <w:kern w:val="0"/>
          <w:sz w:val="32"/>
          <w:szCs w:val="32"/>
        </w:rPr>
      </w:pPr>
      <w:r>
        <w:rPr>
          <w:rFonts w:hint="eastAsia" w:ascii="方正小标宋简体" w:hAnsi="宋体" w:eastAsia="方正小标宋简体"/>
          <w:b/>
          <w:bCs/>
          <w:kern w:val="0"/>
          <w:sz w:val="52"/>
          <w:szCs w:val="52"/>
        </w:rPr>
        <w:t>平台建设项目</w:t>
      </w:r>
    </w:p>
    <w:p>
      <w:pPr>
        <w:adjustRightInd w:val="0"/>
        <w:snapToGrid w:val="0"/>
        <w:spacing w:line="360" w:lineRule="auto"/>
        <w:jc w:val="center"/>
        <w:rPr>
          <w:rFonts w:ascii="仿宋_GB2312" w:hAnsi="宋体" w:eastAsia="仿宋_GB2312"/>
          <w:b/>
          <w:bCs/>
          <w:spacing w:val="20"/>
          <w:sz w:val="52"/>
          <w:szCs w:val="52"/>
        </w:rPr>
      </w:pPr>
    </w:p>
    <w:p>
      <w:pPr>
        <w:adjustRightInd w:val="0"/>
        <w:snapToGrid w:val="0"/>
        <w:spacing w:line="360" w:lineRule="auto"/>
        <w:jc w:val="center"/>
        <w:rPr>
          <w:rFonts w:hint="eastAsia"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需</w:t>
      </w:r>
    </w:p>
    <w:p>
      <w:pPr>
        <w:adjustRightInd w:val="0"/>
        <w:snapToGrid w:val="0"/>
        <w:spacing w:line="360" w:lineRule="auto"/>
        <w:jc w:val="center"/>
        <w:rPr>
          <w:rFonts w:hint="default" w:ascii="仿宋_GB2312" w:hAnsi="宋体" w:eastAsia="仿宋_GB2312"/>
          <w:b/>
          <w:bCs/>
          <w:spacing w:val="20"/>
          <w:sz w:val="52"/>
          <w:szCs w:val="52"/>
          <w:lang w:val="en-US" w:eastAsia="zh-CN"/>
        </w:rPr>
      </w:pPr>
      <w:r>
        <w:rPr>
          <w:rFonts w:hint="eastAsia" w:ascii="仿宋_GB2312" w:hAnsi="宋体" w:eastAsia="仿宋_GB2312"/>
          <w:b/>
          <w:bCs/>
          <w:spacing w:val="20"/>
          <w:sz w:val="52"/>
          <w:szCs w:val="52"/>
          <w:lang w:val="en-US" w:eastAsia="zh-CN"/>
        </w:rPr>
        <w:t>求</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征</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集</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文</w:t>
      </w:r>
    </w:p>
    <w:p>
      <w:pPr>
        <w:adjustRightInd w:val="0"/>
        <w:snapToGrid w:val="0"/>
        <w:spacing w:line="360" w:lineRule="auto"/>
        <w:jc w:val="center"/>
        <w:rPr>
          <w:rFonts w:ascii="仿宋_GB2312" w:hAnsi="宋体" w:eastAsia="仿宋_GB2312"/>
          <w:b/>
          <w:bCs/>
          <w:spacing w:val="20"/>
          <w:sz w:val="52"/>
          <w:szCs w:val="52"/>
        </w:rPr>
      </w:pPr>
      <w:r>
        <w:rPr>
          <w:rFonts w:hint="eastAsia" w:ascii="仿宋_GB2312" w:hAnsi="宋体" w:eastAsia="仿宋_GB2312"/>
          <w:b/>
          <w:bCs/>
          <w:spacing w:val="20"/>
          <w:sz w:val="52"/>
          <w:szCs w:val="52"/>
        </w:rPr>
        <w:t>件</w:t>
      </w:r>
    </w:p>
    <w:p>
      <w:pPr>
        <w:adjustRightInd w:val="0"/>
        <w:snapToGrid w:val="0"/>
        <w:spacing w:line="360" w:lineRule="auto"/>
        <w:jc w:val="center"/>
        <w:rPr>
          <w:rFonts w:ascii="仿宋_GB2312" w:hAnsi="宋体" w:eastAsia="仿宋_GB2312"/>
          <w:b/>
          <w:bCs/>
          <w:spacing w:val="20"/>
          <w:sz w:val="52"/>
          <w:szCs w:val="52"/>
        </w:rPr>
      </w:pPr>
    </w:p>
    <w:p>
      <w:pPr>
        <w:spacing w:line="360" w:lineRule="auto"/>
        <w:jc w:val="center"/>
        <w:rPr>
          <w:rFonts w:ascii="仿宋" w:hAnsi="仿宋" w:eastAsia="仿宋"/>
          <w:b/>
          <w:bCs/>
          <w:kern w:val="13"/>
          <w:sz w:val="36"/>
          <w:szCs w:val="36"/>
        </w:rPr>
      </w:pPr>
      <w:r>
        <w:rPr>
          <w:rFonts w:hint="eastAsia" w:ascii="仿宋" w:hAnsi="仿宋" w:eastAsia="仿宋"/>
          <w:b/>
          <w:bCs/>
          <w:kern w:val="13"/>
          <w:sz w:val="36"/>
          <w:szCs w:val="36"/>
        </w:rPr>
        <w:t>茂名市人民医院</w:t>
      </w:r>
    </w:p>
    <w:p>
      <w:pPr>
        <w:pStyle w:val="11"/>
        <w:tabs>
          <w:tab w:val="left" w:pos="1260"/>
        </w:tabs>
        <w:spacing w:line="680" w:lineRule="auto"/>
        <w:ind w:firstLine="0" w:firstLineChars="0"/>
        <w:jc w:val="center"/>
        <w:rPr>
          <w:rFonts w:ascii="仿宋" w:hAnsi="仿宋" w:eastAsia="仿宋" w:cs="仿宋"/>
          <w:b/>
          <w:w w:val="110"/>
          <w:sz w:val="36"/>
          <w:szCs w:val="36"/>
        </w:rPr>
      </w:pPr>
      <w:r>
        <w:rPr>
          <w:rFonts w:hint="eastAsia" w:ascii="仿宋" w:hAnsi="仿宋" w:eastAsia="仿宋" w:cs="仿宋"/>
          <w:b/>
          <w:w w:val="110"/>
          <w:sz w:val="36"/>
          <w:szCs w:val="36"/>
        </w:rPr>
        <w:t>202</w:t>
      </w:r>
      <w:r>
        <w:rPr>
          <w:rFonts w:hint="eastAsia" w:ascii="仿宋" w:hAnsi="仿宋" w:eastAsia="仿宋" w:cs="仿宋"/>
          <w:b/>
          <w:w w:val="110"/>
          <w:sz w:val="36"/>
          <w:szCs w:val="36"/>
          <w:lang w:val="en-US" w:eastAsia="zh-CN"/>
        </w:rPr>
        <w:t>3</w:t>
      </w:r>
      <w:r>
        <w:rPr>
          <w:rFonts w:hint="eastAsia" w:ascii="仿宋" w:hAnsi="仿宋" w:eastAsia="仿宋" w:cs="仿宋"/>
          <w:b/>
          <w:w w:val="110"/>
          <w:sz w:val="36"/>
          <w:szCs w:val="36"/>
        </w:rPr>
        <w:t>年</w:t>
      </w:r>
      <w:r>
        <w:rPr>
          <w:rFonts w:ascii="仿宋" w:hAnsi="仿宋" w:eastAsia="仿宋" w:cs="仿宋"/>
          <w:b/>
          <w:w w:val="110"/>
          <w:sz w:val="36"/>
          <w:szCs w:val="36"/>
        </w:rPr>
        <w:t>1</w:t>
      </w:r>
      <w:r>
        <w:rPr>
          <w:rFonts w:hint="eastAsia" w:ascii="仿宋" w:hAnsi="仿宋" w:eastAsia="仿宋" w:cs="仿宋"/>
          <w:b/>
          <w:w w:val="110"/>
          <w:sz w:val="36"/>
          <w:szCs w:val="36"/>
          <w:lang w:val="en-US" w:eastAsia="zh-CN"/>
        </w:rPr>
        <w:t>2</w:t>
      </w:r>
      <w:r>
        <w:rPr>
          <w:rFonts w:hint="eastAsia" w:ascii="仿宋" w:hAnsi="仿宋" w:eastAsia="仿宋" w:cs="仿宋"/>
          <w:b/>
          <w:w w:val="110"/>
          <w:sz w:val="36"/>
          <w:szCs w:val="36"/>
        </w:rPr>
        <w:t>月</w:t>
      </w:r>
    </w:p>
    <w:p>
      <w:pPr>
        <w:jc w:val="center"/>
        <w:rPr>
          <w:rFonts w:ascii="宋体" w:hAnsi="宋体" w:cs="宋体"/>
          <w:color w:val="000000"/>
          <w:kern w:val="0"/>
          <w:sz w:val="28"/>
          <w:szCs w:val="28"/>
        </w:rPr>
      </w:pPr>
      <w:r>
        <w:rPr>
          <w:rFonts w:ascii="宋体" w:hAnsi="宋体" w:cs="仿宋"/>
          <w:b/>
          <w:spacing w:val="100"/>
          <w:w w:val="110"/>
          <w:kern w:val="0"/>
          <w:sz w:val="44"/>
          <w:szCs w:val="44"/>
        </w:rPr>
        <w:br w:type="page"/>
      </w:r>
      <w:r>
        <w:rPr>
          <w:rFonts w:ascii="宋体" w:hAnsi="宋体" w:cs="宋体"/>
          <w:color w:val="000000"/>
          <w:kern w:val="0"/>
          <w:sz w:val="28"/>
        </w:rPr>
        <w:t>第一部分邀请函</w:t>
      </w:r>
    </w:p>
    <w:p>
      <w:pPr>
        <w:spacing w:line="360" w:lineRule="auto"/>
        <w:ind w:firstLine="440" w:firstLineChars="200"/>
        <w:rPr>
          <w:rFonts w:ascii="宋体" w:hAnsi="宋体" w:cs="宋体"/>
          <w:color w:val="000000"/>
          <w:kern w:val="0"/>
          <w:sz w:val="22"/>
        </w:rPr>
      </w:pPr>
      <w:r>
        <w:rPr>
          <w:rFonts w:hint="eastAsia" w:ascii="宋体" w:hAnsi="宋体" w:cs="宋体"/>
          <w:color w:val="000000"/>
          <w:kern w:val="0"/>
          <w:sz w:val="22"/>
        </w:rPr>
        <w:t>我院</w:t>
      </w:r>
      <w:r>
        <w:rPr>
          <w:rFonts w:hint="eastAsia" w:ascii="宋体" w:hAnsi="宋体" w:cs="宋体"/>
          <w:color w:val="000000"/>
          <w:kern w:val="0"/>
          <w:sz w:val="22"/>
          <w:lang w:val="en-US" w:eastAsia="zh-CN"/>
        </w:rPr>
        <w:t>现</w:t>
      </w:r>
      <w:r>
        <w:rPr>
          <w:rFonts w:hint="eastAsia" w:ascii="宋体" w:hAnsi="宋体" w:cs="宋体"/>
          <w:color w:val="000000"/>
          <w:kern w:val="0"/>
          <w:sz w:val="22"/>
        </w:rPr>
        <w:t>对</w:t>
      </w:r>
      <w:r>
        <w:rPr>
          <w:rFonts w:hint="eastAsia" w:ascii="宋体" w:hAnsi="宋体" w:cs="宋体"/>
          <w:b/>
          <w:color w:val="000000"/>
          <w:kern w:val="0"/>
          <w:sz w:val="22"/>
        </w:rPr>
        <w:t>茂名市人民医院虚拟化智能管控平台建设项目</w:t>
      </w:r>
      <w:r>
        <w:rPr>
          <w:rFonts w:ascii="宋体" w:hAnsi="宋体" w:cs="宋体"/>
          <w:color w:val="000000"/>
          <w:kern w:val="0"/>
          <w:sz w:val="22"/>
        </w:rPr>
        <w:t>进行</w:t>
      </w:r>
      <w:r>
        <w:rPr>
          <w:rFonts w:hint="eastAsia" w:ascii="宋体" w:hAnsi="宋体" w:cs="宋体"/>
          <w:color w:val="000000"/>
          <w:kern w:val="0"/>
          <w:sz w:val="22"/>
          <w:lang w:val="en-US" w:eastAsia="zh-CN"/>
        </w:rPr>
        <w:t>需求征集</w:t>
      </w:r>
      <w:r>
        <w:rPr>
          <w:rFonts w:ascii="宋体" w:hAnsi="宋体" w:cs="宋体"/>
          <w:color w:val="000000"/>
          <w:kern w:val="0"/>
          <w:sz w:val="22"/>
        </w:rPr>
        <w:t>，欢迎符合资格条件的供应商参加。</w:t>
      </w:r>
    </w:p>
    <w:p>
      <w:pPr>
        <w:numPr>
          <w:ilvl w:val="0"/>
          <w:numId w:val="3"/>
        </w:numPr>
        <w:spacing w:line="360" w:lineRule="auto"/>
        <w:rPr>
          <w:rFonts w:hint="eastAsia" w:ascii="宋体" w:hAnsi="宋体" w:cs="宋体"/>
          <w:b/>
          <w:color w:val="000000"/>
          <w:kern w:val="0"/>
          <w:sz w:val="22"/>
        </w:rPr>
      </w:pPr>
      <w:r>
        <w:rPr>
          <w:rFonts w:ascii="宋体" w:hAnsi="宋体" w:cs="宋体"/>
          <w:b/>
          <w:bCs/>
          <w:color w:val="000000"/>
          <w:kern w:val="0"/>
          <w:sz w:val="22"/>
        </w:rPr>
        <w:t>项目名称：</w:t>
      </w:r>
      <w:r>
        <w:rPr>
          <w:rFonts w:hint="eastAsia" w:ascii="宋体" w:hAnsi="宋体" w:cs="宋体"/>
          <w:b/>
          <w:color w:val="000000"/>
          <w:kern w:val="0"/>
          <w:sz w:val="22"/>
        </w:rPr>
        <w:t>茂名市人民医院虚拟化智能管控平台建设项目</w:t>
      </w:r>
    </w:p>
    <w:p>
      <w:pPr>
        <w:numPr>
          <w:ilvl w:val="0"/>
          <w:numId w:val="0"/>
        </w:num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二</w:t>
      </w:r>
      <w:r>
        <w:rPr>
          <w:rFonts w:ascii="宋体" w:hAnsi="宋体" w:cs="宋体"/>
          <w:b/>
          <w:bCs/>
          <w:color w:val="000000"/>
          <w:kern w:val="0"/>
          <w:sz w:val="22"/>
        </w:rPr>
        <w:t>、项目内容及需求： (采购项目技术要求)</w:t>
      </w:r>
    </w:p>
    <w:p>
      <w:pPr>
        <w:spacing w:line="360" w:lineRule="auto"/>
        <w:rPr>
          <w:rFonts w:ascii="宋体" w:hAnsi="宋体" w:cs="宋体"/>
          <w:color w:val="000000"/>
          <w:kern w:val="0"/>
          <w:sz w:val="22"/>
        </w:rPr>
      </w:pPr>
      <w:r>
        <w:rPr>
          <w:rFonts w:ascii="宋体" w:hAnsi="宋体" w:cs="宋体"/>
          <w:color w:val="000000"/>
          <w:kern w:val="0"/>
          <w:sz w:val="22"/>
        </w:rPr>
        <w:t>1</w:t>
      </w:r>
      <w:r>
        <w:rPr>
          <w:rFonts w:hint="eastAsia" w:ascii="宋体" w:hAnsi="宋体" w:cs="宋体"/>
          <w:color w:val="000000"/>
          <w:kern w:val="0"/>
          <w:sz w:val="22"/>
        </w:rPr>
        <w:t>.</w:t>
      </w:r>
      <w:r>
        <w:rPr>
          <w:rFonts w:ascii="宋体" w:hAnsi="宋体" w:cs="宋体"/>
          <w:color w:val="000000"/>
          <w:kern w:val="0"/>
          <w:sz w:val="22"/>
        </w:rPr>
        <w:t>内容： 具体要求详见用户需求书；</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2</w:t>
      </w:r>
      <w:r>
        <w:rPr>
          <w:rFonts w:hint="eastAsia" w:ascii="宋体" w:hAnsi="宋体" w:cs="宋体"/>
          <w:color w:val="000000"/>
          <w:kern w:val="0"/>
          <w:sz w:val="22"/>
        </w:rPr>
        <w:t>.</w:t>
      </w:r>
      <w:r>
        <w:rPr>
          <w:rFonts w:hint="eastAsia" w:ascii="宋体" w:hAnsi="宋体" w:cs="宋体"/>
          <w:color w:val="000000"/>
          <w:kern w:val="0"/>
          <w:sz w:val="22"/>
          <w:lang w:val="en-US" w:eastAsia="zh-CN"/>
        </w:rPr>
        <w:t>项目</w:t>
      </w:r>
      <w:r>
        <w:rPr>
          <w:rFonts w:ascii="宋体" w:hAnsi="宋体" w:cs="宋体"/>
          <w:color w:val="000000"/>
          <w:kern w:val="0"/>
          <w:sz w:val="22"/>
        </w:rPr>
        <w:t>地点：</w:t>
      </w:r>
      <w:r>
        <w:rPr>
          <w:rFonts w:hint="eastAsia" w:ascii="宋体" w:hAnsi="宋体" w:cs="宋体"/>
          <w:color w:val="000000"/>
          <w:kern w:val="0"/>
          <w:sz w:val="22"/>
        </w:rPr>
        <w:t>茂名市人民</w:t>
      </w:r>
      <w:r>
        <w:rPr>
          <w:rFonts w:ascii="宋体" w:hAnsi="宋体" w:cs="宋体"/>
          <w:color w:val="000000"/>
          <w:kern w:val="0"/>
          <w:sz w:val="22"/>
        </w:rPr>
        <w:t>医院指定地点；</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3</w:t>
      </w:r>
      <w:r>
        <w:rPr>
          <w:rFonts w:hint="eastAsia" w:ascii="宋体" w:hAnsi="宋体" w:cs="宋体"/>
          <w:color w:val="000000"/>
          <w:kern w:val="0"/>
          <w:sz w:val="22"/>
        </w:rPr>
        <w:t>.</w:t>
      </w:r>
      <w:r>
        <w:rPr>
          <w:rFonts w:ascii="宋体" w:hAnsi="宋体" w:cs="宋体"/>
          <w:color w:val="000000"/>
          <w:kern w:val="0"/>
          <w:sz w:val="22"/>
        </w:rPr>
        <w:t>本项目不允许提交备选方案；</w:t>
      </w:r>
    </w:p>
    <w:p>
      <w:pPr>
        <w:spacing w:line="360" w:lineRule="auto"/>
        <w:rPr>
          <w:rFonts w:ascii="宋体" w:hAnsi="宋体" w:cs="宋体"/>
          <w:color w:val="000000"/>
          <w:kern w:val="0"/>
          <w:sz w:val="22"/>
        </w:rPr>
      </w:pPr>
      <w:r>
        <w:rPr>
          <w:rFonts w:hint="eastAsia" w:ascii="宋体" w:hAnsi="宋体" w:cs="宋体"/>
          <w:color w:val="000000"/>
          <w:kern w:val="0"/>
          <w:sz w:val="22"/>
          <w:lang w:val="en-US" w:eastAsia="zh-CN"/>
        </w:rPr>
        <w:t>4</w:t>
      </w:r>
      <w:r>
        <w:rPr>
          <w:rFonts w:hint="eastAsia" w:ascii="宋体" w:hAnsi="宋体" w:cs="宋体"/>
          <w:color w:val="000000"/>
          <w:kern w:val="0"/>
          <w:sz w:val="22"/>
        </w:rPr>
        <w:t>.本项目不接受联合体；</w:t>
      </w:r>
    </w:p>
    <w:p>
      <w:pPr>
        <w:spacing w:line="360" w:lineRule="auto"/>
        <w:rPr>
          <w:rFonts w:ascii="宋体" w:hAnsi="宋体" w:cs="宋体"/>
          <w:b/>
          <w:bCs/>
          <w:color w:val="000000"/>
          <w:kern w:val="0"/>
          <w:sz w:val="22"/>
        </w:rPr>
      </w:pPr>
      <w:r>
        <w:rPr>
          <w:rFonts w:hint="eastAsia" w:ascii="宋体" w:hAnsi="宋体" w:cs="宋体"/>
          <w:b/>
          <w:bCs/>
          <w:color w:val="000000"/>
          <w:kern w:val="0"/>
          <w:sz w:val="22"/>
          <w:lang w:val="en-US" w:eastAsia="zh-CN"/>
        </w:rPr>
        <w:t>三</w:t>
      </w:r>
      <w:r>
        <w:rPr>
          <w:rFonts w:ascii="宋体" w:hAnsi="宋体" w:cs="宋体"/>
          <w:b/>
          <w:bCs/>
          <w:color w:val="000000"/>
          <w:kern w:val="0"/>
          <w:sz w:val="22"/>
        </w:rPr>
        <w:t>、供应商资格</w:t>
      </w:r>
    </w:p>
    <w:p>
      <w:pPr>
        <w:spacing w:line="360" w:lineRule="auto"/>
        <w:rPr>
          <w:rFonts w:ascii="宋体" w:hAnsi="宋体" w:cs="宋体"/>
          <w:color w:val="000000"/>
          <w:kern w:val="0"/>
          <w:sz w:val="22"/>
        </w:rPr>
      </w:pPr>
      <w:r>
        <w:rPr>
          <w:rFonts w:hint="eastAsia" w:ascii="宋体" w:hAnsi="宋体" w:cs="宋体"/>
          <w:color w:val="000000"/>
          <w:kern w:val="0"/>
          <w:sz w:val="22"/>
        </w:rPr>
        <w:t>1</w:t>
      </w:r>
      <w:r>
        <w:rPr>
          <w:rFonts w:ascii="宋体" w:hAnsi="宋体" w:cs="宋体"/>
          <w:color w:val="000000"/>
          <w:kern w:val="0"/>
          <w:sz w:val="22"/>
        </w:rPr>
        <w:t>.供应商必须是具有独立承担民事责任能力的在中华人民共和国境内注册的法人或其他组织，投标时提交有效的营业执照（或事业法人登记证等相关证明）副本复印件。</w:t>
      </w:r>
    </w:p>
    <w:p>
      <w:pPr>
        <w:spacing w:line="360" w:lineRule="auto"/>
        <w:rPr>
          <w:rFonts w:ascii="宋体" w:hAnsi="宋体" w:cs="宋体"/>
          <w:color w:val="000000"/>
          <w:kern w:val="0"/>
          <w:sz w:val="22"/>
        </w:rPr>
      </w:pPr>
      <w:r>
        <w:rPr>
          <w:rFonts w:hint="eastAsia" w:ascii="宋体" w:hAnsi="宋体" w:cs="宋体"/>
          <w:color w:val="000000"/>
          <w:kern w:val="0"/>
          <w:sz w:val="22"/>
        </w:rPr>
        <w:t>2</w:t>
      </w:r>
      <w:r>
        <w:rPr>
          <w:rFonts w:ascii="宋体" w:hAnsi="宋体" w:cs="宋体"/>
          <w:color w:val="000000"/>
          <w:kern w:val="0"/>
          <w:sz w:val="22"/>
        </w:rPr>
        <w:t>.</w:t>
      </w:r>
      <w:r>
        <w:rPr>
          <w:rFonts w:hint="eastAsia" w:ascii="宋体" w:hAnsi="宋体" w:cs="宋体"/>
          <w:color w:val="000000"/>
          <w:kern w:val="0"/>
          <w:sz w:val="22"/>
        </w:rPr>
        <w:t>具有履行合同所必需的设备和专业技术能力</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3.</w:t>
      </w:r>
      <w:r>
        <w:rPr>
          <w:rFonts w:hint="eastAsia" w:ascii="宋体" w:hAnsi="宋体" w:cs="宋体"/>
          <w:color w:val="000000"/>
          <w:kern w:val="0"/>
          <w:sz w:val="22"/>
        </w:rPr>
        <w:t>参加政府采购活动前三年内，在经营活动中没有重大违法记录</w:t>
      </w:r>
      <w:r>
        <w:rPr>
          <w:rFonts w:hint="eastAsia" w:ascii="宋体" w:hAnsi="宋体" w:cs="宋体"/>
          <w:b/>
          <w:color w:val="000000"/>
          <w:kern w:val="0"/>
          <w:sz w:val="22"/>
          <w:u w:val="single"/>
        </w:rPr>
        <w:t>（提供声明函，格式自拟）</w:t>
      </w:r>
      <w:r>
        <w:rPr>
          <w:rFonts w:hint="eastAsia" w:ascii="宋体" w:hAnsi="宋体" w:cs="宋体"/>
          <w:color w:val="000000"/>
          <w:kern w:val="0"/>
          <w:sz w:val="22"/>
        </w:rPr>
        <w:t>；</w:t>
      </w:r>
    </w:p>
    <w:p>
      <w:pPr>
        <w:spacing w:line="360" w:lineRule="auto"/>
        <w:rPr>
          <w:rFonts w:ascii="宋体" w:hAnsi="宋体" w:cs="宋体"/>
          <w:color w:val="000000"/>
          <w:kern w:val="0"/>
          <w:sz w:val="22"/>
        </w:rPr>
      </w:pPr>
      <w:r>
        <w:rPr>
          <w:rFonts w:ascii="宋体" w:hAnsi="宋体" w:cs="宋体"/>
          <w:color w:val="000000"/>
          <w:kern w:val="0"/>
          <w:sz w:val="22"/>
        </w:rPr>
        <w:t>4.</w:t>
      </w:r>
      <w:r>
        <w:rPr>
          <w:rFonts w:hint="eastAsia" w:ascii="宋体" w:hAnsi="宋体" w:cs="宋体"/>
          <w:color w:val="000000"/>
          <w:kern w:val="0"/>
          <w:sz w:val="22"/>
        </w:rPr>
        <w:t>未被列入“信用中国”网站</w:t>
      </w:r>
      <w:r>
        <w:rPr>
          <w:rFonts w:ascii="宋体" w:hAnsi="宋体" w:cs="宋体"/>
          <w:color w:val="000000"/>
          <w:kern w:val="0"/>
          <w:sz w:val="22"/>
          <w:u w:val="single"/>
        </w:rPr>
        <w:t>(www.creditchina.gov.cn)</w:t>
      </w:r>
      <w:r>
        <w:rPr>
          <w:rFonts w:hint="eastAsia" w:ascii="宋体" w:hAnsi="宋体" w:cs="宋体"/>
          <w:color w:val="000000"/>
          <w:kern w:val="0"/>
          <w:sz w:val="22"/>
        </w:rPr>
        <w:t>“记录失信被执行人或重大税收违法案件当事人名单或政府采购严重违法失信行为”记录名单；</w:t>
      </w:r>
      <w:r>
        <w:rPr>
          <w:rFonts w:ascii="宋体" w:hAnsi="宋体" w:cs="宋体"/>
          <w:color w:val="000000"/>
          <w:kern w:val="0"/>
          <w:sz w:val="22"/>
        </w:rPr>
        <w:t xml:space="preserve"> </w:t>
      </w:r>
    </w:p>
    <w:p>
      <w:pPr>
        <w:spacing w:line="360" w:lineRule="auto"/>
        <w:rPr>
          <w:rFonts w:ascii="宋体" w:hAnsi="宋体" w:cs="宋体"/>
          <w:color w:val="000000"/>
          <w:kern w:val="0"/>
          <w:sz w:val="22"/>
        </w:rPr>
      </w:pPr>
      <w:r>
        <w:rPr>
          <w:rFonts w:ascii="宋体" w:hAnsi="宋体" w:cs="宋体"/>
          <w:bCs/>
          <w:color w:val="000000"/>
          <w:kern w:val="0"/>
          <w:sz w:val="22"/>
        </w:rPr>
        <w:t>5.</w:t>
      </w:r>
      <w:r>
        <w:rPr>
          <w:rFonts w:hint="eastAsia" w:ascii="宋体" w:hAnsi="宋体" w:cs="宋体"/>
          <w:bCs/>
          <w:color w:val="000000"/>
          <w:kern w:val="0"/>
          <w:sz w:val="22"/>
        </w:rPr>
        <w:t>本项目不接受联合体投标。</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lang w:val="en-US" w:eastAsia="zh-CN"/>
        </w:rPr>
        <w:t>四</w:t>
      </w:r>
      <w:r>
        <w:rPr>
          <w:rFonts w:ascii="宋体" w:hAnsi="宋体" w:cs="宋体"/>
          <w:b/>
          <w:bCs/>
          <w:color w:val="000000"/>
          <w:kern w:val="0"/>
          <w:sz w:val="22"/>
        </w:rPr>
        <w:t>、</w:t>
      </w:r>
      <w:r>
        <w:rPr>
          <w:rFonts w:hint="eastAsia" w:ascii="宋体" w:hAnsi="宋体" w:cs="宋体"/>
          <w:b/>
          <w:bCs/>
          <w:color w:val="000000"/>
          <w:kern w:val="0"/>
          <w:sz w:val="22"/>
        </w:rPr>
        <w:t>纸质资料接收要求</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 响应文件（样板详见需求征集文件）</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2. 提交时间：2023年1</w:t>
      </w:r>
      <w:r>
        <w:rPr>
          <w:rFonts w:hint="eastAsia" w:ascii="宋体" w:hAnsi="宋体" w:cs="宋体"/>
          <w:b w:val="0"/>
          <w:bCs w:val="0"/>
          <w:color w:val="000000"/>
          <w:kern w:val="0"/>
          <w:sz w:val="22"/>
          <w:lang w:val="en-US" w:eastAsia="zh-CN"/>
        </w:rPr>
        <w:t>2</w:t>
      </w:r>
      <w:r>
        <w:rPr>
          <w:rFonts w:hint="eastAsia" w:ascii="宋体" w:hAnsi="宋体" w:cs="宋体"/>
          <w:b w:val="0"/>
          <w:bCs w:val="0"/>
          <w:color w:val="000000"/>
          <w:kern w:val="0"/>
          <w:sz w:val="22"/>
        </w:rPr>
        <w:t>月</w:t>
      </w:r>
      <w:r>
        <w:rPr>
          <w:rFonts w:hint="eastAsia" w:ascii="宋体" w:hAnsi="宋体" w:cs="宋体"/>
          <w:b w:val="0"/>
          <w:bCs w:val="0"/>
          <w:color w:val="000000"/>
          <w:kern w:val="0"/>
          <w:sz w:val="22"/>
          <w:lang w:val="en-US" w:eastAsia="zh-CN"/>
        </w:rPr>
        <w:t>18</w:t>
      </w:r>
      <w:bookmarkStart w:id="10" w:name="_GoBack"/>
      <w:bookmarkEnd w:id="10"/>
      <w:r>
        <w:rPr>
          <w:rFonts w:hint="eastAsia" w:ascii="宋体" w:hAnsi="宋体" w:cs="宋体"/>
          <w:b w:val="0"/>
          <w:bCs w:val="0"/>
          <w:color w:val="000000"/>
          <w:kern w:val="0"/>
          <w:sz w:val="22"/>
        </w:rPr>
        <w:t>日下午17:30前。</w:t>
      </w:r>
    </w:p>
    <w:p>
      <w:pPr>
        <w:spacing w:line="360" w:lineRule="auto"/>
        <w:rPr>
          <w:rFonts w:hint="eastAsia" w:ascii="宋体" w:hAnsi="宋体" w:cs="宋体"/>
          <w:b w:val="0"/>
          <w:bCs w:val="0"/>
          <w:color w:val="000000"/>
          <w:kern w:val="0"/>
          <w:sz w:val="22"/>
          <w:lang w:eastAsia="zh-CN"/>
        </w:rPr>
      </w:pPr>
      <w:r>
        <w:rPr>
          <w:rFonts w:hint="eastAsia" w:ascii="宋体" w:hAnsi="宋体" w:cs="宋体"/>
          <w:b w:val="0"/>
          <w:bCs w:val="0"/>
          <w:color w:val="000000"/>
          <w:kern w:val="0"/>
          <w:sz w:val="22"/>
        </w:rPr>
        <w:t>3. 纸质资料（盖有公章）接收地点：茂名市为民路101号茂名市人民医院5号楼2楼招标采购办公室（</w:t>
      </w:r>
      <w:r>
        <w:rPr>
          <w:rFonts w:hint="eastAsia" w:ascii="宋体" w:hAnsi="宋体" w:cs="宋体"/>
          <w:b w:val="0"/>
          <w:bCs w:val="0"/>
          <w:color w:val="000000"/>
          <w:kern w:val="0"/>
          <w:sz w:val="22"/>
          <w:lang w:val="en-US" w:eastAsia="zh-CN"/>
        </w:rPr>
        <w:t>同时需提交一份可编辑的</w:t>
      </w:r>
      <w:r>
        <w:rPr>
          <w:rFonts w:hint="eastAsia" w:ascii="宋体" w:hAnsi="宋体" w:cs="宋体"/>
          <w:b w:val="0"/>
          <w:bCs w:val="0"/>
          <w:color w:val="000000"/>
          <w:kern w:val="0"/>
          <w:sz w:val="22"/>
        </w:rPr>
        <w:t>电子版资料，按指定时间发送到指定邮箱</w:t>
      </w:r>
      <w:r>
        <w:rPr>
          <w:rFonts w:hint="eastAsia" w:ascii="宋体" w:hAnsi="宋体" w:cs="宋体"/>
          <w:b w:val="0"/>
          <w:bCs w:val="0"/>
          <w:color w:val="000000"/>
          <w:kern w:val="0"/>
          <w:sz w:val="22"/>
          <w:lang w:eastAsia="zh-CN"/>
        </w:rPr>
        <w:t>，</w:t>
      </w:r>
      <w:r>
        <w:rPr>
          <w:rFonts w:hint="eastAsia" w:ascii="宋体" w:hAnsi="宋体" w:cs="宋体"/>
          <w:b w:val="0"/>
          <w:bCs w:val="0"/>
          <w:color w:val="000000"/>
          <w:kern w:val="0"/>
          <w:sz w:val="22"/>
          <w:lang w:val="en-US" w:eastAsia="zh-CN"/>
        </w:rPr>
        <w:t>以盖章版纸质资料为准</w:t>
      </w:r>
      <w:r>
        <w:rPr>
          <w:rFonts w:hint="eastAsia" w:ascii="宋体" w:hAnsi="宋体" w:cs="宋体"/>
          <w:b w:val="0"/>
          <w:bCs w:val="0"/>
          <w:color w:val="000000"/>
          <w:kern w:val="0"/>
          <w:sz w:val="22"/>
        </w:rPr>
        <w:t>）</w:t>
      </w:r>
      <w:r>
        <w:rPr>
          <w:rFonts w:hint="eastAsia" w:ascii="宋体" w:hAnsi="宋体" w:cs="宋体"/>
          <w:b w:val="0"/>
          <w:bCs w:val="0"/>
          <w:color w:val="000000"/>
          <w:kern w:val="0"/>
          <w:sz w:val="22"/>
          <w:lang w:eastAsia="zh-CN"/>
        </w:rPr>
        <w:t>。</w:t>
      </w:r>
    </w:p>
    <w:p>
      <w:pPr>
        <w:spacing w:line="360" w:lineRule="auto"/>
        <w:rPr>
          <w:rFonts w:hint="eastAsia" w:ascii="宋体" w:hAnsi="宋体" w:cs="宋体"/>
          <w:b w:val="0"/>
          <w:bCs w:val="0"/>
          <w:color w:val="000000"/>
          <w:kern w:val="0"/>
          <w:sz w:val="22"/>
          <w:lang w:val="en-US" w:eastAsia="zh-CN"/>
        </w:rPr>
      </w:pPr>
      <w:r>
        <w:rPr>
          <w:rFonts w:hint="eastAsia" w:ascii="宋体" w:hAnsi="宋体" w:cs="宋体"/>
          <w:b w:val="0"/>
          <w:bCs w:val="0"/>
          <w:color w:val="000000"/>
          <w:kern w:val="0"/>
          <w:sz w:val="22"/>
          <w:lang w:val="en-US" w:eastAsia="zh-CN"/>
        </w:rPr>
        <w:t>注：纸质版资料接受邮寄或现场递交。</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五、注意事项：</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1.各供应商必须严格按照要求进行报价，杜绝弄虚作假，胡乱报价，各供应商报价一经确认禁止更改。</w:t>
      </w:r>
    </w:p>
    <w:p>
      <w:pPr>
        <w:spacing w:line="360" w:lineRule="auto"/>
        <w:rPr>
          <w:rFonts w:hint="eastAsia" w:ascii="宋体" w:hAnsi="宋体" w:cs="宋体"/>
          <w:b/>
          <w:bCs/>
          <w:color w:val="000000"/>
          <w:kern w:val="0"/>
          <w:sz w:val="22"/>
        </w:rPr>
      </w:pPr>
      <w:r>
        <w:rPr>
          <w:rFonts w:hint="eastAsia" w:ascii="宋体" w:hAnsi="宋体" w:cs="宋体"/>
          <w:b w:val="0"/>
          <w:bCs w:val="0"/>
          <w:color w:val="000000"/>
          <w:kern w:val="0"/>
          <w:sz w:val="22"/>
        </w:rPr>
        <w:t>2. 项目严禁各供应商进行恶意竞争或其它违规行为，一经查实，将进入供应商黑名单。</w:t>
      </w:r>
    </w:p>
    <w:p>
      <w:pPr>
        <w:spacing w:line="360" w:lineRule="auto"/>
        <w:rPr>
          <w:rFonts w:hint="eastAsia" w:ascii="宋体" w:hAnsi="宋体" w:cs="宋体"/>
          <w:b/>
          <w:bCs/>
          <w:color w:val="000000"/>
          <w:kern w:val="0"/>
          <w:sz w:val="22"/>
        </w:rPr>
      </w:pPr>
      <w:r>
        <w:rPr>
          <w:rFonts w:hint="eastAsia" w:ascii="宋体" w:hAnsi="宋体" w:cs="宋体"/>
          <w:b/>
          <w:bCs/>
          <w:color w:val="000000"/>
          <w:kern w:val="0"/>
          <w:sz w:val="22"/>
        </w:rPr>
        <w:t>六、联系方式</w:t>
      </w:r>
    </w:p>
    <w:p>
      <w:pPr>
        <w:spacing w:line="360" w:lineRule="auto"/>
        <w:rPr>
          <w:rFonts w:hint="default" w:ascii="宋体" w:hAnsi="宋体" w:eastAsia="宋体" w:cs="宋体"/>
          <w:b w:val="0"/>
          <w:bCs w:val="0"/>
          <w:color w:val="000000"/>
          <w:kern w:val="0"/>
          <w:sz w:val="22"/>
          <w:lang w:val="en-US" w:eastAsia="zh-CN"/>
        </w:rPr>
      </w:pPr>
      <w:r>
        <w:rPr>
          <w:rFonts w:hint="eastAsia" w:ascii="宋体" w:hAnsi="宋体" w:cs="宋体"/>
          <w:b w:val="0"/>
          <w:bCs w:val="0"/>
          <w:color w:val="000000"/>
          <w:kern w:val="0"/>
          <w:sz w:val="22"/>
        </w:rPr>
        <w:t>联系人：</w:t>
      </w:r>
      <w:r>
        <w:rPr>
          <w:rFonts w:hint="eastAsia" w:ascii="宋体" w:hAnsi="宋体" w:cs="宋体"/>
          <w:b w:val="0"/>
          <w:bCs w:val="0"/>
          <w:color w:val="000000"/>
          <w:kern w:val="0"/>
          <w:sz w:val="22"/>
          <w:lang w:val="en-US" w:eastAsia="zh-CN"/>
        </w:rPr>
        <w:t>邵先生</w:t>
      </w:r>
    </w:p>
    <w:p>
      <w:pPr>
        <w:spacing w:line="360" w:lineRule="auto"/>
        <w:rPr>
          <w:rFonts w:hint="eastAsia" w:ascii="宋体" w:hAnsi="宋体" w:cs="宋体"/>
          <w:b w:val="0"/>
          <w:bCs w:val="0"/>
          <w:color w:val="000000"/>
          <w:kern w:val="0"/>
          <w:sz w:val="22"/>
        </w:rPr>
      </w:pPr>
      <w:r>
        <w:rPr>
          <w:rFonts w:hint="eastAsia" w:ascii="宋体" w:hAnsi="宋体" w:cs="宋体"/>
          <w:b w:val="0"/>
          <w:bCs w:val="0"/>
          <w:color w:val="000000"/>
          <w:kern w:val="0"/>
          <w:sz w:val="22"/>
        </w:rPr>
        <w:t>联系电话：0668-2922921、0668-2922306</w:t>
      </w:r>
    </w:p>
    <w:p>
      <w:pPr>
        <w:spacing w:line="360" w:lineRule="auto"/>
        <w:rPr>
          <w:rFonts w:ascii="宋体" w:hAnsi="宋体" w:cs="宋体"/>
          <w:b w:val="0"/>
          <w:bCs w:val="0"/>
          <w:color w:val="000000"/>
          <w:kern w:val="0"/>
          <w:sz w:val="22"/>
        </w:rPr>
      </w:pPr>
      <w:r>
        <w:rPr>
          <w:rFonts w:hint="eastAsia" w:ascii="宋体" w:hAnsi="宋体" w:cs="宋体"/>
          <w:b w:val="0"/>
          <w:bCs w:val="0"/>
          <w:color w:val="000000"/>
          <w:kern w:val="0"/>
          <w:sz w:val="22"/>
        </w:rPr>
        <w:t>邮箱：</w:t>
      </w:r>
      <w:r>
        <w:rPr>
          <w:rFonts w:hint="eastAsia" w:ascii="宋体" w:hAnsi="宋体" w:cs="宋体"/>
          <w:color w:val="000000"/>
          <w:kern w:val="0"/>
          <w:sz w:val="22"/>
          <w:lang w:val="en-US" w:eastAsia="zh-CN"/>
        </w:rPr>
        <w:t>mmsrmyyzbb</w:t>
      </w:r>
      <w:r>
        <w:rPr>
          <w:rFonts w:hint="eastAsia" w:ascii="宋体" w:hAnsi="宋体" w:cs="宋体"/>
          <w:color w:val="000000"/>
          <w:kern w:val="0"/>
          <w:sz w:val="22"/>
        </w:rPr>
        <w:t>@</w:t>
      </w:r>
      <w:r>
        <w:rPr>
          <w:rFonts w:hint="eastAsia" w:ascii="宋体" w:hAnsi="宋体" w:cs="宋体"/>
          <w:color w:val="000000"/>
          <w:kern w:val="0"/>
          <w:sz w:val="22"/>
          <w:lang w:val="en-US" w:eastAsia="zh-CN"/>
        </w:rPr>
        <w:t>163</w:t>
      </w:r>
      <w:r>
        <w:rPr>
          <w:rFonts w:hint="eastAsia" w:ascii="宋体" w:hAnsi="宋体" w:cs="宋体"/>
          <w:color w:val="000000"/>
          <w:kern w:val="0"/>
          <w:sz w:val="22"/>
        </w:rPr>
        <w:t>.com</w:t>
      </w:r>
    </w:p>
    <w:p>
      <w:pPr>
        <w:pStyle w:val="11"/>
        <w:tabs>
          <w:tab w:val="left" w:pos="1260"/>
        </w:tabs>
        <w:spacing w:line="360" w:lineRule="auto"/>
        <w:ind w:firstLine="0" w:firstLineChars="0"/>
        <w:jc w:val="center"/>
        <w:rPr>
          <w:rFonts w:hint="eastAsia" w:hAnsi="宋体"/>
          <w:lang w:val="en-US" w:eastAsia="zh-CN"/>
        </w:rPr>
      </w:pPr>
      <w:r>
        <w:rPr>
          <w:rFonts w:hint="eastAsia" w:hAnsi="宋体"/>
          <w:lang w:val="en-US" w:eastAsia="zh-CN"/>
        </w:rPr>
        <w:t xml:space="preserve"> </w:t>
      </w:r>
    </w:p>
    <w:p>
      <w:pPr>
        <w:pStyle w:val="11"/>
        <w:tabs>
          <w:tab w:val="left" w:pos="1260"/>
        </w:tabs>
        <w:spacing w:line="360" w:lineRule="auto"/>
        <w:ind w:firstLine="0" w:firstLineChars="0"/>
        <w:jc w:val="center"/>
        <w:rPr>
          <w:rFonts w:hint="eastAsia" w:hAnsi="宋体"/>
          <w:lang w:val="en-US" w:eastAsia="zh-CN"/>
        </w:rPr>
      </w:pPr>
    </w:p>
    <w:p>
      <w:pPr>
        <w:pStyle w:val="11"/>
        <w:tabs>
          <w:tab w:val="left" w:pos="1260"/>
        </w:tabs>
        <w:spacing w:line="360" w:lineRule="auto"/>
        <w:ind w:firstLine="0" w:firstLineChars="0"/>
        <w:jc w:val="center"/>
        <w:rPr>
          <w:rFonts w:hAnsi="宋体"/>
          <w:lang w:val="en-US"/>
        </w:rPr>
      </w:pPr>
      <w:r>
        <w:rPr>
          <w:rFonts w:hint="eastAsia" w:hAnsi="宋体"/>
          <w:lang w:val="en-US" w:eastAsia="zh-CN"/>
        </w:rPr>
        <w:t xml:space="preserve"> </w:t>
      </w:r>
      <w:r>
        <w:rPr>
          <w:rFonts w:hAnsi="宋体"/>
          <w:lang w:val="en-US" w:eastAsia="zh-CN"/>
        </w:rPr>
        <w:t xml:space="preserve">                                    </w:t>
      </w:r>
      <w:r>
        <w:rPr>
          <w:rFonts w:hint="eastAsia" w:hAnsi="宋体"/>
          <w:lang w:val="en-US"/>
        </w:rPr>
        <w:t>茂名市人民医院</w:t>
      </w:r>
    </w:p>
    <w:p>
      <w:pPr>
        <w:pStyle w:val="11"/>
        <w:tabs>
          <w:tab w:val="left" w:pos="1260"/>
        </w:tabs>
        <w:spacing w:line="360" w:lineRule="auto"/>
        <w:ind w:firstLine="0" w:firstLineChars="0"/>
        <w:jc w:val="center"/>
        <w:rPr>
          <w:rFonts w:hAnsi="宋体"/>
          <w:lang w:val="en-US"/>
        </w:rPr>
      </w:pPr>
      <w:r>
        <w:rPr>
          <w:rFonts w:hAnsi="宋体"/>
          <w:lang w:val="en-US"/>
        </w:rPr>
        <w:t xml:space="preserve">                                      202</w:t>
      </w:r>
      <w:r>
        <w:rPr>
          <w:rFonts w:hint="eastAsia" w:hAnsi="宋体"/>
          <w:lang w:val="en-US" w:eastAsia="zh-CN"/>
        </w:rPr>
        <w:t>3</w:t>
      </w:r>
      <w:r>
        <w:rPr>
          <w:rFonts w:hint="eastAsia" w:hAnsi="宋体"/>
          <w:lang w:val="en-US"/>
        </w:rPr>
        <w:t>年</w:t>
      </w:r>
      <w:r>
        <w:rPr>
          <w:rFonts w:hAnsi="宋体"/>
          <w:lang w:val="en-US"/>
        </w:rPr>
        <w:t>1</w:t>
      </w:r>
      <w:r>
        <w:rPr>
          <w:rFonts w:hint="eastAsia" w:hAnsi="宋体"/>
          <w:lang w:val="en-US" w:eastAsia="zh-CN"/>
        </w:rPr>
        <w:t>2</w:t>
      </w:r>
      <w:r>
        <w:rPr>
          <w:rFonts w:hint="eastAsia" w:hAnsi="宋体"/>
          <w:lang w:val="en-US"/>
        </w:rPr>
        <w:t>月</w:t>
      </w:r>
      <w:r>
        <w:rPr>
          <w:rFonts w:hint="eastAsia" w:hAnsi="宋体"/>
          <w:lang w:val="en-US" w:eastAsia="zh-CN"/>
        </w:rPr>
        <w:t>8</w:t>
      </w:r>
      <w:r>
        <w:rPr>
          <w:rFonts w:hint="eastAsia" w:hAnsi="宋体"/>
          <w:lang w:val="en-US"/>
        </w:rPr>
        <w:t>日</w:t>
      </w:r>
    </w:p>
    <w:p>
      <w:pPr>
        <w:pStyle w:val="11"/>
        <w:tabs>
          <w:tab w:val="left" w:pos="1260"/>
        </w:tabs>
        <w:spacing w:line="360" w:lineRule="auto"/>
        <w:ind w:firstLine="0" w:firstLineChars="0"/>
        <w:jc w:val="center"/>
        <w:rPr>
          <w:rFonts w:hAnsi="宋体" w:cs="仿宋"/>
          <w:b/>
          <w:spacing w:val="100"/>
          <w:w w:val="110"/>
          <w:sz w:val="44"/>
          <w:szCs w:val="44"/>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仿宋" w:hAnsi="仿宋" w:eastAsia="仿宋" w:cs="仿宋"/>
          <w:b/>
          <w:kern w:val="0"/>
          <w:sz w:val="32"/>
          <w:szCs w:val="32"/>
        </w:rPr>
      </w:pPr>
      <w:r>
        <w:rPr>
          <w:rFonts w:hint="eastAsia" w:ascii="仿宋" w:hAnsi="仿宋" w:eastAsia="仿宋" w:cs="仿宋"/>
          <w:b/>
          <w:kern w:val="0"/>
          <w:sz w:val="32"/>
          <w:szCs w:val="32"/>
        </w:rPr>
        <w:t>用户需求书</w:t>
      </w:r>
    </w:p>
    <w:p>
      <w:pPr>
        <w:spacing w:line="360" w:lineRule="auto"/>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《用户需求书》中标注有“★”号的条款必须实质性响应，需要逐条响应，负偏离（不满足要求）将导致投标无效。</w:t>
      </w:r>
    </w:p>
    <w:p>
      <w:pPr>
        <w:pStyle w:val="7"/>
        <w:numPr>
          <w:ilvl w:val="0"/>
          <w:numId w:val="0"/>
        </w:numPr>
        <w:ind w:left="630" w:leftChars="0"/>
        <w:outlineLvl w:val="0"/>
        <w:rPr>
          <w:rFonts w:ascii="仿宋" w:hAnsi="仿宋" w:eastAsia="仿宋" w:cs="宋体"/>
          <w:b/>
          <w:bCs/>
          <w:snapToGrid w:val="0"/>
          <w:color w:val="000000"/>
          <w:spacing w:val="-7"/>
          <w:kern w:val="0"/>
          <w:sz w:val="21"/>
          <w:szCs w:val="21"/>
        </w:rPr>
      </w:pPr>
      <w:r>
        <w:rPr>
          <w:rFonts w:hint="eastAsia" w:ascii="仿宋" w:hAnsi="仿宋" w:eastAsia="仿宋" w:cs="宋体"/>
          <w:b/>
          <w:bCs/>
          <w:snapToGrid w:val="0"/>
          <w:color w:val="000000"/>
          <w:spacing w:val="-7"/>
          <w:kern w:val="0"/>
          <w:sz w:val="21"/>
          <w:szCs w:val="21"/>
          <w:lang w:val="en-US" w:eastAsia="zh-CN"/>
        </w:rPr>
        <w:t>一、</w:t>
      </w:r>
      <w:r>
        <w:rPr>
          <w:rFonts w:hint="eastAsia" w:ascii="仿宋" w:hAnsi="仿宋" w:eastAsia="仿宋" w:cs="宋体"/>
          <w:b/>
          <w:bCs/>
          <w:snapToGrid w:val="0"/>
          <w:color w:val="000000"/>
          <w:spacing w:val="-7"/>
          <w:kern w:val="0"/>
          <w:sz w:val="21"/>
          <w:szCs w:val="21"/>
        </w:rPr>
        <w:t>项目建设的目标</w:t>
      </w:r>
    </w:p>
    <w:p>
      <w:pPr>
        <w:pStyle w:val="6"/>
        <w:ind w:firstLine="416" w:firstLineChars="200"/>
        <w:rPr>
          <w:rFonts w:hint="eastAsia" w:ascii="仿宋" w:hAnsi="仿宋" w:eastAsia="仿宋" w:cs="仿宋"/>
          <w:spacing w:val="-1"/>
          <w:sz w:val="21"/>
          <w:szCs w:val="21"/>
          <w:lang w:eastAsia="zh-CN"/>
        </w:rPr>
      </w:pPr>
      <w:r>
        <w:rPr>
          <w:rFonts w:hint="eastAsia" w:ascii="仿宋" w:hAnsi="仿宋" w:eastAsia="仿宋" w:cs="仿宋"/>
          <w:spacing w:val="-1"/>
          <w:sz w:val="21"/>
          <w:szCs w:val="21"/>
        </w:rPr>
        <w:t>1．确保能防范至今已知的利用VMware漏洞过行破坏的“勒索病毒”，VMware升级到哪个版本或打什么补丁以VMware官方发布的安全公告为依据</w:t>
      </w:r>
      <w:r>
        <w:rPr>
          <w:rFonts w:hint="eastAsia" w:ascii="仿宋" w:hAnsi="仿宋" w:eastAsia="仿宋" w:cs="仿宋"/>
          <w:spacing w:val="-1"/>
          <w:sz w:val="21"/>
          <w:szCs w:val="21"/>
          <w:lang w:eastAsia="zh-CN"/>
        </w:rPr>
        <w:t>。</w:t>
      </w:r>
    </w:p>
    <w:p>
      <w:pPr>
        <w:pStyle w:val="6"/>
        <w:ind w:firstLine="416" w:firstLineChars="200"/>
        <w:rPr>
          <w:rFonts w:hint="eastAsia" w:ascii="仿宋" w:hAnsi="仿宋" w:eastAsia="仿宋" w:cs="仿宋"/>
          <w:spacing w:val="-1"/>
          <w:sz w:val="21"/>
          <w:szCs w:val="21"/>
          <w:lang w:eastAsia="zh-CN"/>
        </w:rPr>
      </w:pPr>
      <w:r>
        <w:rPr>
          <w:rFonts w:hint="eastAsia" w:ascii="仿宋" w:hAnsi="仿宋" w:eastAsia="仿宋" w:cs="仿宋"/>
          <w:spacing w:val="-1"/>
          <w:sz w:val="21"/>
          <w:szCs w:val="21"/>
        </w:rPr>
        <w:t>2．本次升级必须确保虚拟化平台可以顺利通过各种医疗评审中针对VMware虚拟化的测评，若等保测评要求对VMware进行版本升级或漏洞加固，则本次服务商需负责相应的整改并部署虚拟机分布式防火墙</w:t>
      </w:r>
      <w:r>
        <w:rPr>
          <w:rFonts w:hint="eastAsia" w:ascii="仿宋" w:hAnsi="仿宋" w:eastAsia="仿宋" w:cs="仿宋"/>
          <w:spacing w:val="-1"/>
          <w:sz w:val="21"/>
          <w:szCs w:val="21"/>
          <w:lang w:eastAsia="zh-CN"/>
        </w:rPr>
        <w:t>。</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3．部署全院虚拟化平台的智能运维功能，能自动发现虚拟化平台的整体缺陷，提早发现问题，减少业务影响时间，降低运维成本，实现一致的运维管理。</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4．集中虚拟化平台的日志，能保存180天，图形化显示各个日志统计信息应具备的功能。</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5．通过在虚拟化平台部署网络安全工具，具有虚拟机颗粒度的网络安全控制能力：</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5.1</w:t>
      </w:r>
      <w:r>
        <w:rPr>
          <w:rFonts w:hint="eastAsia" w:ascii="仿宋" w:hAnsi="仿宋" w:eastAsia="仿宋" w:cs="仿宋"/>
          <w:spacing w:val="-1"/>
          <w:sz w:val="21"/>
          <w:szCs w:val="21"/>
        </w:rPr>
        <w:t>虚拟机具有分布式防火墙功能，实现虚拟机之间东西向的网络安全隔离</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5.2</w:t>
      </w:r>
      <w:r>
        <w:rPr>
          <w:rFonts w:hint="eastAsia" w:ascii="仿宋" w:hAnsi="仿宋" w:eastAsia="仿宋" w:cs="仿宋"/>
          <w:spacing w:val="-1"/>
          <w:sz w:val="21"/>
          <w:szCs w:val="21"/>
        </w:rPr>
        <w:t>部署在虚拟化平台内不同部门/租户的业务能通过微分段的方式隔离</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5.3</w:t>
      </w:r>
      <w:r>
        <w:rPr>
          <w:rFonts w:hint="eastAsia" w:ascii="仿宋" w:hAnsi="仿宋" w:eastAsia="仿宋" w:cs="仿宋"/>
          <w:spacing w:val="-1"/>
          <w:sz w:val="21"/>
          <w:szCs w:val="21"/>
        </w:rPr>
        <w:t>能集中并直观地查看虚拟化平台内各虚拟机的网络流量，端口等网络统计信息</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rPr>
        <w:t>6．提供年度技术支持服务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6.1</w:t>
      </w:r>
      <w:r>
        <w:rPr>
          <w:rFonts w:hint="eastAsia" w:ascii="仿宋" w:hAnsi="仿宋" w:eastAsia="仿宋" w:cs="仿宋"/>
          <w:spacing w:val="-1"/>
          <w:sz w:val="21"/>
          <w:szCs w:val="21"/>
        </w:rPr>
        <w:t>提供虚拟化平台内核心业务的状体，核心存储性能等自定义仪表板，虚拟化平台整体状体评估分析等技术支持服务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6.2</w:t>
      </w:r>
      <w:r>
        <w:rPr>
          <w:rFonts w:hint="eastAsia" w:ascii="仿宋" w:hAnsi="仿宋" w:eastAsia="仿宋" w:cs="仿宋"/>
          <w:spacing w:val="-1"/>
          <w:sz w:val="21"/>
          <w:szCs w:val="21"/>
        </w:rPr>
        <w:t>提供虚拟化平台内系统日志整合，智能化日志分析，自定义仪表板等技术支持服务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6.3</w:t>
      </w:r>
      <w:r>
        <w:rPr>
          <w:rFonts w:hint="eastAsia" w:ascii="仿宋" w:hAnsi="仿宋" w:eastAsia="仿宋" w:cs="仿宋"/>
          <w:spacing w:val="-1"/>
          <w:sz w:val="21"/>
          <w:szCs w:val="21"/>
        </w:rPr>
        <w:t>提供虚拟化平台内业务流量分析，业务之间网络隔离建议，防火墙策略上线，自定义整体性能仪表板等技术支持服务</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6.4</w:t>
      </w:r>
      <w:r>
        <w:rPr>
          <w:rFonts w:hint="eastAsia" w:ascii="仿宋" w:hAnsi="仿宋" w:eastAsia="仿宋" w:cs="仿宋"/>
          <w:spacing w:val="-1"/>
          <w:sz w:val="21"/>
          <w:szCs w:val="21"/>
        </w:rPr>
        <w:t>升级迁移改造全院虚拟化平台，建设全院虚拟化运维平台，全院虚拟化日志审计平台，建设全院虚拟化分布式防火墙，建设全院虚拟化东西流量监控平台，提供一年</w:t>
      </w:r>
      <w:r>
        <w:rPr>
          <w:rFonts w:hint="eastAsia" w:ascii="仿宋" w:hAnsi="仿宋" w:eastAsia="仿宋" w:cs="仿宋"/>
          <w:spacing w:val="-1"/>
          <w:sz w:val="21"/>
          <w:szCs w:val="21"/>
          <w:lang w:val="en-US" w:eastAsia="zh-CN"/>
        </w:rPr>
        <w:t>以上</w:t>
      </w:r>
      <w:r>
        <w:rPr>
          <w:rFonts w:hint="eastAsia" w:ascii="仿宋" w:hAnsi="仿宋" w:eastAsia="仿宋" w:cs="仿宋"/>
          <w:spacing w:val="-1"/>
          <w:sz w:val="21"/>
          <w:szCs w:val="21"/>
        </w:rPr>
        <w:t>技术支持及巡检服务</w:t>
      </w:r>
    </w:p>
    <w:p>
      <w:pPr>
        <w:pStyle w:val="6"/>
        <w:ind w:firstLine="416" w:firstLineChars="200"/>
        <w:rPr>
          <w:rFonts w:hint="eastAsia" w:ascii="仿宋" w:hAnsi="仿宋" w:eastAsia="仿宋" w:cs="仿宋"/>
          <w:spacing w:val="-1"/>
          <w:sz w:val="21"/>
          <w:szCs w:val="21"/>
          <w:lang w:eastAsia="zh-CN"/>
        </w:rPr>
      </w:pPr>
      <w:r>
        <w:rPr>
          <w:rFonts w:hint="eastAsia" w:ascii="仿宋" w:hAnsi="仿宋" w:eastAsia="仿宋" w:cs="仿宋"/>
          <w:spacing w:val="-1"/>
          <w:sz w:val="21"/>
          <w:szCs w:val="21"/>
          <w:lang w:val="en-US" w:eastAsia="zh-CN"/>
        </w:rPr>
        <w:t>6.5</w:t>
      </w:r>
      <w:r>
        <w:rPr>
          <w:rFonts w:hint="eastAsia" w:ascii="仿宋" w:hAnsi="仿宋" w:eastAsia="仿宋" w:cs="仿宋"/>
          <w:spacing w:val="-1"/>
          <w:sz w:val="21"/>
          <w:szCs w:val="21"/>
        </w:rPr>
        <w:t>合同服务期内,成交服务商需提供院方远程安全运维工具，提供非VPN方式的安全可控接入，通过策略实现数据不落地，数据不外出，满足等保审计要求；提供安全远程运维平台所需的系统操作许可，支持完整系统、即时系统、屏幕录像、USB管控、剪贴板管控、注销立即销毁（100用户授权）</w:t>
      </w:r>
      <w:r>
        <w:rPr>
          <w:rFonts w:hint="eastAsia" w:ascii="仿宋" w:hAnsi="仿宋" w:eastAsia="仿宋" w:cs="仿宋"/>
          <w:spacing w:val="-1"/>
          <w:sz w:val="21"/>
          <w:szCs w:val="21"/>
          <w:lang w:eastAsia="zh-CN"/>
        </w:rPr>
        <w:t>。</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6.6</w:t>
      </w:r>
      <w:r>
        <w:rPr>
          <w:rFonts w:hint="eastAsia" w:ascii="仿宋" w:hAnsi="仿宋" w:eastAsia="仿宋" w:cs="仿宋"/>
          <w:spacing w:val="-1"/>
          <w:sz w:val="21"/>
          <w:szCs w:val="21"/>
        </w:rPr>
        <w:t>提供一套按照院方要求定制开发的虚拟化监控软件，具备定制仪表板大屏显示，自</w:t>
      </w:r>
      <w:r>
        <w:rPr>
          <w:rFonts w:hint="eastAsia" w:ascii="仿宋" w:hAnsi="仿宋" w:eastAsia="仿宋" w:cs="仿宋"/>
          <w:spacing w:val="-1"/>
          <w:sz w:val="21"/>
          <w:szCs w:val="21"/>
          <w:lang w:val="en-US" w:eastAsia="zh-CN"/>
        </w:rPr>
        <w:t>动</w:t>
      </w:r>
      <w:r>
        <w:rPr>
          <w:rFonts w:hint="eastAsia" w:ascii="仿宋" w:hAnsi="仿宋" w:eastAsia="仿宋" w:cs="仿宋"/>
          <w:spacing w:val="-1"/>
          <w:sz w:val="21"/>
          <w:szCs w:val="21"/>
        </w:rPr>
        <w:t>生成虚拟化资源报告，用户自助门户等功能，并承诺按照院方的要求进行功能客户化定制。</w:t>
      </w:r>
    </w:p>
    <w:p>
      <w:pPr>
        <w:pStyle w:val="6"/>
        <w:ind w:firstLine="416" w:firstLineChars="200"/>
        <w:rPr>
          <w:rFonts w:hint="eastAsia" w:ascii="仿宋" w:hAnsi="仿宋" w:eastAsia="仿宋" w:cs="仿宋"/>
          <w:spacing w:val="-1"/>
          <w:sz w:val="21"/>
          <w:szCs w:val="21"/>
        </w:rPr>
      </w:pPr>
    </w:p>
    <w:p>
      <w:pPr>
        <w:pStyle w:val="7"/>
        <w:numPr>
          <w:ilvl w:val="0"/>
          <w:numId w:val="0"/>
        </w:numPr>
        <w:ind w:firstLine="394" w:firstLineChars="200"/>
        <w:outlineLvl w:val="0"/>
        <w:rPr>
          <w:rFonts w:ascii="仿宋" w:hAnsi="仿宋" w:eastAsia="仿宋" w:cs="宋体"/>
          <w:b/>
          <w:bCs/>
          <w:snapToGrid w:val="0"/>
          <w:color w:val="000000"/>
          <w:spacing w:val="-7"/>
          <w:kern w:val="0"/>
          <w:sz w:val="21"/>
          <w:szCs w:val="21"/>
        </w:rPr>
      </w:pPr>
      <w:r>
        <w:rPr>
          <w:rFonts w:hint="eastAsia" w:ascii="仿宋" w:hAnsi="仿宋" w:eastAsia="仿宋" w:cs="宋体"/>
          <w:b/>
          <w:bCs/>
          <w:snapToGrid w:val="0"/>
          <w:color w:val="000000"/>
          <w:spacing w:val="-7"/>
          <w:kern w:val="0"/>
          <w:sz w:val="21"/>
          <w:szCs w:val="21"/>
          <w:lang w:val="en-US" w:eastAsia="zh-CN"/>
        </w:rPr>
        <w:t>二、</w:t>
      </w:r>
      <w:r>
        <w:rPr>
          <w:rFonts w:hint="eastAsia" w:ascii="仿宋" w:hAnsi="仿宋" w:eastAsia="仿宋" w:cs="宋体"/>
          <w:b/>
          <w:bCs/>
          <w:snapToGrid w:val="0"/>
          <w:color w:val="000000"/>
          <w:spacing w:val="-7"/>
          <w:kern w:val="0"/>
          <w:sz w:val="21"/>
          <w:szCs w:val="21"/>
        </w:rPr>
        <w:t>项目建设的内容</w:t>
      </w:r>
    </w:p>
    <w:p>
      <w:pPr>
        <w:ind w:firstLine="420" w:firstLineChars="200"/>
        <w:rPr>
          <w:rFonts w:ascii="仿宋" w:hAnsi="仿宋" w:eastAsia="仿宋"/>
          <w:sz w:val="21"/>
          <w:szCs w:val="21"/>
        </w:rPr>
      </w:pPr>
      <w:r>
        <w:rPr>
          <w:rFonts w:ascii="仿宋" w:hAnsi="仿宋" w:eastAsia="仿宋"/>
          <w:color w:val="000000"/>
          <w:sz w:val="21"/>
          <w:szCs w:val="21"/>
        </w:rPr>
        <w:t>本项目为</w:t>
      </w:r>
      <w:r>
        <w:rPr>
          <w:rFonts w:hint="eastAsia" w:ascii="仿宋" w:hAnsi="仿宋" w:eastAsia="仿宋"/>
          <w:sz w:val="21"/>
          <w:szCs w:val="21"/>
        </w:rPr>
        <w:t>虚拟化智能管控平台建设项目</w:t>
      </w:r>
      <w:r>
        <w:rPr>
          <w:rFonts w:ascii="仿宋" w:hAnsi="仿宋" w:eastAsia="仿宋"/>
          <w:color w:val="000000"/>
          <w:sz w:val="21"/>
          <w:szCs w:val="21"/>
        </w:rPr>
        <w:t>，项目采购</w:t>
      </w:r>
      <w:r>
        <w:rPr>
          <w:rFonts w:hint="eastAsia" w:ascii="仿宋" w:hAnsi="仿宋" w:eastAsia="仿宋"/>
          <w:color w:val="000000"/>
          <w:sz w:val="21"/>
          <w:szCs w:val="21"/>
        </w:rPr>
        <w:t>虚拟化网络安全</w:t>
      </w:r>
      <w:r>
        <w:rPr>
          <w:rFonts w:ascii="仿宋" w:hAnsi="仿宋" w:eastAsia="仿宋"/>
          <w:color w:val="000000"/>
          <w:sz w:val="21"/>
          <w:szCs w:val="21"/>
        </w:rPr>
        <w:t>软件，构建SDDC（软件定义数据中心），升级改造</w:t>
      </w:r>
      <w:r>
        <w:rPr>
          <w:rFonts w:hint="eastAsia" w:ascii="仿宋" w:hAnsi="仿宋" w:eastAsia="仿宋"/>
          <w:color w:val="000000"/>
          <w:sz w:val="21"/>
          <w:szCs w:val="21"/>
        </w:rPr>
        <w:t>原虚拟化平台</w:t>
      </w:r>
      <w:r>
        <w:rPr>
          <w:rFonts w:hint="eastAsia" w:ascii="仿宋" w:hAnsi="仿宋" w:eastAsia="仿宋"/>
          <w:color w:val="000000"/>
          <w:sz w:val="21"/>
          <w:szCs w:val="21"/>
          <w:lang w:eastAsia="zh-CN"/>
        </w:rPr>
        <w:t>（</w:t>
      </w:r>
      <w:r>
        <w:rPr>
          <w:rFonts w:hint="eastAsia" w:ascii="仿宋" w:hAnsi="仿宋" w:eastAsia="仿宋"/>
          <w:color w:val="000000"/>
          <w:sz w:val="21"/>
          <w:szCs w:val="21"/>
          <w:lang w:val="en-US" w:eastAsia="zh-CN"/>
        </w:rPr>
        <w:t>VMware vSphere 6.X版本）</w:t>
      </w:r>
      <w:r>
        <w:rPr>
          <w:rFonts w:ascii="仿宋" w:hAnsi="仿宋" w:eastAsia="仿宋"/>
          <w:color w:val="000000"/>
          <w:sz w:val="21"/>
          <w:szCs w:val="21"/>
        </w:rPr>
        <w:t>，建设云数据中心，实现数据中心运维管理的模块化、自动化，提升效率，对虚拟化平台进行整体安全加固。</w:t>
      </w:r>
    </w:p>
    <w:p>
      <w:pPr>
        <w:ind w:firstLine="420" w:firstLineChars="200"/>
        <w:rPr>
          <w:rFonts w:ascii="仿宋" w:hAnsi="仿宋" w:eastAsia="仿宋"/>
          <w:sz w:val="21"/>
          <w:szCs w:val="21"/>
        </w:rPr>
      </w:pPr>
      <w:r>
        <w:rPr>
          <w:rFonts w:ascii="仿宋" w:hAnsi="仿宋" w:eastAsia="仿宋"/>
          <w:color w:val="000000"/>
          <w:sz w:val="21"/>
          <w:szCs w:val="21"/>
        </w:rPr>
        <w:t>本项目包括多个软件定义高级功能，包括</w:t>
      </w:r>
      <w:r>
        <w:rPr>
          <w:rFonts w:hint="eastAsia" w:ascii="仿宋" w:hAnsi="仿宋" w:eastAsia="仿宋"/>
          <w:color w:val="000000"/>
          <w:sz w:val="21"/>
          <w:szCs w:val="21"/>
        </w:rPr>
        <w:t>计算虚拟化，网络</w:t>
      </w:r>
      <w:r>
        <w:rPr>
          <w:rFonts w:ascii="仿宋" w:hAnsi="仿宋" w:eastAsia="仿宋"/>
          <w:color w:val="000000"/>
          <w:sz w:val="21"/>
          <w:szCs w:val="21"/>
        </w:rPr>
        <w:t>虚拟化、</w:t>
      </w:r>
      <w:r>
        <w:rPr>
          <w:rFonts w:hint="eastAsia" w:ascii="仿宋" w:hAnsi="仿宋" w:eastAsia="仿宋"/>
          <w:color w:val="000000"/>
          <w:sz w:val="21"/>
          <w:szCs w:val="21"/>
        </w:rPr>
        <w:t>网络可视化、</w:t>
      </w:r>
      <w:r>
        <w:rPr>
          <w:rFonts w:ascii="仿宋" w:hAnsi="仿宋" w:eastAsia="仿宋"/>
          <w:color w:val="000000"/>
          <w:sz w:val="21"/>
          <w:szCs w:val="21"/>
        </w:rPr>
        <w:t>虚拟化管理</w:t>
      </w:r>
      <w:r>
        <w:rPr>
          <w:rFonts w:hint="eastAsia" w:ascii="仿宋" w:hAnsi="仿宋" w:eastAsia="仿宋"/>
          <w:color w:val="000000"/>
          <w:sz w:val="21"/>
          <w:szCs w:val="21"/>
        </w:rPr>
        <w:t>、日志收集分析</w:t>
      </w:r>
      <w:r>
        <w:rPr>
          <w:rFonts w:ascii="仿宋" w:hAnsi="仿宋" w:eastAsia="仿宋"/>
          <w:color w:val="000000"/>
          <w:sz w:val="21"/>
          <w:szCs w:val="21"/>
        </w:rPr>
        <w:t>、</w:t>
      </w:r>
      <w:r>
        <w:rPr>
          <w:rFonts w:hint="eastAsia" w:ascii="仿宋" w:hAnsi="仿宋" w:eastAsia="仿宋"/>
          <w:color w:val="000000"/>
          <w:sz w:val="21"/>
          <w:szCs w:val="21"/>
        </w:rPr>
        <w:t>智能运维</w:t>
      </w:r>
      <w:r>
        <w:rPr>
          <w:rFonts w:ascii="仿宋" w:hAnsi="仿宋" w:eastAsia="仿宋"/>
          <w:color w:val="000000"/>
          <w:sz w:val="21"/>
          <w:szCs w:val="21"/>
        </w:rPr>
        <w:t>等，多个功能构成SDDC（软件定义数据中心）。</w:t>
      </w:r>
    </w:p>
    <w:p>
      <w:pPr>
        <w:ind w:firstLine="420" w:firstLineChars="200"/>
        <w:rPr>
          <w:rFonts w:ascii="仿宋" w:hAnsi="仿宋" w:eastAsia="仿宋"/>
          <w:sz w:val="21"/>
          <w:szCs w:val="21"/>
        </w:rPr>
      </w:pPr>
      <w:r>
        <w:rPr>
          <w:rFonts w:ascii="仿宋" w:hAnsi="仿宋" w:eastAsia="仿宋"/>
          <w:color w:val="000000"/>
          <w:sz w:val="21"/>
          <w:szCs w:val="21"/>
        </w:rPr>
        <w:t>考虑到业务应用、人员管理、现有硬件支撑环境及产品成本因素，同时结合日后资源扩展的需求。本次软件平台包含了三方面：</w:t>
      </w:r>
    </w:p>
    <w:p>
      <w:pPr>
        <w:ind w:firstLine="313"/>
        <w:rPr>
          <w:rFonts w:ascii="仿宋" w:hAnsi="仿宋" w:eastAsia="仿宋"/>
          <w:sz w:val="21"/>
          <w:szCs w:val="21"/>
        </w:rPr>
      </w:pPr>
      <w:r>
        <w:rPr>
          <w:rFonts w:ascii="仿宋" w:hAnsi="仿宋" w:eastAsia="仿宋"/>
          <w:color w:val="000000"/>
          <w:sz w:val="21"/>
          <w:szCs w:val="21"/>
        </w:rPr>
        <w:t>（1）全平台虚拟化：支持服务器虚拟化、网络虚拟化，支持接入虚拟化管理平台及云管理软件平台，建成以后数据中心托管租用虚拟化业务的机器将集中在上面，满足</w:t>
      </w:r>
      <w:r>
        <w:rPr>
          <w:rFonts w:hint="eastAsia" w:ascii="仿宋" w:hAnsi="仿宋" w:eastAsia="仿宋"/>
          <w:color w:val="000000"/>
          <w:sz w:val="21"/>
          <w:szCs w:val="21"/>
        </w:rPr>
        <w:t>我院</w:t>
      </w:r>
      <w:r>
        <w:rPr>
          <w:rFonts w:ascii="仿宋" w:hAnsi="仿宋" w:eastAsia="仿宋"/>
          <w:color w:val="000000"/>
          <w:sz w:val="21"/>
          <w:szCs w:val="21"/>
        </w:rPr>
        <w:t>虚拟机的资源需求，日后可通过增加物理资源进行扩容。</w:t>
      </w:r>
    </w:p>
    <w:p>
      <w:pPr>
        <w:ind w:firstLine="313"/>
        <w:rPr>
          <w:rFonts w:ascii="仿宋" w:hAnsi="仿宋" w:eastAsia="仿宋"/>
          <w:sz w:val="21"/>
          <w:szCs w:val="21"/>
        </w:rPr>
      </w:pPr>
      <w:r>
        <w:rPr>
          <w:rFonts w:ascii="仿宋" w:hAnsi="仿宋" w:eastAsia="仿宋"/>
          <w:color w:val="000000"/>
          <w:sz w:val="21"/>
          <w:szCs w:val="21"/>
        </w:rPr>
        <w:t>（2）基础架构虚拟化：支持服务器虚拟化，支持接入虚拟化管理平台，该部分主要以目前数据中心现有的硬件服务器、传统的存储、另外结合交换机，将数据中心主要的核心业务整合、迁移，主要迁移数据中心信息基础、应用系统、数据管理的多台服务器，并对原有服务器虚拟化进行升级。</w:t>
      </w:r>
    </w:p>
    <w:p>
      <w:pPr>
        <w:ind w:firstLine="420" w:firstLineChars="200"/>
        <w:rPr>
          <w:rFonts w:ascii="仿宋" w:hAnsi="仿宋" w:eastAsia="仿宋"/>
          <w:sz w:val="21"/>
          <w:szCs w:val="21"/>
        </w:rPr>
      </w:pPr>
      <w:r>
        <w:rPr>
          <w:rFonts w:ascii="仿宋" w:hAnsi="仿宋" w:eastAsia="仿宋"/>
          <w:color w:val="000000"/>
          <w:sz w:val="21"/>
          <w:szCs w:val="21"/>
        </w:rPr>
        <w:t>虚拟化运维管理软件需纳管数据中心原有虚拟化平台，做到统一平台管理</w:t>
      </w:r>
      <w:r>
        <w:rPr>
          <w:rFonts w:hint="eastAsia" w:ascii="仿宋" w:hAnsi="仿宋" w:eastAsia="仿宋"/>
          <w:color w:val="000000"/>
          <w:sz w:val="21"/>
          <w:szCs w:val="21"/>
        </w:rPr>
        <w:t>，提供自定义监控仪表板功能</w:t>
      </w:r>
      <w:r>
        <w:rPr>
          <w:rFonts w:ascii="仿宋" w:hAnsi="仿宋" w:eastAsia="仿宋"/>
          <w:color w:val="000000"/>
          <w:sz w:val="21"/>
          <w:szCs w:val="21"/>
        </w:rPr>
        <w:t>。</w:t>
      </w:r>
    </w:p>
    <w:p>
      <w:pPr>
        <w:ind w:firstLine="420" w:firstLineChars="200"/>
        <w:rPr>
          <w:rFonts w:hint="eastAsia" w:ascii="仿宋" w:hAnsi="仿宋" w:eastAsia="仿宋"/>
          <w:color w:val="000000"/>
          <w:sz w:val="21"/>
          <w:szCs w:val="21"/>
        </w:rPr>
      </w:pPr>
      <w:r>
        <w:rPr>
          <w:rFonts w:ascii="仿宋" w:hAnsi="仿宋" w:eastAsia="仿宋"/>
          <w:color w:val="000000"/>
          <w:sz w:val="21"/>
          <w:szCs w:val="21"/>
        </w:rPr>
        <w:t>软件提供</w:t>
      </w:r>
      <w:r>
        <w:rPr>
          <w:rFonts w:hint="eastAsia" w:ascii="仿宋" w:hAnsi="仿宋" w:eastAsia="仿宋"/>
          <w:color w:val="000000"/>
          <w:sz w:val="21"/>
          <w:szCs w:val="21"/>
        </w:rPr>
        <w:t>一年7</w:t>
      </w:r>
      <w:r>
        <w:rPr>
          <w:rFonts w:ascii="仿宋" w:hAnsi="仿宋" w:eastAsia="仿宋"/>
          <w:color w:val="000000"/>
          <w:sz w:val="21"/>
          <w:szCs w:val="21"/>
        </w:rPr>
        <w:t>*24</w:t>
      </w:r>
      <w:r>
        <w:rPr>
          <w:rFonts w:hint="eastAsia" w:ascii="仿宋" w:hAnsi="仿宋" w:eastAsia="仿宋"/>
          <w:color w:val="000000"/>
          <w:sz w:val="21"/>
          <w:szCs w:val="21"/>
        </w:rPr>
        <w:t>小时</w:t>
      </w:r>
      <w:r>
        <w:rPr>
          <w:rFonts w:ascii="仿宋" w:hAnsi="仿宋" w:eastAsia="仿宋"/>
          <w:color w:val="000000"/>
          <w:sz w:val="21"/>
          <w:szCs w:val="21"/>
        </w:rPr>
        <w:t>服务。另外，供应商必须就项目建设提供上门实施服务，在项目顺利实施部署并验收前提下，共提供不少于</w:t>
      </w:r>
      <w:r>
        <w:rPr>
          <w:rFonts w:hint="eastAsia" w:ascii="仿宋" w:hAnsi="仿宋" w:eastAsia="仿宋"/>
          <w:color w:val="000000"/>
          <w:sz w:val="21"/>
          <w:szCs w:val="21"/>
        </w:rPr>
        <w:t>1</w:t>
      </w:r>
      <w:r>
        <w:rPr>
          <w:rFonts w:ascii="仿宋" w:hAnsi="仿宋" w:eastAsia="仿宋"/>
          <w:color w:val="000000"/>
          <w:sz w:val="21"/>
          <w:szCs w:val="21"/>
        </w:rPr>
        <w:t>50天工程师上门的实施服务</w:t>
      </w:r>
      <w:r>
        <w:rPr>
          <w:rFonts w:hint="eastAsia" w:ascii="仿宋" w:hAnsi="仿宋" w:eastAsia="仿宋"/>
          <w:color w:val="000000"/>
          <w:sz w:val="21"/>
          <w:szCs w:val="21"/>
        </w:rPr>
        <w:t>。</w:t>
      </w:r>
    </w:p>
    <w:p>
      <w:pPr>
        <w:ind w:firstLine="420" w:firstLineChars="200"/>
        <w:rPr>
          <w:rFonts w:hint="eastAsia" w:ascii="仿宋" w:hAnsi="仿宋" w:eastAsia="仿宋"/>
          <w:sz w:val="21"/>
          <w:szCs w:val="21"/>
        </w:rPr>
      </w:pPr>
    </w:p>
    <w:p>
      <w:pPr>
        <w:ind w:firstLine="314"/>
        <w:rPr>
          <w:rFonts w:ascii="仿宋" w:hAnsi="仿宋" w:eastAsia="仿宋"/>
          <w:b/>
          <w:color w:val="000000"/>
          <w:sz w:val="21"/>
          <w:szCs w:val="21"/>
        </w:rPr>
      </w:pPr>
      <w:r>
        <w:rPr>
          <w:rFonts w:ascii="仿宋" w:hAnsi="仿宋" w:eastAsia="仿宋"/>
          <w:b/>
          <w:color w:val="000000"/>
          <w:sz w:val="21"/>
          <w:szCs w:val="21"/>
        </w:rPr>
        <w:t>1.</w:t>
      </w:r>
      <w:r>
        <w:rPr>
          <w:rFonts w:hint="eastAsia" w:ascii="仿宋" w:hAnsi="仿宋" w:eastAsia="仿宋"/>
          <w:b/>
          <w:color w:val="000000"/>
          <w:sz w:val="21"/>
          <w:szCs w:val="21"/>
        </w:rPr>
        <w:t>采购清单</w:t>
      </w:r>
      <w:r>
        <w:rPr>
          <w:rFonts w:ascii="仿宋" w:hAnsi="仿宋" w:eastAsia="仿宋"/>
          <w:b/>
          <w:color w:val="000000"/>
          <w:sz w:val="21"/>
          <w:szCs w:val="21"/>
        </w:rPr>
        <w:t>：</w:t>
      </w:r>
    </w:p>
    <w:tbl>
      <w:tblPr>
        <w:tblStyle w:val="20"/>
        <w:tblW w:w="7710"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5"/>
        <w:gridCol w:w="4395"/>
        <w:gridCol w:w="1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noWrap w:val="0"/>
            <w:vAlign w:val="top"/>
          </w:tcPr>
          <w:p>
            <w:pPr>
              <w:jc w:val="center"/>
              <w:rPr>
                <w:rFonts w:ascii="仿宋" w:hAnsi="仿宋" w:eastAsia="仿宋"/>
                <w:sz w:val="21"/>
                <w:szCs w:val="21"/>
              </w:rPr>
            </w:pPr>
            <w:r>
              <w:rPr>
                <w:rFonts w:ascii="仿宋" w:hAnsi="仿宋" w:eastAsia="仿宋"/>
                <w:b/>
                <w:color w:val="000000"/>
                <w:sz w:val="21"/>
                <w:szCs w:val="21"/>
              </w:rPr>
              <w:t>项目</w:t>
            </w:r>
          </w:p>
        </w:tc>
        <w:tc>
          <w:tcPr>
            <w:tcW w:w="4395" w:type="dxa"/>
            <w:noWrap w:val="0"/>
            <w:vAlign w:val="top"/>
          </w:tcPr>
          <w:p>
            <w:pPr>
              <w:jc w:val="center"/>
              <w:rPr>
                <w:rFonts w:ascii="仿宋" w:hAnsi="仿宋" w:eastAsia="仿宋"/>
                <w:sz w:val="21"/>
                <w:szCs w:val="21"/>
              </w:rPr>
            </w:pPr>
            <w:r>
              <w:rPr>
                <w:rFonts w:ascii="仿宋" w:hAnsi="仿宋" w:eastAsia="仿宋"/>
                <w:b/>
                <w:color w:val="000000"/>
                <w:sz w:val="21"/>
                <w:szCs w:val="21"/>
              </w:rPr>
              <w:t>类别</w:t>
            </w:r>
          </w:p>
        </w:tc>
        <w:tc>
          <w:tcPr>
            <w:tcW w:w="1590" w:type="dxa"/>
            <w:noWrap w:val="0"/>
            <w:vAlign w:val="top"/>
          </w:tcPr>
          <w:p>
            <w:pPr>
              <w:jc w:val="center"/>
              <w:rPr>
                <w:rFonts w:ascii="仿宋" w:hAnsi="仿宋" w:eastAsia="仿宋"/>
                <w:sz w:val="21"/>
                <w:szCs w:val="21"/>
              </w:rPr>
            </w:pPr>
            <w:r>
              <w:rPr>
                <w:rFonts w:ascii="仿宋" w:hAnsi="仿宋" w:eastAsia="仿宋"/>
                <w:b/>
                <w:color w:val="000000"/>
                <w:sz w:val="21"/>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restart"/>
            <w:noWrap w:val="0"/>
            <w:vAlign w:val="top"/>
          </w:tcPr>
          <w:p>
            <w:pPr>
              <w:jc w:val="center"/>
              <w:rPr>
                <w:rFonts w:ascii="仿宋" w:hAnsi="仿宋" w:eastAsia="仿宋"/>
                <w:sz w:val="21"/>
                <w:szCs w:val="21"/>
              </w:rPr>
            </w:pPr>
            <w:r>
              <w:rPr>
                <w:rFonts w:hint="eastAsia" w:ascii="仿宋" w:hAnsi="仿宋" w:eastAsia="仿宋"/>
                <w:sz w:val="21"/>
                <w:szCs w:val="21"/>
              </w:rPr>
              <w:t>虚拟化智能管控平台建设项目</w:t>
            </w:r>
          </w:p>
        </w:tc>
        <w:tc>
          <w:tcPr>
            <w:tcW w:w="4395" w:type="dxa"/>
            <w:noWrap w:val="0"/>
            <w:vAlign w:val="center"/>
          </w:tcPr>
          <w:p>
            <w:pPr>
              <w:jc w:val="center"/>
              <w:rPr>
                <w:rFonts w:ascii="仿宋" w:hAnsi="仿宋" w:eastAsia="仿宋"/>
                <w:color w:val="000000"/>
                <w:sz w:val="21"/>
                <w:szCs w:val="21"/>
              </w:rPr>
            </w:pPr>
            <w:r>
              <w:rPr>
                <w:rFonts w:hint="eastAsia" w:ascii="仿宋" w:hAnsi="仿宋" w:eastAsia="仿宋"/>
                <w:color w:val="000000"/>
                <w:sz w:val="21"/>
                <w:szCs w:val="21"/>
              </w:rPr>
              <w:t>云安全融合管理系统软件</w:t>
            </w:r>
          </w:p>
          <w:p>
            <w:pPr>
              <w:jc w:val="center"/>
              <w:rPr>
                <w:rFonts w:hint="eastAsia" w:ascii="仿宋" w:hAnsi="仿宋" w:eastAsia="仿宋"/>
                <w:sz w:val="21"/>
                <w:szCs w:val="21"/>
              </w:rPr>
            </w:pPr>
            <w:r>
              <w:rPr>
                <w:rFonts w:hint="eastAsia" w:ascii="仿宋" w:hAnsi="仿宋" w:eastAsia="仿宋"/>
                <w:color w:val="000000"/>
                <w:sz w:val="21"/>
                <w:szCs w:val="21"/>
              </w:rPr>
              <w:t>（一年原厂技术支持服务）</w:t>
            </w:r>
          </w:p>
        </w:tc>
        <w:tc>
          <w:tcPr>
            <w:tcW w:w="1590" w:type="dxa"/>
            <w:noWrap w:val="0"/>
            <w:vAlign w:val="top"/>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 xml:space="preserve"> </w:t>
            </w:r>
            <w:r>
              <w:rPr>
                <w:rFonts w:hint="eastAsia" w:ascii="仿宋" w:hAnsi="仿宋" w:eastAsia="仿宋"/>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jc w:val="center"/>
              <w:rPr>
                <w:rFonts w:hint="eastAsia"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VMware计算虚拟化软件</w:t>
            </w:r>
          </w:p>
          <w:p>
            <w:pPr>
              <w:jc w:val="center"/>
              <w:rPr>
                <w:rFonts w:hint="eastAsia" w:ascii="仿宋" w:hAnsi="仿宋" w:eastAsia="仿宋"/>
                <w:color w:val="000000"/>
                <w:sz w:val="21"/>
                <w:szCs w:val="21"/>
              </w:rPr>
            </w:pPr>
            <w:r>
              <w:rPr>
                <w:rFonts w:hint="eastAsia" w:ascii="仿宋" w:hAnsi="仿宋" w:eastAsia="仿宋"/>
                <w:color w:val="000000"/>
                <w:sz w:val="21"/>
                <w:szCs w:val="21"/>
              </w:rPr>
              <w:t>（一年原厂技术支持服务）</w:t>
            </w:r>
          </w:p>
        </w:tc>
        <w:tc>
          <w:tcPr>
            <w:tcW w:w="1590" w:type="dxa"/>
            <w:noWrap w:val="0"/>
            <w:vAlign w:val="top"/>
          </w:tcPr>
          <w:p>
            <w:pPr>
              <w:jc w:val="center"/>
              <w:rPr>
                <w:rFonts w:hint="eastAsia" w:ascii="仿宋" w:hAnsi="仿宋" w:eastAsia="仿宋"/>
                <w:sz w:val="21"/>
                <w:szCs w:val="21"/>
              </w:rPr>
            </w:pPr>
            <w:r>
              <w:rPr>
                <w:rFonts w:hint="eastAsia" w:ascii="仿宋" w:hAnsi="仿宋" w:eastAsia="仿宋"/>
                <w:sz w:val="21"/>
                <w:szCs w:val="21"/>
              </w:rPr>
              <w:t>6</w:t>
            </w:r>
            <w:r>
              <w:rPr>
                <w:rFonts w:ascii="仿宋" w:hAnsi="仿宋" w:eastAsia="仿宋"/>
                <w:sz w:val="21"/>
                <w:szCs w:val="21"/>
              </w:rPr>
              <w:t xml:space="preserve"> </w:t>
            </w:r>
            <w:r>
              <w:rPr>
                <w:rFonts w:hint="eastAsia" w:ascii="仿宋" w:hAnsi="仿宋" w:eastAsia="仿宋"/>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虚拟化日志收集分析平台</w:t>
            </w:r>
          </w:p>
          <w:p>
            <w:pPr>
              <w:jc w:val="center"/>
              <w:rPr>
                <w:rFonts w:ascii="仿宋" w:hAnsi="仿宋" w:eastAsia="仿宋"/>
                <w:color w:val="000000"/>
                <w:sz w:val="21"/>
                <w:szCs w:val="21"/>
              </w:rPr>
            </w:pPr>
            <w:r>
              <w:rPr>
                <w:rFonts w:hint="eastAsia" w:ascii="仿宋" w:hAnsi="仿宋" w:eastAsia="仿宋"/>
                <w:color w:val="000000"/>
                <w:sz w:val="21"/>
                <w:szCs w:val="21"/>
              </w:rPr>
              <w:t>（一年原厂支持服务）</w:t>
            </w:r>
          </w:p>
        </w:tc>
        <w:tc>
          <w:tcPr>
            <w:tcW w:w="1590" w:type="dxa"/>
            <w:noWrap w:val="0"/>
            <w:vAlign w:val="top"/>
          </w:tcPr>
          <w:p>
            <w:pPr>
              <w:jc w:val="center"/>
              <w:rPr>
                <w:rFonts w:ascii="仿宋" w:hAnsi="仿宋" w:eastAsia="仿宋"/>
                <w:sz w:val="21"/>
                <w:szCs w:val="21"/>
              </w:rPr>
            </w:pPr>
            <w:r>
              <w:rPr>
                <w:rFonts w:hint="eastAsia" w:ascii="仿宋" w:hAnsi="仿宋" w:eastAsia="仿宋"/>
                <w:sz w:val="21"/>
                <w:szCs w:val="21"/>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虚拟化智能运维软件</w:t>
            </w:r>
          </w:p>
          <w:p>
            <w:pPr>
              <w:jc w:val="center"/>
              <w:rPr>
                <w:rFonts w:ascii="仿宋" w:hAnsi="仿宋" w:eastAsia="仿宋"/>
                <w:color w:val="000000"/>
                <w:sz w:val="21"/>
                <w:szCs w:val="21"/>
              </w:rPr>
            </w:pPr>
            <w:r>
              <w:rPr>
                <w:rFonts w:hint="eastAsia" w:ascii="仿宋" w:hAnsi="仿宋" w:eastAsia="仿宋"/>
                <w:color w:val="000000"/>
                <w:sz w:val="21"/>
                <w:szCs w:val="21"/>
              </w:rPr>
              <w:t>（一年原厂技术支持服务）</w:t>
            </w:r>
          </w:p>
        </w:tc>
        <w:tc>
          <w:tcPr>
            <w:tcW w:w="1590" w:type="dxa"/>
            <w:noWrap w:val="0"/>
            <w:vAlign w:val="top"/>
          </w:tcPr>
          <w:p>
            <w:pPr>
              <w:jc w:val="center"/>
              <w:rPr>
                <w:rFonts w:ascii="仿宋" w:hAnsi="仿宋" w:eastAsia="仿宋"/>
                <w:sz w:val="21"/>
                <w:szCs w:val="21"/>
              </w:rPr>
            </w:pPr>
            <w:r>
              <w:rPr>
                <w:rFonts w:hint="eastAsia" w:ascii="仿宋" w:hAnsi="仿宋" w:eastAsia="仿宋"/>
                <w:sz w:val="21"/>
                <w:szCs w:val="21"/>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虚拟化平台分布式加固软件（一年原厂支持服务）</w:t>
            </w:r>
          </w:p>
        </w:tc>
        <w:tc>
          <w:tcPr>
            <w:tcW w:w="1590" w:type="dxa"/>
            <w:noWrap w:val="0"/>
            <w:vAlign w:val="top"/>
          </w:tcPr>
          <w:p>
            <w:pPr>
              <w:jc w:val="center"/>
              <w:rPr>
                <w:rFonts w:ascii="仿宋" w:hAnsi="仿宋" w:eastAsia="仿宋"/>
                <w:sz w:val="21"/>
                <w:szCs w:val="21"/>
              </w:rPr>
            </w:pPr>
            <w:r>
              <w:rPr>
                <w:rFonts w:ascii="仿宋" w:hAnsi="仿宋" w:eastAsia="仿宋"/>
                <w:sz w:val="21"/>
                <w:szCs w:val="21"/>
              </w:rPr>
              <w:t xml:space="preserve">416 </w:t>
            </w:r>
            <w:r>
              <w:rPr>
                <w:rFonts w:hint="eastAsia" w:ascii="仿宋" w:hAnsi="仿宋" w:eastAsia="仿宋"/>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东西流量运维监控平台软件（一年原厂技术支持服务）</w:t>
            </w:r>
          </w:p>
        </w:tc>
        <w:tc>
          <w:tcPr>
            <w:tcW w:w="1590" w:type="dxa"/>
            <w:noWrap w:val="0"/>
            <w:vAlign w:val="top"/>
          </w:tcPr>
          <w:p>
            <w:pPr>
              <w:jc w:val="center"/>
              <w:rPr>
                <w:rFonts w:ascii="仿宋" w:hAnsi="仿宋" w:eastAsia="仿宋"/>
                <w:sz w:val="21"/>
                <w:szCs w:val="21"/>
              </w:rPr>
            </w:pPr>
            <w:r>
              <w:rPr>
                <w:rFonts w:hint="eastAsia" w:ascii="仿宋" w:hAnsi="仿宋" w:eastAsia="仿宋"/>
                <w:sz w:val="21"/>
                <w:szCs w:val="21"/>
              </w:rPr>
              <w:t>5</w:t>
            </w:r>
            <w:r>
              <w:rPr>
                <w:rFonts w:ascii="仿宋" w:hAnsi="仿宋" w:eastAsia="仿宋"/>
                <w:sz w:val="21"/>
                <w:szCs w:val="21"/>
              </w:rPr>
              <w:t>2</w:t>
            </w:r>
            <w:r>
              <w:rPr>
                <w:rFonts w:hint="eastAsia" w:ascii="仿宋" w:hAnsi="仿宋" w:eastAsia="仿宋"/>
                <w:sz w:val="21"/>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网络虚拟化软件</w:t>
            </w:r>
          </w:p>
          <w:p>
            <w:pPr>
              <w:jc w:val="center"/>
              <w:rPr>
                <w:rFonts w:hint="eastAsia" w:ascii="仿宋" w:hAnsi="仿宋" w:eastAsia="仿宋"/>
                <w:color w:val="000000"/>
                <w:sz w:val="21"/>
                <w:szCs w:val="21"/>
              </w:rPr>
            </w:pPr>
            <w:r>
              <w:rPr>
                <w:rFonts w:hint="eastAsia" w:ascii="仿宋" w:hAnsi="仿宋" w:eastAsia="仿宋"/>
                <w:color w:val="000000"/>
                <w:sz w:val="21"/>
                <w:szCs w:val="21"/>
              </w:rPr>
              <w:t>（一年原厂技术支持服务）</w:t>
            </w:r>
          </w:p>
        </w:tc>
        <w:tc>
          <w:tcPr>
            <w:tcW w:w="1590" w:type="dxa"/>
            <w:noWrap w:val="0"/>
            <w:vAlign w:val="top"/>
          </w:tcPr>
          <w:p>
            <w:pPr>
              <w:jc w:val="center"/>
              <w:rPr>
                <w:rFonts w:hint="eastAsia" w:ascii="仿宋" w:hAnsi="仿宋" w:eastAsia="仿宋"/>
                <w:sz w:val="21"/>
                <w:szCs w:val="21"/>
              </w:rPr>
            </w:pPr>
            <w:r>
              <w:rPr>
                <w:rFonts w:hint="eastAsia" w:ascii="仿宋" w:hAnsi="仿宋" w:eastAsia="仿宋"/>
                <w:sz w:val="21"/>
                <w:szCs w:val="21"/>
              </w:rPr>
              <w:t>6套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25" w:type="dxa"/>
            <w:vMerge w:val="continue"/>
            <w:noWrap w:val="0"/>
            <w:vAlign w:val="top"/>
          </w:tcPr>
          <w:p>
            <w:pPr>
              <w:rPr>
                <w:rFonts w:ascii="仿宋" w:hAnsi="仿宋" w:eastAsia="仿宋"/>
                <w:sz w:val="21"/>
                <w:szCs w:val="21"/>
              </w:rPr>
            </w:pPr>
          </w:p>
        </w:tc>
        <w:tc>
          <w:tcPr>
            <w:tcW w:w="4395" w:type="dxa"/>
            <w:noWrap w:val="0"/>
            <w:vAlign w:val="center"/>
          </w:tcPr>
          <w:p>
            <w:pPr>
              <w:jc w:val="left"/>
              <w:rPr>
                <w:rFonts w:ascii="仿宋" w:hAnsi="仿宋" w:eastAsia="仿宋"/>
                <w:sz w:val="21"/>
                <w:szCs w:val="21"/>
              </w:rPr>
            </w:pPr>
            <w:r>
              <w:rPr>
                <w:rFonts w:hint="eastAsia" w:ascii="仿宋" w:hAnsi="仿宋" w:eastAsia="仿宋"/>
                <w:color w:val="000000"/>
                <w:sz w:val="21"/>
                <w:szCs w:val="21"/>
              </w:rPr>
              <w:t>提供本项目产品，我院当前使用的数据中心威睿虚拟化平台的安装，升级，日常维护的技术支持服务</w:t>
            </w:r>
          </w:p>
        </w:tc>
        <w:tc>
          <w:tcPr>
            <w:tcW w:w="1590" w:type="dxa"/>
            <w:noWrap w:val="0"/>
            <w:vAlign w:val="top"/>
          </w:tcPr>
          <w:p>
            <w:pPr>
              <w:jc w:val="center"/>
              <w:rPr>
                <w:rFonts w:ascii="仿宋" w:hAnsi="仿宋" w:eastAsia="仿宋"/>
                <w:sz w:val="21"/>
                <w:szCs w:val="21"/>
              </w:rPr>
            </w:pPr>
            <w:r>
              <w:rPr>
                <w:rFonts w:hint="eastAsia" w:ascii="仿宋" w:hAnsi="仿宋" w:eastAsia="仿宋"/>
                <w:sz w:val="21"/>
                <w:szCs w:val="21"/>
              </w:rPr>
              <w:t>1</w:t>
            </w:r>
            <w:r>
              <w:rPr>
                <w:rFonts w:ascii="仿宋" w:hAnsi="仿宋" w:eastAsia="仿宋"/>
                <w:sz w:val="21"/>
                <w:szCs w:val="21"/>
              </w:rPr>
              <w:t xml:space="preserve"> </w:t>
            </w:r>
            <w:r>
              <w:rPr>
                <w:rFonts w:hint="eastAsia" w:ascii="仿宋" w:hAnsi="仿宋" w:eastAsia="仿宋"/>
                <w:sz w:val="21"/>
                <w:szCs w:val="21"/>
              </w:rPr>
              <w:t>年</w:t>
            </w:r>
          </w:p>
        </w:tc>
      </w:tr>
    </w:tbl>
    <w:p>
      <w:pPr>
        <w:ind w:firstLine="314"/>
        <w:rPr>
          <w:rFonts w:ascii="仿宋" w:hAnsi="仿宋" w:eastAsia="仿宋"/>
          <w:sz w:val="21"/>
          <w:szCs w:val="21"/>
        </w:rPr>
      </w:pPr>
      <w:r>
        <w:rPr>
          <w:rFonts w:ascii="仿宋" w:hAnsi="仿宋" w:eastAsia="仿宋"/>
          <w:b/>
          <w:color w:val="000000"/>
          <w:sz w:val="21"/>
          <w:szCs w:val="21"/>
        </w:rPr>
        <w:t>2.现场信息调研</w:t>
      </w:r>
    </w:p>
    <w:p>
      <w:pPr>
        <w:ind w:firstLine="313"/>
        <w:rPr>
          <w:rFonts w:ascii="仿宋" w:hAnsi="仿宋" w:eastAsia="仿宋"/>
          <w:sz w:val="21"/>
          <w:szCs w:val="21"/>
        </w:rPr>
      </w:pPr>
      <w:r>
        <w:rPr>
          <w:rFonts w:ascii="仿宋" w:hAnsi="仿宋" w:eastAsia="仿宋"/>
          <w:color w:val="000000"/>
          <w:sz w:val="21"/>
          <w:szCs w:val="21"/>
        </w:rPr>
        <w:t>对所列的虚拟化实例的软件版本、内核版本等进行核查、统计，汇编成表格并制定相关的升级加固方案，与我院相关部门核对商讨后才能进行下一步的操作。</w:t>
      </w:r>
    </w:p>
    <w:p>
      <w:pPr>
        <w:ind w:firstLine="314"/>
        <w:rPr>
          <w:rFonts w:ascii="仿宋" w:hAnsi="仿宋" w:eastAsia="仿宋"/>
          <w:sz w:val="21"/>
          <w:szCs w:val="21"/>
        </w:rPr>
      </w:pPr>
      <w:r>
        <w:rPr>
          <w:rFonts w:ascii="仿宋" w:hAnsi="仿宋" w:eastAsia="仿宋"/>
          <w:b/>
          <w:color w:val="000000"/>
          <w:sz w:val="21"/>
          <w:szCs w:val="21"/>
        </w:rPr>
        <w:t>3.资料及软件准备</w:t>
      </w:r>
    </w:p>
    <w:p>
      <w:pPr>
        <w:ind w:firstLine="313"/>
        <w:rPr>
          <w:rFonts w:ascii="仿宋" w:hAnsi="仿宋" w:eastAsia="仿宋"/>
          <w:sz w:val="21"/>
          <w:szCs w:val="21"/>
        </w:rPr>
      </w:pPr>
      <w:r>
        <w:rPr>
          <w:rFonts w:ascii="仿宋" w:hAnsi="仿宋" w:eastAsia="仿宋"/>
          <w:color w:val="000000"/>
          <w:sz w:val="21"/>
          <w:szCs w:val="21"/>
        </w:rPr>
        <w:t>本次服务商需提供VMware版本的升级及加固所需的软件或补丁，并提供VMware官方发布的安全公告作为依据。针对上述的现状表格中的每一项确定相应的升级加固的版本，以便后期核对及归档。</w:t>
      </w:r>
    </w:p>
    <w:p>
      <w:pPr>
        <w:ind w:firstLine="314"/>
        <w:rPr>
          <w:rFonts w:ascii="仿宋" w:hAnsi="仿宋" w:eastAsia="仿宋"/>
          <w:sz w:val="21"/>
          <w:szCs w:val="21"/>
        </w:rPr>
      </w:pPr>
      <w:r>
        <w:rPr>
          <w:rFonts w:ascii="仿宋" w:hAnsi="仿宋" w:eastAsia="仿宋"/>
          <w:b/>
          <w:color w:val="000000"/>
          <w:sz w:val="21"/>
          <w:szCs w:val="21"/>
        </w:rPr>
        <w:t>4.业务连续性保障</w:t>
      </w:r>
    </w:p>
    <w:p>
      <w:pPr>
        <w:ind w:firstLine="313"/>
        <w:rPr>
          <w:rFonts w:ascii="仿宋" w:hAnsi="仿宋" w:eastAsia="仿宋"/>
          <w:sz w:val="21"/>
          <w:szCs w:val="21"/>
        </w:rPr>
      </w:pPr>
      <w:r>
        <w:rPr>
          <w:rFonts w:ascii="仿宋" w:hAnsi="仿宋" w:eastAsia="仿宋"/>
          <w:color w:val="000000"/>
          <w:sz w:val="21"/>
          <w:szCs w:val="21"/>
        </w:rPr>
        <w:t>1)在硬件资源适配的情况下对vCenter和集群节点的升级加固，要求不中断任何业务系统的运行。</w:t>
      </w:r>
    </w:p>
    <w:p>
      <w:pPr>
        <w:ind w:firstLine="313"/>
        <w:rPr>
          <w:rFonts w:ascii="仿宋" w:hAnsi="仿宋" w:eastAsia="仿宋"/>
          <w:sz w:val="21"/>
          <w:szCs w:val="21"/>
        </w:rPr>
      </w:pPr>
      <w:r>
        <w:rPr>
          <w:rFonts w:ascii="仿宋" w:hAnsi="仿宋" w:eastAsia="仿宋"/>
          <w:color w:val="000000"/>
          <w:sz w:val="21"/>
          <w:szCs w:val="21"/>
        </w:rPr>
        <w:t>2)为不影响业务运行，升级加固需安排在业务不忙的时段进行（如中午、晚上或假期）。</w:t>
      </w:r>
    </w:p>
    <w:p>
      <w:pPr>
        <w:ind w:firstLine="420" w:firstLineChars="200"/>
        <w:rPr>
          <w:rFonts w:ascii="仿宋" w:hAnsi="仿宋" w:eastAsia="仿宋"/>
          <w:sz w:val="21"/>
          <w:szCs w:val="21"/>
        </w:rPr>
      </w:pPr>
      <w:r>
        <w:rPr>
          <w:rFonts w:ascii="仿宋" w:hAnsi="仿宋" w:eastAsia="仿宋"/>
          <w:color w:val="000000"/>
          <w:sz w:val="21"/>
          <w:szCs w:val="21"/>
        </w:rPr>
        <w:t>传统的数据中心功能分散，管理人员运维工作相对繁重，同时资源利用率不高，特别是服务器资源不能得到充分利用，通过构建SDDC软件定义数据中心，在资源利用、业务响应、数据安全、无故障运行时间等相对于传统数据中心有更好的解决方案，面对日益发展的巨大需求和艰巨任务，数据中心作为信息化建设及发展的重要支撑，也将面临巨大的挑战。此项目的实施将是优化数据中心，由传统数据中心向云计算架构数据中心发展，将更好提升业务应用的服务质量和服务体验。</w:t>
      </w:r>
    </w:p>
    <w:p>
      <w:pPr>
        <w:ind w:firstLine="314"/>
        <w:rPr>
          <w:rFonts w:ascii="仿宋" w:hAnsi="仿宋" w:eastAsia="仿宋"/>
          <w:b/>
          <w:color w:val="000000"/>
          <w:sz w:val="21"/>
          <w:szCs w:val="21"/>
        </w:rPr>
      </w:pPr>
      <w:r>
        <w:rPr>
          <w:rFonts w:ascii="仿宋" w:hAnsi="仿宋" w:eastAsia="仿宋"/>
          <w:b/>
          <w:color w:val="000000"/>
          <w:sz w:val="21"/>
          <w:szCs w:val="21"/>
        </w:rPr>
        <w:t>5.项目实施条件：</w:t>
      </w:r>
    </w:p>
    <w:p>
      <w:pPr>
        <w:ind w:firstLine="420" w:firstLineChars="200"/>
        <w:rPr>
          <w:rFonts w:ascii="仿宋" w:hAnsi="仿宋" w:eastAsia="仿宋"/>
          <w:color w:val="000000"/>
          <w:sz w:val="21"/>
          <w:szCs w:val="21"/>
        </w:rPr>
      </w:pPr>
      <w:r>
        <w:rPr>
          <w:rFonts w:ascii="仿宋" w:hAnsi="仿宋" w:eastAsia="仿宋"/>
          <w:color w:val="000000"/>
          <w:sz w:val="21"/>
          <w:szCs w:val="21"/>
        </w:rPr>
        <w:t>人员条件：</w:t>
      </w:r>
      <w:r>
        <w:rPr>
          <w:rFonts w:hint="eastAsia" w:ascii="仿宋" w:hAnsi="仿宋" w:eastAsia="仿宋"/>
          <w:color w:val="000000"/>
          <w:sz w:val="21"/>
          <w:szCs w:val="21"/>
        </w:rPr>
        <w:t>本次项目的主要工作重点和难度集中在网络虚拟化层面，实施过程中保证业务连续性的技术要求难度高，需要结合评审要求针对虚拟化平台进行整改，因此要求投标人技术人员必须具备网络产品的高级技术认证和实施能力。</w:t>
      </w:r>
    </w:p>
    <w:p>
      <w:pPr>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运维条件：供应商需按合同要求提供技术运维服务，并提供具有云运维知识产权的智能运维工具，能根据我院不同运维重心和目标进行自定义修改或功能开发。</w:t>
      </w:r>
    </w:p>
    <w:p>
      <w:pPr>
        <w:ind w:firstLine="420" w:firstLineChars="200"/>
        <w:rPr>
          <w:rFonts w:hint="eastAsia" w:ascii="仿宋" w:hAnsi="仿宋" w:eastAsia="仿宋"/>
          <w:color w:val="000000"/>
          <w:sz w:val="21"/>
          <w:szCs w:val="21"/>
        </w:rPr>
      </w:pPr>
      <w:r>
        <w:rPr>
          <w:rFonts w:hint="eastAsia" w:ascii="仿宋" w:hAnsi="仿宋" w:eastAsia="仿宋"/>
          <w:color w:val="000000"/>
          <w:sz w:val="21"/>
          <w:szCs w:val="21"/>
        </w:rPr>
        <w:t>安全管理条件：供应商需提供具有知识产权的虚拟化管理工具，提供虚拟化平台的网络流量审计能力，并能根据我院不同运维重心和目标进行自定义修改或功能开发。</w:t>
      </w:r>
    </w:p>
    <w:p>
      <w:pPr>
        <w:ind w:firstLine="420" w:firstLineChars="200"/>
        <w:rPr>
          <w:rFonts w:ascii="仿宋" w:hAnsi="仿宋" w:eastAsia="仿宋"/>
          <w:color w:val="000000"/>
          <w:sz w:val="21"/>
          <w:szCs w:val="21"/>
        </w:rPr>
      </w:pPr>
      <w:r>
        <w:rPr>
          <w:rFonts w:ascii="仿宋" w:hAnsi="仿宋" w:eastAsia="仿宋"/>
          <w:color w:val="000000"/>
          <w:sz w:val="21"/>
          <w:szCs w:val="21"/>
        </w:rPr>
        <w:t>场地条件：项目所购置的设备放置地点为数据中心机房，设备部署所需的服务器、交换机、存储等都已就位，采购前也进行过实地考察确保满足设备的放置要求。</w:t>
      </w:r>
    </w:p>
    <w:p>
      <w:pPr>
        <w:ind w:firstLine="313"/>
        <w:rPr>
          <w:rFonts w:hint="eastAsia" w:ascii="仿宋" w:hAnsi="仿宋" w:eastAsia="仿宋"/>
          <w:sz w:val="21"/>
          <w:szCs w:val="21"/>
        </w:rPr>
      </w:pPr>
    </w:p>
    <w:p>
      <w:pPr>
        <w:ind w:firstLine="314"/>
        <w:rPr>
          <w:rFonts w:ascii="仿宋" w:hAnsi="仿宋" w:eastAsia="仿宋"/>
          <w:b/>
          <w:color w:val="000000"/>
          <w:sz w:val="21"/>
          <w:szCs w:val="21"/>
        </w:rPr>
      </w:pPr>
      <w:r>
        <w:rPr>
          <w:rFonts w:ascii="仿宋" w:hAnsi="仿宋" w:eastAsia="仿宋"/>
          <w:b/>
          <w:color w:val="000000"/>
          <w:sz w:val="21"/>
          <w:szCs w:val="21"/>
        </w:rPr>
        <w:t>6.技术参数指标</w:t>
      </w:r>
    </w:p>
    <w:tbl>
      <w:tblPr>
        <w:tblStyle w:val="20"/>
        <w:tblW w:w="873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954"/>
        <w:gridCol w:w="72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 w:hRule="atLeast"/>
          <w:jc w:val="center"/>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b/>
                <w:sz w:val="21"/>
                <w:szCs w:val="21"/>
              </w:rPr>
              <w:t>序号</w:t>
            </w:r>
          </w:p>
        </w:tc>
        <w:tc>
          <w:tcPr>
            <w:tcW w:w="954"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b/>
                <w:sz w:val="21"/>
                <w:szCs w:val="21"/>
              </w:rPr>
              <w:t>货物名称</w:t>
            </w:r>
          </w:p>
        </w:tc>
        <w:tc>
          <w:tcPr>
            <w:tcW w:w="721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b/>
                <w:sz w:val="21"/>
                <w:szCs w:val="21"/>
              </w:rPr>
              <w:t>招标技术要求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1</w:t>
            </w:r>
          </w:p>
        </w:tc>
        <w:tc>
          <w:tcPr>
            <w:tcW w:w="954" w:type="dxa"/>
            <w:vMerge w:val="restart"/>
            <w:tcBorders>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b/>
                <w:sz w:val="21"/>
                <w:szCs w:val="21"/>
              </w:rPr>
              <w:t>云安全融合管理系统</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1.1</w:t>
            </w:r>
            <w:r>
              <w:rPr>
                <w:rFonts w:hint="eastAsia" w:ascii="仿宋" w:hAnsi="仿宋" w:eastAsia="仿宋"/>
                <w:sz w:val="21"/>
                <w:szCs w:val="21"/>
              </w:rPr>
              <w:t>提供虚拟化平台自定义仪表板，具备在监控屏幕上显示的能力，监控资源包括虚拟化平台的计算资源监控，存储资源监控，网络资源监控，自定义核心业务资源监控等核心虚拟化平台参数展示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 xml:space="preserve">1.2 </w:t>
            </w:r>
            <w:r>
              <w:rPr>
                <w:rFonts w:hint="eastAsia" w:ascii="仿宋" w:hAnsi="仿宋" w:eastAsia="仿宋"/>
                <w:sz w:val="21"/>
                <w:szCs w:val="21"/>
              </w:rPr>
              <w:t>具备自动生成虚拟化平台的资源报告能力，报告内容包括计算资源，存储资源，网络资源，自定义核心业务组的可用资源，剩余资源的汇报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 xml:space="preserve">▲1.3 </w:t>
            </w:r>
            <w:r>
              <w:rPr>
                <w:rFonts w:hint="eastAsia" w:ascii="仿宋" w:hAnsi="仿宋" w:eastAsia="仿宋"/>
                <w:sz w:val="21"/>
                <w:szCs w:val="21"/>
              </w:rPr>
              <w:t>具备用户自助门户，管理员可以把虚拟机授权给指定用户，用户可以通过浏览器访问自助门户，对被授权管理的虚拟机进行电源管理，打开虚拟机控制台（提供官网链接和截图予以证明）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 xml:space="preserve">1.4 </w:t>
            </w:r>
            <w:r>
              <w:rPr>
                <w:rFonts w:hint="eastAsia" w:ascii="仿宋" w:hAnsi="仿宋" w:eastAsia="仿宋"/>
                <w:sz w:val="21"/>
                <w:szCs w:val="21"/>
              </w:rPr>
              <w:t>产品能对接医院的威睿虚拟化平台，进行虚拟化平台的资源监控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 xml:space="preserve">1.5 </w:t>
            </w:r>
            <w:r>
              <w:rPr>
                <w:rFonts w:hint="eastAsia" w:ascii="仿宋" w:hAnsi="仿宋" w:eastAsia="仿宋"/>
                <w:sz w:val="21"/>
                <w:szCs w:val="21"/>
              </w:rPr>
              <w:t>承诺按照我院的需求，进行客户化的自定义开发，功能包括但不限于日志监控展示，东西向网络流量监控展示，短信平台对接等功能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 xml:space="preserve">▲1.6 </w:t>
            </w:r>
            <w:r>
              <w:rPr>
                <w:rFonts w:hint="eastAsia" w:ascii="仿宋" w:hAnsi="仿宋" w:eastAsia="仿宋"/>
                <w:sz w:val="21"/>
                <w:szCs w:val="21"/>
              </w:rPr>
              <w:t>投标人须提供“云安全融合管理系统”产品的软件著作权证书，软件著作权证书能在“中国版权保护中心”（</w:t>
            </w:r>
            <w:r>
              <w:rPr>
                <w:rFonts w:ascii="仿宋" w:hAnsi="仿宋" w:eastAsia="仿宋"/>
                <w:sz w:val="21"/>
                <w:szCs w:val="21"/>
              </w:rPr>
              <w:t>https://www.ccopyright.com.cn</w:t>
            </w:r>
            <w:r>
              <w:rPr>
                <w:rFonts w:hint="eastAsia" w:ascii="仿宋" w:hAnsi="仿宋" w:eastAsia="仿宋"/>
                <w:sz w:val="21"/>
                <w:szCs w:val="21"/>
              </w:rPr>
              <w:t>）查询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b/>
                <w:sz w:val="21"/>
                <w:szCs w:val="21"/>
              </w:rPr>
            </w:pPr>
            <w:r>
              <w:rPr>
                <w:rFonts w:ascii="仿宋" w:hAnsi="仿宋" w:eastAsia="仿宋"/>
                <w:b/>
                <w:sz w:val="21"/>
                <w:szCs w:val="21"/>
              </w:rPr>
              <w:t>2</w:t>
            </w:r>
          </w:p>
        </w:tc>
        <w:tc>
          <w:tcPr>
            <w:tcW w:w="954"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color w:val="000000"/>
                <w:sz w:val="21"/>
                <w:szCs w:val="21"/>
              </w:rPr>
              <w:t>VMware计算虚拟化软件</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w:t>
            </w:r>
            <w:r>
              <w:rPr>
                <w:rFonts w:hint="eastAsia" w:ascii="仿宋" w:hAnsi="仿宋" w:eastAsia="仿宋"/>
                <w:sz w:val="21"/>
                <w:szCs w:val="21"/>
              </w:rPr>
              <w:t>支持在线的虚拟机迁移功能，无论有无共享存储，都可以实现虚拟机在集群之内的不同物理机之间在线迁移，保障业务连续性；同时也支持在线存储迁移。每台虚拟化服务器的在线迁移并发数量可达8个。（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2.2</w:t>
            </w:r>
            <w:r>
              <w:rPr>
                <w:rFonts w:hint="eastAsia" w:ascii="仿宋" w:hAnsi="仿宋" w:eastAsia="仿宋"/>
                <w:sz w:val="21"/>
                <w:szCs w:val="21"/>
              </w:rPr>
              <w:t>虚拟机之间可以做到隔离保护，其中每一个虚拟机发生故障都不会影响同一个物理机上的其它虚拟机运行，每个虚拟机上的用户权限只限于本虚拟机之内，以保障系统平台的安全性。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2.3</w:t>
            </w:r>
            <w:r>
              <w:rPr>
                <w:rFonts w:hint="eastAsia" w:ascii="仿宋" w:hAnsi="仿宋" w:eastAsia="仿宋"/>
                <w:sz w:val="21"/>
                <w:szCs w:val="21"/>
              </w:rPr>
              <w:t>虚拟机可以实现物理机的全部功能，如具有自己的资源（内存、CPU、网卡、存储），可以指定单独的IP地址、MAC地址等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2.4</w:t>
            </w:r>
            <w:r>
              <w:rPr>
                <w:rFonts w:hint="eastAsia" w:ascii="仿宋" w:hAnsi="仿宋" w:eastAsia="仿宋"/>
                <w:sz w:val="21"/>
                <w:szCs w:val="21"/>
              </w:rPr>
              <w:t>具备HA功能，当集群中的主机硬件或虚拟化软件发生故障时，该主机上的虚拟机可以在集群之内的其它主机上自动重启。当虚拟机的客户操作系统出现故障时，可以根据优先级和依赖关系自动重启该虚拟机客户操作系统，保障业务连续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▲2.5</w:t>
            </w:r>
            <w:r>
              <w:rPr>
                <w:rFonts w:hint="eastAsia" w:ascii="仿宋" w:hAnsi="仿宋" w:eastAsia="仿宋"/>
                <w:sz w:val="21"/>
                <w:szCs w:val="21"/>
              </w:rPr>
              <w:t>具备容错功能≥可确保在硬件出现故障时所有应用仍持续可用，而不会丢失数据或发生停机事件。针对最多8个虚拟 CPU的工作负载。（提供官网链接和截图予以证明）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2.6</w:t>
            </w:r>
            <w:r>
              <w:rPr>
                <w:rFonts w:hint="eastAsia" w:ascii="仿宋" w:hAnsi="仿宋" w:eastAsia="仿宋"/>
                <w:sz w:val="21"/>
                <w:szCs w:val="21"/>
              </w:rPr>
              <w:t>具备高效的内存调度与保护机制，能够实现内存的过量使用，以此保证虚拟平台不会被暂时的物理内存耗尽而崩溃，同时实现虚拟内存可以超过物理内存。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2.7</w:t>
            </w:r>
            <w:r>
              <w:rPr>
                <w:rFonts w:hint="eastAsia" w:ascii="仿宋" w:hAnsi="仿宋" w:eastAsia="仿宋"/>
                <w:sz w:val="21"/>
                <w:szCs w:val="21"/>
              </w:rPr>
              <w:t>虚拟化平台可以内建分布式虚拟交换机，实现虚拟机之间或虚拟机与物理机之间的网络调度，支持同一物理机上虚拟机之间的网络隔离(支持VLAN)。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▲2.8</w:t>
            </w:r>
            <w:r>
              <w:rPr>
                <w:rFonts w:hint="eastAsia" w:ascii="仿宋" w:hAnsi="仿宋" w:eastAsia="仿宋"/>
                <w:sz w:val="21"/>
                <w:szCs w:val="21"/>
              </w:rPr>
              <w:t>支持“虚拟卷”技术，可以与存储阵列紧密结合，实现存储阵列对虚拟机文件的感知以及存储策略下发到虚拟机级别。支持主流的存储阵列如EMC/Hitachi/Netapp/IBM/HP/DELL/Huawei等。（提供官网链接和截图予以证明）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2.9</w:t>
            </w:r>
            <w:r>
              <w:rPr>
                <w:rFonts w:hint="eastAsia" w:ascii="仿宋" w:hAnsi="仿宋" w:eastAsia="仿宋"/>
                <w:sz w:val="21"/>
                <w:szCs w:val="21"/>
              </w:rPr>
              <w:t>具备分布式虚拟交换机功能，实现虚拟机之间或虚拟机与物理机之间的网络调度，通过分布式虚拟交换机可以在单一界面中对虚拟化集群环境进行统一的网络管理。同时提供网络接口，支持第三方虚拟网络交换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▲2.10</w:t>
            </w:r>
            <w:r>
              <w:rPr>
                <w:rFonts w:hint="eastAsia" w:ascii="仿宋" w:hAnsi="仿宋" w:eastAsia="仿宋"/>
                <w:sz w:val="21"/>
                <w:szCs w:val="21"/>
              </w:rPr>
              <w:t>支持网络 IO 控制 ≥可持续监控网络上的 I/O 负载并根据业务需求动态分 配可用的 I/O 资源，从而确定网络访问优先级。（提供官网链接和截图予以证明）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▲2.11</w:t>
            </w:r>
            <w:r>
              <w:rPr>
                <w:rFonts w:hint="eastAsia" w:ascii="仿宋" w:hAnsi="仿宋" w:eastAsia="仿宋"/>
                <w:sz w:val="21"/>
                <w:szCs w:val="21"/>
              </w:rPr>
              <w:t>支持Hypervisor层面的Pod服务，支持容器运行环境直接运行在虚拟化层，管理平台集成Kubernetes对VM以及容器统一管理，以提高容器环境的安全性、性能和可管理性。（提供官网链接和截图予以证明）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2.12</w:t>
            </w:r>
            <w:r>
              <w:rPr>
                <w:rFonts w:hint="eastAsia" w:ascii="仿宋" w:hAnsi="仿宋" w:eastAsia="仿宋"/>
                <w:sz w:val="21"/>
                <w:szCs w:val="21"/>
              </w:rPr>
              <w:t>应支持全软件虚拟化架构，不受硬件单一品牌影响，只需要支持硬件兼容性列表的相关设备均可加入虚拟化资源池。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5"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▲2.13</w:t>
            </w:r>
            <w:r>
              <w:rPr>
                <w:rFonts w:hint="eastAsia" w:ascii="仿宋" w:hAnsi="仿宋" w:eastAsia="仿宋"/>
                <w:sz w:val="21"/>
                <w:szCs w:val="21"/>
              </w:rPr>
              <w:t>支持在独立部署的多套虚拟化平台之间进行虚拟机的在线迁移（提供官网链接和截图予以证明）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▲2.14</w:t>
            </w:r>
            <w:r>
              <w:rPr>
                <w:rFonts w:hint="eastAsia" w:ascii="仿宋" w:hAnsi="仿宋" w:eastAsia="仿宋"/>
                <w:sz w:val="21"/>
                <w:szCs w:val="21"/>
              </w:rPr>
              <w:t>在虚拟化管理控制组件中提供内容库功能，实现在不同的虚拟化平台之间共享虚拟机模版、I</w:t>
            </w:r>
            <w:r>
              <w:rPr>
                <w:rFonts w:ascii="仿宋" w:hAnsi="仿宋" w:eastAsia="仿宋"/>
                <w:sz w:val="21"/>
                <w:szCs w:val="21"/>
              </w:rPr>
              <w:t>SO</w:t>
            </w:r>
            <w:r>
              <w:rPr>
                <w:rFonts w:hint="eastAsia" w:ascii="仿宋" w:hAnsi="仿宋" w:eastAsia="仿宋"/>
                <w:sz w:val="21"/>
                <w:szCs w:val="21"/>
              </w:rPr>
              <w:t>映像等对象，便于企业统一运维管理（提供官网链接和截图予以证明）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2.15</w:t>
            </w:r>
            <w:r>
              <w:rPr>
                <w:rFonts w:hint="eastAsia" w:ascii="仿宋" w:hAnsi="仿宋" w:eastAsia="仿宋"/>
                <w:sz w:val="21"/>
                <w:szCs w:val="21"/>
              </w:rPr>
              <w:t>要保证业务无需停机进行新旧集群的迁移，新采购的产品能加入到现有虚拟化集群，业务无需停机，无需做任何产品改动。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▲2.16</w:t>
            </w:r>
            <w:r>
              <w:rPr>
                <w:rFonts w:hint="eastAsia" w:ascii="仿宋" w:hAnsi="仿宋" w:eastAsia="仿宋"/>
                <w:sz w:val="21"/>
                <w:szCs w:val="21"/>
              </w:rPr>
              <w:t>所投产品能够与现有虚拟化管理平台通过软件授权激活方式实现无缝扩容结合，具备相互兼容性。需提供所投产品与现有管理平台的官方兼容性证明。不能使用第三方工具或云管平台与现有虚拟化环境对接。（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▲2.17原厂非OEM软件，基于非开源体系架构的技术，</w:t>
            </w:r>
            <w:r>
              <w:rPr>
                <w:rFonts w:hint="eastAsia" w:ascii="仿宋" w:hAnsi="仿宋" w:eastAsia="仿宋"/>
                <w:sz w:val="21"/>
                <w:szCs w:val="21"/>
              </w:rPr>
              <w:t>采用与原虚拟化平台相同的VMware（威睿）品牌产品，</w:t>
            </w:r>
            <w:r>
              <w:rPr>
                <w:rFonts w:ascii="仿宋" w:hAnsi="仿宋" w:eastAsia="仿宋"/>
                <w:sz w:val="21"/>
                <w:szCs w:val="21"/>
              </w:rPr>
              <w:t>提供一年7×24小时原厂技术支持服务</w:t>
            </w:r>
            <w:r>
              <w:rPr>
                <w:rFonts w:hint="eastAsia" w:ascii="仿宋" w:hAnsi="仿宋" w:eastAsia="仿宋"/>
                <w:sz w:val="21"/>
                <w:szCs w:val="21"/>
              </w:rPr>
              <w:t>，供货时必须提供原厂加盖公章的订单信息确认函</w:t>
            </w:r>
            <w:r>
              <w:rPr>
                <w:rFonts w:ascii="仿宋" w:hAnsi="仿宋" w:eastAsia="仿宋"/>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top w:val="single" w:color="auto" w:sz="4" w:space="0"/>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3</w:t>
            </w:r>
          </w:p>
        </w:tc>
        <w:tc>
          <w:tcPr>
            <w:tcW w:w="954"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color w:val="000000"/>
                <w:sz w:val="21"/>
                <w:szCs w:val="21"/>
              </w:rPr>
              <w:t>虚拟化日志收集分析平台</w:t>
            </w: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.1具备收集和自动识别机器生成的所有类型的日志数据结构（如应用日志、网络跟踪、配置文件、消息、性能数据、系统状态转储等），从而为执行分析构建高性能索引。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.2具备多种日志呈现功能，包括但不限于仪表板、饼状图、柱状图、趋势图，堆栈图、颜色等。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.3具备对故障的快速排除和根本原因分析能力，支持跨物理、虚拟和云计算环境提供创新的索引编制和基于机器学习的智能分组功能，以实现高性能搜索，从而加快故障排除速度。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.4具备多个关键词的聚合查询功能，实现根据关键字段逐渐缩小查询范围。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3</w:t>
            </w:r>
            <w:r>
              <w:rPr>
                <w:rFonts w:hint="eastAsia" w:ascii="仿宋" w:hAnsi="仿宋" w:eastAsia="仿宋"/>
                <w:sz w:val="21"/>
                <w:szCs w:val="21"/>
              </w:rPr>
              <w:t>.5具备对运维管理平台自身架构支持横向扩展能力，在监控对象和数据指标过多的情况下可以通过新增运维平台节点实现性能提升。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hint="eastAsia" w:ascii="仿宋" w:hAnsi="仿宋" w:eastAsia="仿宋"/>
                <w:sz w:val="21"/>
                <w:szCs w:val="21"/>
              </w:rPr>
              <w:t>▲3.6提供包括无限数据量的可预测定价模型，不要求基于峰值用量和最坏情形购买许可证。</w:t>
            </w:r>
            <w:r>
              <w:rPr>
                <w:rFonts w:hint="eastAsia" w:ascii="仿宋" w:hAnsi="仿宋" w:eastAsia="仿宋" w:cs="宋体"/>
                <w:sz w:val="21"/>
                <w:szCs w:val="21"/>
              </w:rPr>
              <w:t>（提供官网链接和截图</w:t>
            </w:r>
            <w:r>
              <w:rPr>
                <w:rFonts w:hint="eastAsia" w:ascii="仿宋" w:hAnsi="仿宋" w:eastAsia="仿宋"/>
                <w:sz w:val="21"/>
                <w:szCs w:val="21"/>
              </w:rPr>
              <w:t>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bottom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bottom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▲3.7</w:t>
            </w:r>
            <w:r>
              <w:rPr>
                <w:rFonts w:hint="eastAsia" w:ascii="仿宋" w:hAnsi="仿宋" w:eastAsia="仿宋"/>
                <w:sz w:val="21"/>
                <w:szCs w:val="21"/>
              </w:rPr>
              <w:t>所投产品能够与现有虚拟化管理平台通过软件授权激活方式实现无缝扩容结合，具备相互兼容性。需提供所投产品与现有管理平台的官方兼容性证明。不能使用第三方工具或云管平台与现有虚拟化环境对接。（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top w:val="single" w:color="auto" w:sz="4" w:space="0"/>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4</w:t>
            </w:r>
          </w:p>
        </w:tc>
        <w:tc>
          <w:tcPr>
            <w:tcW w:w="954" w:type="dxa"/>
            <w:vMerge w:val="restart"/>
            <w:tcBorders>
              <w:top w:val="single" w:color="auto" w:sz="4" w:space="0"/>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color w:val="000000"/>
                <w:sz w:val="21"/>
                <w:szCs w:val="21"/>
              </w:rPr>
              <w:t>虚拟化智能运维软件</w:t>
            </w: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.1具备对故障的智能快速分析功能，实现对跨域关联分析，如：虚拟机、主机、存储、网络设备等设备的故障根本性分析，并给出相关的专家处理意见。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center"/>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.2具备对不少于</w:t>
            </w:r>
            <w:r>
              <w:rPr>
                <w:rFonts w:ascii="仿宋" w:hAnsi="仿宋" w:eastAsia="仿宋"/>
                <w:sz w:val="21"/>
                <w:szCs w:val="21"/>
              </w:rPr>
              <w:t>3种硬件类型(服务器、存储、网络)以及3个厂商以上的监控的能力，如：服务器(Lenovo、DELL、HP、Cisco UCS)、存储设备(如:EMC、HP、IBM、NetApp)、网络设备(Cisco、F5、Lenovo、Citrix)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.3具备对数据中心内资源容量的智能工作负载管理功能，其可根据用户自定义的平衡策略</w:t>
            </w:r>
            <w:r>
              <w:rPr>
                <w:rFonts w:ascii="仿宋" w:hAnsi="仿宋" w:eastAsia="仿宋"/>
                <w:sz w:val="21"/>
                <w:szCs w:val="21"/>
              </w:rPr>
              <w:t>(如:群集内CPU、内存、存储的剩余容量)，可自动、手动或者在计划的时间内执行对数据中心工作负载实行平衡计划。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.4具备对当前数据中心内的计算、存储资源规划及设计功能，如：预测当前数据中心资源能承载新业务上线能力，当资源不足或计划采购硬件资源时，可提供所需的配置清单。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4</w:t>
            </w:r>
            <w:r>
              <w:rPr>
                <w:rFonts w:hint="eastAsia" w:ascii="仿宋" w:hAnsi="仿宋" w:eastAsia="仿宋"/>
                <w:sz w:val="21"/>
                <w:szCs w:val="21"/>
              </w:rPr>
              <w:t>.5具备对当前数据中心内的计算、存储资源容量分析能力，可快速的分析出当前数据中心内资源的闲置情况，可回收的容量，并提供生成相应的报告能力。（提供官网链接和截图予以证明）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.6具备对数据中心内性能的智能工作负载管理功能，其可根据用户自定义的平衡策略</w:t>
            </w:r>
            <w:r>
              <w:rPr>
                <w:rFonts w:ascii="仿宋" w:hAnsi="仿宋" w:eastAsia="仿宋"/>
                <w:sz w:val="21"/>
                <w:szCs w:val="21"/>
              </w:rPr>
              <w:t>(如:群集内CPU、内存、存储的工作负载)，可自动、手动或者在计划的时间内执行对数据中心工作负载实行平衡计划。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.7具备对底层</w:t>
            </w:r>
            <w:r>
              <w:rPr>
                <w:rFonts w:ascii="仿宋" w:hAnsi="仿宋" w:eastAsia="仿宋"/>
                <w:sz w:val="21"/>
                <w:szCs w:val="21"/>
              </w:rPr>
              <w:t xml:space="preserve"> Hypervisor、HIPAA、PCI安全标准的合规性检查，支持用户自定义合规检查项，同时应给出合理的处理指导性建议。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4</w:t>
            </w:r>
            <w:r>
              <w:rPr>
                <w:rFonts w:hint="eastAsia" w:ascii="仿宋" w:hAnsi="仿宋" w:eastAsia="仿宋"/>
                <w:sz w:val="21"/>
                <w:szCs w:val="21"/>
              </w:rPr>
              <w:t>.8具备对数据中心内的容量、性能、事件等不同纬度生成报告功能，报告类型应不少于如下报告类型：优化报告、利用率报告、容量报告、可回收报告、性能报告、清单报告、配置报告等。（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9具备对数据中心内的容量、性能、事件等不同纬度自定义报告功能，自定义报告所能所包含的呈现风格不少于以下：列表、摘要、趋势、文本、图像。所包含的指标不少于以下：性能、利用率、容量、可收回、配置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.10具备与第三方管理软件集成或二次开发所需完整的</w:t>
            </w:r>
            <w:r>
              <w:rPr>
                <w:rFonts w:ascii="仿宋" w:hAnsi="仿宋" w:eastAsia="仿宋"/>
                <w:sz w:val="21"/>
                <w:szCs w:val="21"/>
              </w:rPr>
              <w:t>API、SDK 接口能力，同时，该开发接口资料信息需在主流搜索引擎(Googel、百度)上无需注册和登录轻松查找。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4</w:t>
            </w:r>
            <w:r>
              <w:rPr>
                <w:rFonts w:hint="eastAsia" w:ascii="仿宋" w:hAnsi="仿宋" w:eastAsia="仿宋"/>
                <w:sz w:val="21"/>
                <w:szCs w:val="21"/>
              </w:rPr>
              <w:t>.11具备对</w:t>
            </w:r>
            <w:r>
              <w:rPr>
                <w:rFonts w:ascii="仿宋" w:hAnsi="仿宋" w:eastAsia="仿宋"/>
                <w:sz w:val="21"/>
                <w:szCs w:val="21"/>
              </w:rPr>
              <w:t>Guest OS操作系统进行实时监控能力，如：支持对操作系统资源（CPU、磁盘、内存、网络、进程、服务）的监控，支持的操作系统类型包括Windows、Linux常见。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▲4.12</w:t>
            </w:r>
            <w:r>
              <w:rPr>
                <w:rFonts w:hint="eastAsia" w:ascii="仿宋" w:hAnsi="仿宋" w:eastAsia="仿宋"/>
                <w:sz w:val="21"/>
                <w:szCs w:val="21"/>
              </w:rPr>
              <w:t>所投产品能够与现有虚拟化管理平台通过软件授权激活方式实现无缝扩容结合，具备相互兼容性。需提供所投产品与现有管理平台的官方兼容性证明。不能使用第三方工具或云管平台与现有虚拟化环境对接。（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5</w:t>
            </w:r>
          </w:p>
        </w:tc>
        <w:tc>
          <w:tcPr>
            <w:tcW w:w="954" w:type="dxa"/>
            <w:vMerge w:val="restart"/>
            <w:tcBorders>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color w:val="000000"/>
                <w:sz w:val="21"/>
                <w:szCs w:val="21"/>
              </w:rPr>
              <w:t>虚拟化平台分布式加固软件</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1</w:t>
            </w:r>
            <w:r>
              <w:rPr>
                <w:rFonts w:hint="eastAsia" w:ascii="仿宋" w:hAnsi="仿宋" w:eastAsia="仿宋"/>
                <w:sz w:val="21"/>
                <w:szCs w:val="21"/>
              </w:rPr>
              <w:t>具备直接内嵌于虚拟化平台软件(Hypervisor)内的逻辑网络组件, 可以无中断地在任何现有网络连接硬件上部署虚拟网络。（投标时提供官网链接和截图予以证明）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2</w:t>
            </w:r>
            <w:r>
              <w:rPr>
                <w:rFonts w:hint="eastAsia" w:ascii="仿宋" w:hAnsi="仿宋" w:eastAsia="仿宋"/>
                <w:sz w:val="21"/>
                <w:szCs w:val="21"/>
              </w:rPr>
              <w:t>支持基于用户身份认证的防火墙功能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 xml:space="preserve">3 </w:t>
            </w:r>
            <w:r>
              <w:rPr>
                <w:rFonts w:hint="eastAsia" w:ascii="仿宋" w:hAnsi="仿宋" w:eastAsia="仿宋"/>
                <w:sz w:val="21"/>
                <w:szCs w:val="21"/>
              </w:rPr>
              <w:t>支持L</w:t>
            </w:r>
            <w:r>
              <w:rPr>
                <w:rFonts w:ascii="仿宋" w:hAnsi="仿宋" w:eastAsia="仿宋"/>
                <w:sz w:val="21"/>
                <w:szCs w:val="21"/>
              </w:rPr>
              <w:t>2</w:t>
            </w:r>
            <w:r>
              <w:rPr>
                <w:rFonts w:hint="eastAsia" w:ascii="仿宋" w:hAnsi="仿宋" w:eastAsia="仿宋"/>
                <w:sz w:val="21"/>
                <w:szCs w:val="21"/>
              </w:rPr>
              <w:t>到L</w:t>
            </w:r>
            <w:r>
              <w:rPr>
                <w:rFonts w:ascii="仿宋" w:hAnsi="仿宋" w:eastAsia="仿宋"/>
                <w:sz w:val="21"/>
                <w:szCs w:val="21"/>
              </w:rPr>
              <w:t>4</w:t>
            </w:r>
            <w:r>
              <w:rPr>
                <w:rFonts w:hint="eastAsia" w:ascii="仿宋" w:hAnsi="仿宋" w:eastAsia="仿宋"/>
                <w:sz w:val="21"/>
                <w:szCs w:val="21"/>
              </w:rPr>
              <w:t>防火墙功能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4</w:t>
            </w:r>
            <w:r>
              <w:rPr>
                <w:rFonts w:hint="eastAsia" w:ascii="仿宋" w:hAnsi="仿宋" w:eastAsia="仿宋"/>
                <w:sz w:val="21"/>
                <w:szCs w:val="21"/>
              </w:rPr>
              <w:t>支撑基于应用程序标识的L</w:t>
            </w:r>
            <w:r>
              <w:rPr>
                <w:rFonts w:ascii="仿宋" w:hAnsi="仿宋" w:eastAsia="仿宋"/>
                <w:sz w:val="21"/>
                <w:szCs w:val="21"/>
              </w:rPr>
              <w:t>7</w:t>
            </w:r>
            <w:r>
              <w:rPr>
                <w:rFonts w:hint="eastAsia" w:ascii="仿宋" w:hAnsi="仿宋" w:eastAsia="仿宋"/>
                <w:sz w:val="21"/>
                <w:szCs w:val="21"/>
              </w:rPr>
              <w:t>层防火墙功能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5</w:t>
            </w:r>
            <w:r>
              <w:rPr>
                <w:rFonts w:hint="eastAsia" w:ascii="仿宋" w:hAnsi="仿宋" w:eastAsia="仿宋"/>
                <w:sz w:val="21"/>
                <w:szCs w:val="21"/>
              </w:rPr>
              <w:t>具有恶意IP地址筛选功能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5</w:t>
            </w:r>
            <w:r>
              <w:rPr>
                <w:rFonts w:hint="eastAsia" w:ascii="仿宋" w:hAnsi="仿宋" w:eastAsia="仿宋"/>
                <w:sz w:val="21"/>
                <w:szCs w:val="21"/>
              </w:rPr>
              <w:t>.</w:t>
            </w:r>
            <w:r>
              <w:rPr>
                <w:rFonts w:ascii="仿宋" w:hAnsi="仿宋" w:eastAsia="仿宋"/>
                <w:sz w:val="21"/>
                <w:szCs w:val="21"/>
              </w:rPr>
              <w:t>6</w:t>
            </w:r>
            <w:r>
              <w:rPr>
                <w:rFonts w:hint="eastAsia" w:ascii="仿宋" w:hAnsi="仿宋" w:eastAsia="仿宋"/>
                <w:sz w:val="21"/>
                <w:szCs w:val="21"/>
              </w:rPr>
              <w:t>具备网络流可视化，自动化分布式防火墙的策略推荐能力。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hint="eastAsia" w:ascii="仿宋" w:hAnsi="仿宋" w:eastAsia="仿宋"/>
                <w:sz w:val="21"/>
                <w:szCs w:val="21"/>
              </w:rPr>
            </w:pPr>
            <w:r>
              <w:rPr>
                <w:rFonts w:ascii="仿宋" w:hAnsi="仿宋" w:eastAsia="仿宋"/>
                <w:sz w:val="21"/>
                <w:szCs w:val="21"/>
              </w:rPr>
              <w:t>▲5.7</w:t>
            </w:r>
            <w:r>
              <w:rPr>
                <w:rFonts w:hint="eastAsia" w:ascii="仿宋" w:hAnsi="仿宋" w:eastAsia="仿宋"/>
                <w:sz w:val="21"/>
                <w:szCs w:val="21"/>
              </w:rPr>
              <w:t>所投产品能够与现有虚拟化管理平台通过软件授权激活方式实现无缝扩容结合，具备相互兼容性。需提供所投产品与现有管理平台的官方兼容性证明。不能使用第三方工具或云管平台与现有虚拟化环境对接。（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6</w:t>
            </w:r>
          </w:p>
        </w:tc>
        <w:tc>
          <w:tcPr>
            <w:tcW w:w="954" w:type="dxa"/>
            <w:vMerge w:val="restart"/>
            <w:tcBorders>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color w:val="000000"/>
                <w:sz w:val="21"/>
                <w:szCs w:val="21"/>
              </w:rPr>
              <w:t>网络可视化监管软件</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6</w:t>
            </w:r>
            <w:r>
              <w:rPr>
                <w:rFonts w:hint="eastAsia" w:ascii="仿宋" w:hAnsi="仿宋" w:eastAsia="仿宋"/>
                <w:sz w:val="21"/>
                <w:szCs w:val="21"/>
              </w:rPr>
              <w:t>.1</w:t>
            </w:r>
            <w:r>
              <w:rPr>
                <w:rFonts w:ascii="仿宋" w:hAnsi="仿宋" w:eastAsia="仿宋"/>
                <w:sz w:val="21"/>
                <w:szCs w:val="21"/>
              </w:rPr>
              <w:t>具备</w:t>
            </w:r>
            <w:r>
              <w:rPr>
                <w:rFonts w:hint="eastAsia" w:ascii="仿宋" w:hAnsi="仿宋" w:eastAsia="仿宋"/>
                <w:sz w:val="21"/>
                <w:szCs w:val="21"/>
              </w:rPr>
              <w:t>数据中心内各虚机间的点对点可视化连接图，包含硬件网络设备及逻辑网络、以及对应的逻辑与硬件防火墙设备，并针对各节点显示对应的设备信息与状态，以及站点间的错误状态</w:t>
            </w:r>
            <w:r>
              <w:rPr>
                <w:rFonts w:hint="eastAsia" w:ascii="仿宋" w:hAnsi="仿宋" w:eastAsia="仿宋" w:cs="宋体"/>
                <w:sz w:val="21"/>
                <w:szCs w:val="21"/>
              </w:rPr>
              <w:t>（提供官网链接和截图并加盖所投产品原厂公章证明材料）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.2可在一个网页内提供包含虚拟机、</w:t>
            </w:r>
            <w:r>
              <w:rPr>
                <w:rFonts w:ascii="仿宋" w:hAnsi="仿宋" w:eastAsia="仿宋"/>
                <w:sz w:val="21"/>
                <w:szCs w:val="21"/>
              </w:rPr>
              <w:t>VLAN / VXLAN、虚拟主机(Host)、安全群组、虚拟网络管理群等集中化的状态、效能、变更与事件收集，以及可视化的拓扑架构图</w:t>
            </w:r>
            <w:r>
              <w:rPr>
                <w:rFonts w:hint="eastAsia" w:ascii="仿宋" w:hAnsi="仿宋" w:eastAsia="仿宋" w:cs="宋体"/>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.3内嵌搜索引擎，可根据命令快速搜索相关数据，包括但不限于虚机网络、计算及存储数据。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.4支持对虚拟网络和物理网络的完整路径分析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.5支持对网络虚拟化组件健康状态监测，以及配置最佳检查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.6支持对虚机的计算资源和存储资源的相关数据收集，便于故障分析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w:t>
            </w:r>
            <w:r>
              <w:rPr>
                <w:rFonts w:hint="eastAsia" w:ascii="仿宋" w:hAnsi="仿宋" w:eastAsia="仿宋"/>
                <w:sz w:val="21"/>
                <w:szCs w:val="21"/>
              </w:rPr>
              <w:t>.7提供数据中心安全策略审计，可以按照时间追溯</w:t>
            </w:r>
            <w:r>
              <w:rPr>
                <w:rFonts w:ascii="仿宋" w:hAnsi="仿宋" w:eastAsia="仿宋"/>
                <w:sz w:val="21"/>
                <w:szCs w:val="21"/>
              </w:rPr>
              <w:t xml:space="preserve"> – 跟踪安全策略改变及安全审计，当策略不合规时即时发送报警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▲6.8</w:t>
            </w:r>
            <w:r>
              <w:rPr>
                <w:rFonts w:hint="eastAsia" w:ascii="仿宋" w:hAnsi="仿宋" w:eastAsia="仿宋"/>
                <w:sz w:val="21"/>
                <w:szCs w:val="21"/>
              </w:rPr>
              <w:t>所投产品能够与现有虚拟化管理平台通过软件授权激活方式实现无缝扩容结合，具备相互兼容性。需提供所投产品与现有管理平台的官方兼容性证明。不能使用第三方工具或云管平台与现有虚拟化环境对接。（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left w:val="single" w:color="auto" w:sz="4" w:space="0"/>
              <w:right w:val="single" w:color="auto" w:sz="4" w:space="0"/>
            </w:tcBorders>
            <w:noWrap w:val="0"/>
            <w:vAlign w:val="center"/>
          </w:tcPr>
          <w:p>
            <w:pPr>
              <w:rPr>
                <w:rFonts w:ascii="仿宋" w:hAnsi="仿宋" w:eastAsia="仿宋"/>
                <w:b/>
                <w:sz w:val="21"/>
                <w:szCs w:val="21"/>
              </w:rPr>
            </w:pPr>
            <w:r>
              <w:rPr>
                <w:rFonts w:ascii="仿宋" w:hAnsi="仿宋" w:eastAsia="仿宋"/>
                <w:b/>
                <w:sz w:val="21"/>
                <w:szCs w:val="21"/>
              </w:rPr>
              <w:t>7</w:t>
            </w:r>
          </w:p>
        </w:tc>
        <w:tc>
          <w:tcPr>
            <w:tcW w:w="954" w:type="dxa"/>
            <w:vMerge w:val="restart"/>
            <w:tcBorders>
              <w:left w:val="single" w:color="auto" w:sz="4" w:space="0"/>
              <w:right w:val="single" w:color="auto" w:sz="4" w:space="0"/>
            </w:tcBorders>
            <w:noWrap w:val="0"/>
            <w:vAlign w:val="top"/>
          </w:tcPr>
          <w:p>
            <w:pPr>
              <w:jc w:val="center"/>
              <w:rPr>
                <w:rFonts w:ascii="仿宋" w:hAnsi="仿宋" w:eastAsia="仿宋"/>
                <w:color w:val="000000"/>
                <w:sz w:val="21"/>
                <w:szCs w:val="21"/>
              </w:rPr>
            </w:pPr>
            <w:r>
              <w:rPr>
                <w:rFonts w:hint="eastAsia" w:ascii="仿宋" w:hAnsi="仿宋" w:eastAsia="仿宋"/>
                <w:color w:val="000000"/>
                <w:sz w:val="21"/>
                <w:szCs w:val="21"/>
              </w:rPr>
              <w:t>网络虚拟化软件</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.1可以支持在底层任意物理网络之上构建二层overlay网络，底层物理网络可以是任意厂商的传统物理网络也可以是硬件SDN网络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.2在同样的物理网卡之上，同时支持overlay网络和传统VLAN网络的逻辑交换机创建，每个逻辑交换机可以根据需要选择自己的teaming Policy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.3基于软件的二层桥接功能，可以在逻辑交换机和 VLAN 之间创建 L2网桥，从而将虚拟工作负载迁移到物理设备而不会对 IP 地址产生任何影响，同时为了优化性能二层桥接需要支持DPDK优化功能。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7</w:t>
            </w:r>
            <w:r>
              <w:rPr>
                <w:rFonts w:hint="eastAsia" w:ascii="仿宋" w:hAnsi="仿宋" w:eastAsia="仿宋"/>
                <w:sz w:val="21"/>
                <w:szCs w:val="21"/>
              </w:rPr>
              <w:t>.4具备直接内嵌于虚拟化平台软件(Hypervisor)内的逻辑网络组件，提供一套完整的逻辑网络连接要素和服务，其中包括逻辑交换、路由、 防火墙、负载均衡、VPN、服务质量 (QoS) 和监控。可以无中断地在任何现有网络连接硬件上部署虚拟网络。（投标时提供官网链接和截图予以证明）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.5支持透明和单臂两种负载均衡部署模式，支持L4和L7的负载均衡，协议包括支持TCP/UDP/HTTP/HTTPS等，负载均衡算法支持：Round-Robin, Weighted_RR,Least-Connection, Weighted_LC,IP-Hash等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.6支持基于IPV6的东西向防火墙和南北向防火墙的配置，安全策略可以基于tag、OS name, LS、LS port、VM name、computer name等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hint="eastAsia" w:ascii="仿宋" w:hAnsi="仿宋" w:eastAsia="仿宋"/>
                <w:sz w:val="21"/>
                <w:szCs w:val="21"/>
              </w:rPr>
              <w:t>▲</w:t>
            </w:r>
            <w:r>
              <w:rPr>
                <w:rFonts w:ascii="仿宋" w:hAnsi="仿宋" w:eastAsia="仿宋"/>
                <w:sz w:val="21"/>
                <w:szCs w:val="21"/>
              </w:rPr>
              <w:t>7</w:t>
            </w:r>
            <w:r>
              <w:rPr>
                <w:rFonts w:hint="eastAsia" w:ascii="仿宋" w:hAnsi="仿宋" w:eastAsia="仿宋"/>
                <w:sz w:val="21"/>
                <w:szCs w:val="21"/>
              </w:rPr>
              <w:t>.7南北向出口路由可以支持虚拟机模式和裸金属配置模式，面向南北向物理网络支持BGP、静态等路由方式，支持链路故障的毫秒级路由切换，同时可以支持DPDK以保证128字节以上数据包的线速转发。（投标时提供官网链接和截图予以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.8分布式防火墙可配置规则通过内核交换数据包送给整合的第三方安全软件进行防毒、入侵防护、应用层检测等等机制，延伸安全防护的功能。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.9管理系统可提供标准的网页应用程序编程接口(restful API)或整合到现有工作流程系统的自动流程供外部的云平台进行呼叫。管理者可使用内嵌于虚拟化平台管理软件的图形接口进行配置与管理，或通过云管平台，自动化进行虚拟网络与安全功能部署。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.10租户路由器或总出口路由器根据需要可以提供南北向防火墙功能，防火墙策略可以支持基于对象的动态安全组，包含tag、OS name, LS、LS port、VM name、computer name等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11所投网络虚拟化软件能够在现有云环境中配置大量逻辑安全域，无需重新改造。为保证性能和扩展性，投标商所投产品必须可实现微分段内核防火墙，确保每个虚机都可以实现独立的安全域，以实现细粒度的安全防护，不得采用集中式物理防火墙或基于虚机的虚拟防火墙方式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7.12</w:t>
            </w:r>
            <w:r>
              <w:rPr>
                <w:rFonts w:hint="eastAsia" w:ascii="仿宋" w:hAnsi="仿宋" w:eastAsia="仿宋"/>
                <w:sz w:val="21"/>
                <w:szCs w:val="21"/>
              </w:rPr>
              <w:t>支持采用虚拟环境参数(Cluster / Logical Network / VM)，或是可动态将虚拟机基于操作系统、名称(OS Name / VM Name)等加入安全域群组内，作为防火墙规则来源端与目的端的配置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7.13</w:t>
            </w:r>
            <w:r>
              <w:rPr>
                <w:rFonts w:hint="eastAsia" w:ascii="仿宋" w:hAnsi="仿宋" w:eastAsia="仿宋"/>
                <w:sz w:val="21"/>
                <w:szCs w:val="21"/>
              </w:rPr>
              <w:t>支持虚拟机、容器和裸金属物理机的统一安全策略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7.14</w:t>
            </w:r>
            <w:r>
              <w:rPr>
                <w:rFonts w:hint="eastAsia" w:ascii="仿宋" w:hAnsi="仿宋" w:eastAsia="仿宋"/>
                <w:sz w:val="21"/>
                <w:szCs w:val="21"/>
              </w:rPr>
              <w:t>虚拟机迁移安全策略跟随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7.15</w:t>
            </w:r>
            <w:r>
              <w:rPr>
                <w:rFonts w:hint="eastAsia" w:ascii="仿宋" w:hAnsi="仿宋" w:eastAsia="仿宋"/>
                <w:sz w:val="21"/>
                <w:szCs w:val="21"/>
              </w:rPr>
              <w:t>防火墙规则根据需要可以配置成有状态</w:t>
            </w:r>
            <w:r>
              <w:rPr>
                <w:rFonts w:ascii="仿宋" w:hAnsi="仿宋" w:eastAsia="仿宋"/>
                <w:sz w:val="21"/>
                <w:szCs w:val="21"/>
              </w:rPr>
              <w:t>或</w:t>
            </w:r>
            <w:r>
              <w:rPr>
                <w:rFonts w:hint="eastAsia" w:ascii="仿宋" w:hAnsi="仿宋" w:eastAsia="仿宋"/>
                <w:sz w:val="21"/>
                <w:szCs w:val="21"/>
              </w:rPr>
              <w:t>无状态模</w:t>
            </w:r>
            <w:r>
              <w:rPr>
                <w:rFonts w:ascii="仿宋" w:hAnsi="仿宋" w:eastAsia="仿宋"/>
                <w:sz w:val="21"/>
                <w:szCs w:val="21"/>
              </w:rPr>
              <w:t>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7</w:t>
            </w:r>
            <w:r>
              <w:rPr>
                <w:rFonts w:hint="eastAsia" w:ascii="仿宋" w:hAnsi="仿宋" w:eastAsia="仿宋"/>
                <w:sz w:val="21"/>
                <w:szCs w:val="21"/>
              </w:rPr>
              <w:t>.1</w:t>
            </w:r>
            <w:r>
              <w:rPr>
                <w:rFonts w:ascii="仿宋" w:hAnsi="仿宋" w:eastAsia="仿宋"/>
                <w:sz w:val="21"/>
                <w:szCs w:val="21"/>
              </w:rPr>
              <w:t>6</w:t>
            </w:r>
            <w:r>
              <w:rPr>
                <w:rFonts w:hint="eastAsia" w:ascii="仿宋" w:hAnsi="仿宋" w:eastAsia="仿宋"/>
                <w:sz w:val="21"/>
                <w:szCs w:val="21"/>
              </w:rPr>
              <w:t>所投网络虚拟化软件能够直接融入现有云环境中，并实现与第三方杀毒软件或安全软件融合，无需在虚拟机内安装代理即可保护虚拟机，实现虚拟化环境下的安全防护。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restart"/>
            <w:tcBorders>
              <w:left w:val="single" w:color="auto" w:sz="4" w:space="0"/>
              <w:right w:val="single" w:color="auto" w:sz="4" w:space="0"/>
            </w:tcBorders>
            <w:noWrap w:val="0"/>
            <w:vAlign w:val="center"/>
          </w:tcPr>
          <w:p>
            <w:pPr>
              <w:rPr>
                <w:rFonts w:ascii="仿宋" w:hAnsi="仿宋" w:eastAsia="仿宋"/>
                <w:b/>
                <w:sz w:val="21"/>
                <w:szCs w:val="21"/>
              </w:rPr>
            </w:pPr>
            <w:r>
              <w:rPr>
                <w:rFonts w:hint="eastAsia" w:ascii="仿宋" w:hAnsi="仿宋" w:eastAsia="仿宋"/>
                <w:b/>
                <w:sz w:val="21"/>
                <w:szCs w:val="21"/>
              </w:rPr>
              <w:t>8</w:t>
            </w:r>
          </w:p>
        </w:tc>
        <w:tc>
          <w:tcPr>
            <w:tcW w:w="954" w:type="dxa"/>
            <w:vMerge w:val="restart"/>
            <w:tcBorders>
              <w:left w:val="single" w:color="auto" w:sz="4" w:space="0"/>
              <w:right w:val="single" w:color="auto" w:sz="4" w:space="0"/>
            </w:tcBorders>
            <w:noWrap w:val="0"/>
            <w:vAlign w:val="center"/>
          </w:tcPr>
          <w:p>
            <w:pPr>
              <w:jc w:val="center"/>
              <w:rPr>
                <w:rFonts w:ascii="仿宋" w:hAnsi="仿宋" w:eastAsia="仿宋"/>
                <w:b/>
                <w:sz w:val="21"/>
                <w:szCs w:val="21"/>
              </w:rPr>
            </w:pPr>
            <w:r>
              <w:rPr>
                <w:rFonts w:hint="eastAsia" w:ascii="仿宋" w:hAnsi="仿宋" w:eastAsia="仿宋"/>
                <w:b/>
                <w:sz w:val="21"/>
                <w:szCs w:val="21"/>
              </w:rPr>
              <w:t>技术和服务要求</w:t>
            </w: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w:t>
            </w:r>
            <w:r>
              <w:rPr>
                <w:rFonts w:hint="eastAsia" w:ascii="仿宋" w:hAnsi="仿宋" w:eastAsia="仿宋"/>
                <w:sz w:val="21"/>
                <w:szCs w:val="21"/>
              </w:rPr>
              <w:t>1完成本次项目的实施部署，包括但不限于与虚拟化超融合设备配套相关的万兆交换机、服务器虚拟化软件等安装部署并完成联调，要求交付的是一套完整的可用的虚拟化超融合基础架构平台。协助把现有一部分业务系统或现有部署在其他平台的业务虚拟机无缝迁移到新部署的虚拟化超融合平台上，迁移过程中要求业务可持续提供服务和数据不丢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w:t>
            </w:r>
            <w:r>
              <w:rPr>
                <w:rFonts w:hint="eastAsia" w:ascii="仿宋" w:hAnsi="仿宋" w:eastAsia="仿宋"/>
                <w:sz w:val="21"/>
                <w:szCs w:val="21"/>
              </w:rPr>
              <w:t>2合同服务期内，成交服务商需提供5名具有原厂虚拟化专家证书的技术人员，现场服务、技术电话、远程技术支持，协助采购人解决故障问题。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 xml:space="preserve">8.3 </w:t>
            </w:r>
            <w:r>
              <w:rPr>
                <w:rFonts w:hint="eastAsia" w:ascii="仿宋" w:hAnsi="仿宋" w:eastAsia="仿宋"/>
                <w:sz w:val="21"/>
                <w:szCs w:val="21"/>
              </w:rPr>
              <w:t>提供虚拟化平台内核心业务的状态，核心存储性能等自定义仪表板，虚拟化平台整体状体评估分析等技术支持服务，能在监控屏展示用户指定参数的自定义仪表板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w:t>
            </w:r>
            <w:r>
              <w:rPr>
                <w:rFonts w:hint="eastAsia" w:ascii="仿宋" w:hAnsi="仿宋" w:eastAsia="仿宋"/>
                <w:sz w:val="21"/>
                <w:szCs w:val="21"/>
              </w:rPr>
              <w:t>4提供虚拟化平台内系统日志整合，智能化日志分析，自定义仪表板等技术支持服务；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8.5</w:t>
            </w:r>
            <w:r>
              <w:rPr>
                <w:rFonts w:hint="eastAsia" w:ascii="仿宋" w:hAnsi="仿宋" w:eastAsia="仿宋"/>
                <w:sz w:val="21"/>
                <w:szCs w:val="21"/>
              </w:rPr>
              <w:t>提供虚拟化平台内业务流量分析，业务之间网络隔离建议，防火墙策略上线，自定义整体性能仪表板等技术支持服务，能在监控屏展示用户指定参数的自定义仪表板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8.6</w:t>
            </w:r>
            <w:r>
              <w:rPr>
                <w:rFonts w:hint="eastAsia" w:ascii="仿宋" w:hAnsi="仿宋" w:eastAsia="仿宋"/>
                <w:sz w:val="21"/>
                <w:szCs w:val="21"/>
              </w:rPr>
              <w:t>升级迁移改造全院虚拟化平台，建设一套管理集群，建设全院虚拟化运维平台，全院虚拟化日志审计平台，建设全院虚拟化分布式防火墙，建设全院虚拟化东西流量监控平台，提供一年技术支持及巡检服务。协助院方在电子病历，安全等保等医疗业务评审过程中按需对虚拟化平台进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8.7</w:t>
            </w:r>
            <w:r>
              <w:rPr>
                <w:rFonts w:hint="eastAsia" w:ascii="仿宋" w:hAnsi="仿宋" w:eastAsia="仿宋"/>
                <w:sz w:val="21"/>
                <w:szCs w:val="21"/>
              </w:rPr>
              <w:t>合同服务期内，需提供一名技术客户经理，具备三年或以上工作经验、有虚拟化VCAP认证的工程师，</w:t>
            </w:r>
            <w:r>
              <w:rPr>
                <w:rFonts w:ascii="仿宋" w:hAnsi="仿宋" w:eastAsia="仿宋"/>
                <w:sz w:val="21"/>
                <w:szCs w:val="21"/>
              </w:rPr>
              <w:t>负责接收、了解、分析、调动、跟进等相关协调工作，对已验收合格交付的设备，在维保服务期内，提供电话、远程、上门、邮件等多种沟通方式，为每一单服务创建相关记录，对采购人的设备系统在生命周期内的运行状况及解决问题情况进行跟踪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0" w:hRule="atLeast"/>
          <w:jc w:val="center"/>
        </w:trPr>
        <w:tc>
          <w:tcPr>
            <w:tcW w:w="567" w:type="dxa"/>
            <w:vMerge w:val="continue"/>
            <w:tcBorders>
              <w:left w:val="single" w:color="auto" w:sz="4" w:space="0"/>
              <w:right w:val="single" w:color="auto" w:sz="4" w:space="0"/>
            </w:tcBorders>
            <w:noWrap w:val="0"/>
            <w:vAlign w:val="center"/>
          </w:tcPr>
          <w:p>
            <w:pPr>
              <w:rPr>
                <w:rFonts w:ascii="仿宋" w:hAnsi="仿宋" w:eastAsia="仿宋"/>
                <w:b/>
                <w:sz w:val="21"/>
                <w:szCs w:val="21"/>
              </w:rPr>
            </w:pPr>
          </w:p>
        </w:tc>
        <w:tc>
          <w:tcPr>
            <w:tcW w:w="954" w:type="dxa"/>
            <w:vMerge w:val="continue"/>
            <w:tcBorders>
              <w:left w:val="single" w:color="auto" w:sz="4" w:space="0"/>
              <w:right w:val="single" w:color="auto" w:sz="4" w:space="0"/>
            </w:tcBorders>
            <w:noWrap w:val="0"/>
            <w:vAlign w:val="center"/>
          </w:tcPr>
          <w:p>
            <w:pPr>
              <w:jc w:val="center"/>
              <w:rPr>
                <w:rFonts w:ascii="仿宋" w:hAnsi="仿宋" w:eastAsia="仿宋"/>
                <w:b/>
                <w:sz w:val="21"/>
                <w:szCs w:val="21"/>
              </w:rPr>
            </w:pPr>
          </w:p>
        </w:tc>
        <w:tc>
          <w:tcPr>
            <w:tcW w:w="7212" w:type="dxa"/>
            <w:tcBorders>
              <w:top w:val="single" w:color="auto" w:sz="4" w:space="0"/>
              <w:left w:val="single" w:color="auto" w:sz="4" w:space="0"/>
              <w:bottom w:val="single" w:color="auto" w:sz="4" w:space="0"/>
              <w:right w:val="single" w:color="auto" w:sz="4" w:space="0"/>
            </w:tcBorders>
            <w:noWrap w:val="0"/>
            <w:vAlign w:val="top"/>
          </w:tcPr>
          <w:p>
            <w:pPr>
              <w:rPr>
                <w:rFonts w:ascii="仿宋" w:hAnsi="仿宋" w:eastAsia="仿宋"/>
                <w:sz w:val="21"/>
                <w:szCs w:val="21"/>
              </w:rPr>
            </w:pPr>
            <w:r>
              <w:rPr>
                <w:rFonts w:ascii="仿宋" w:hAnsi="仿宋" w:eastAsia="仿宋"/>
                <w:sz w:val="21"/>
                <w:szCs w:val="21"/>
              </w:rPr>
              <w:t>8.8</w:t>
            </w:r>
            <w:r>
              <w:rPr>
                <w:rFonts w:hint="eastAsia" w:ascii="仿宋" w:hAnsi="仿宋" w:eastAsia="仿宋"/>
                <w:sz w:val="21"/>
                <w:szCs w:val="21"/>
              </w:rPr>
              <w:t>合同服务期内,成交服务商需提供院方虚拟化平台的运维监控技术支持服务，包括但不限于：重要资源监控，核心业务监控，月度、季度报告等，并配合院方的需求提供自定义监控内容。</w:t>
            </w:r>
          </w:p>
        </w:tc>
      </w:tr>
    </w:tbl>
    <w:p>
      <w:pPr>
        <w:pStyle w:val="50"/>
        <w:numPr>
          <w:ilvl w:val="1"/>
          <w:numId w:val="0"/>
        </w:numPr>
        <w:ind w:leftChars="0" w:firstLine="422" w:firstLineChars="200"/>
        <w:rPr>
          <w:rFonts w:hint="eastAsia" w:ascii="仿宋" w:hAnsi="仿宋" w:eastAsia="仿宋" w:cs="仿宋"/>
          <w:sz w:val="21"/>
          <w:szCs w:val="21"/>
        </w:rPr>
      </w:pPr>
      <w:r>
        <w:rPr>
          <w:rFonts w:hint="eastAsia" w:ascii="仿宋" w:hAnsi="仿宋" w:eastAsia="仿宋" w:cs="仿宋"/>
          <w:sz w:val="21"/>
          <w:szCs w:val="21"/>
          <w:lang w:val="en-US" w:eastAsia="zh-CN"/>
        </w:rPr>
        <w:t>4、</w:t>
      </w:r>
      <w:r>
        <w:rPr>
          <w:rFonts w:hint="eastAsia" w:ascii="仿宋" w:hAnsi="仿宋" w:eastAsia="仿宋" w:cs="仿宋"/>
          <w:sz w:val="21"/>
          <w:szCs w:val="21"/>
        </w:rPr>
        <w:t>服务需求</w:t>
      </w:r>
    </w:p>
    <w:p>
      <w:pPr>
        <w:pStyle w:val="6"/>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4.1</w:t>
      </w:r>
      <w:r>
        <w:rPr>
          <w:rFonts w:hint="eastAsia" w:ascii="仿宋" w:hAnsi="仿宋" w:eastAsia="仿宋" w:cs="仿宋"/>
          <w:spacing w:val="-1"/>
          <w:sz w:val="21"/>
          <w:szCs w:val="21"/>
        </w:rPr>
        <w:t>免费维护期要求：从项目验收通过之日起</w:t>
      </w:r>
      <w:r>
        <w:rPr>
          <w:rFonts w:hint="eastAsia" w:ascii="仿宋" w:hAnsi="仿宋" w:eastAsia="仿宋" w:cs="仿宋"/>
          <w:spacing w:val="-1"/>
          <w:sz w:val="21"/>
          <w:szCs w:val="21"/>
          <w:lang w:val="en-US" w:eastAsia="zh-CN"/>
        </w:rPr>
        <w:t>不少于1</w:t>
      </w:r>
      <w:r>
        <w:rPr>
          <w:rFonts w:hint="eastAsia" w:ascii="仿宋" w:hAnsi="仿宋" w:eastAsia="仿宋" w:cs="仿宋"/>
          <w:spacing w:val="-1"/>
          <w:sz w:val="21"/>
          <w:szCs w:val="21"/>
        </w:rPr>
        <w:t>年，包括系统</w:t>
      </w:r>
      <w:r>
        <w:rPr>
          <w:rFonts w:hint="eastAsia" w:ascii="仿宋" w:hAnsi="仿宋" w:eastAsia="仿宋" w:cs="仿宋"/>
          <w:spacing w:val="-1"/>
          <w:sz w:val="21"/>
          <w:szCs w:val="21"/>
          <w:lang w:eastAsia="zh-CN"/>
        </w:rPr>
        <w:t>（</w:t>
      </w:r>
      <w:r>
        <w:rPr>
          <w:rFonts w:hint="eastAsia" w:ascii="仿宋" w:hAnsi="仿宋" w:eastAsia="仿宋" w:cs="仿宋"/>
          <w:spacing w:val="-1"/>
          <w:sz w:val="21"/>
          <w:szCs w:val="21"/>
          <w:lang w:val="en-US" w:eastAsia="zh-CN"/>
        </w:rPr>
        <w:t>软硬件）</w:t>
      </w:r>
      <w:r>
        <w:rPr>
          <w:rFonts w:hint="eastAsia" w:ascii="仿宋" w:hAnsi="仿宋" w:eastAsia="仿宋" w:cs="仿宋"/>
          <w:spacing w:val="-1"/>
          <w:sz w:val="21"/>
          <w:szCs w:val="21"/>
        </w:rPr>
        <w:t>局部功能修订及完善服务等。质量保证期内投标人因维护软件所发生的一切费用，包括工时费、交通费、住宿费、通讯费均由响应供应商承担。质保期过后，响应供应商应</w:t>
      </w:r>
      <w:r>
        <w:rPr>
          <w:rFonts w:hint="eastAsia" w:ascii="仿宋" w:hAnsi="仿宋" w:eastAsia="仿宋" w:cs="仿宋"/>
          <w:spacing w:val="-1"/>
          <w:sz w:val="21"/>
          <w:szCs w:val="21"/>
          <w:lang w:val="en-US" w:eastAsia="zh-CN"/>
        </w:rPr>
        <w:t>能</w:t>
      </w:r>
      <w:r>
        <w:rPr>
          <w:rFonts w:hint="eastAsia" w:ascii="仿宋" w:hAnsi="仿宋" w:eastAsia="仿宋" w:cs="仿宋"/>
          <w:spacing w:val="-1"/>
          <w:sz w:val="21"/>
          <w:szCs w:val="21"/>
        </w:rPr>
        <w:t>提供系统</w:t>
      </w:r>
      <w:r>
        <w:rPr>
          <w:rFonts w:hint="eastAsia" w:ascii="仿宋" w:hAnsi="仿宋" w:eastAsia="仿宋" w:cs="仿宋"/>
          <w:spacing w:val="-1"/>
          <w:sz w:val="21"/>
          <w:szCs w:val="21"/>
          <w:lang w:val="en-US" w:eastAsia="zh-CN"/>
        </w:rPr>
        <w:t>软硬件</w:t>
      </w:r>
      <w:r>
        <w:rPr>
          <w:rFonts w:hint="eastAsia" w:ascii="仿宋" w:hAnsi="仿宋" w:eastAsia="仿宋" w:cs="仿宋"/>
          <w:spacing w:val="-1"/>
          <w:sz w:val="21"/>
          <w:szCs w:val="21"/>
        </w:rPr>
        <w:t>终身维护和服务，具体维护费用由采购人和响应供应商通过合同或协议商定，但</w:t>
      </w:r>
      <w:r>
        <w:rPr>
          <w:rFonts w:hint="eastAsia" w:ascii="仿宋" w:hAnsi="仿宋" w:eastAsia="仿宋" w:cs="仿宋"/>
          <w:spacing w:val="-1"/>
          <w:sz w:val="21"/>
          <w:szCs w:val="21"/>
          <w:lang w:val="en-US" w:eastAsia="zh-CN"/>
        </w:rPr>
        <w:t>每年应</w:t>
      </w:r>
      <w:r>
        <w:rPr>
          <w:rFonts w:hint="eastAsia" w:ascii="仿宋" w:hAnsi="仿宋" w:eastAsia="仿宋" w:cs="仿宋"/>
          <w:spacing w:val="-1"/>
          <w:sz w:val="21"/>
          <w:szCs w:val="21"/>
        </w:rPr>
        <w:t>不超过总投资费用的</w:t>
      </w:r>
      <w:r>
        <w:rPr>
          <w:rFonts w:hint="eastAsia" w:ascii="仿宋" w:hAnsi="仿宋" w:eastAsia="仿宋" w:cs="仿宋"/>
          <w:spacing w:val="-1"/>
          <w:sz w:val="21"/>
          <w:szCs w:val="21"/>
          <w:lang w:val="en-US" w:eastAsia="zh-CN"/>
        </w:rPr>
        <w:t>6</w:t>
      </w:r>
      <w:r>
        <w:rPr>
          <w:rFonts w:hint="eastAsia" w:ascii="仿宋" w:hAnsi="仿宋" w:eastAsia="仿宋" w:cs="仿宋"/>
          <w:spacing w:val="-1"/>
          <w:sz w:val="21"/>
          <w:szCs w:val="21"/>
        </w:rPr>
        <w:t>%。</w:t>
      </w:r>
    </w:p>
    <w:p>
      <w:pPr>
        <w:pStyle w:val="6"/>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4.2</w:t>
      </w:r>
      <w:r>
        <w:rPr>
          <w:rFonts w:hint="eastAsia" w:ascii="仿宋" w:hAnsi="仿宋" w:eastAsia="仿宋" w:cs="仿宋"/>
          <w:spacing w:val="-1"/>
          <w:sz w:val="21"/>
          <w:szCs w:val="21"/>
        </w:rPr>
        <w:t>售后服务要求：本项目范围内的软件系统开发维护服务，必须提供全年无休7*24小时技术热线电话服务。如发生故障必须30分钟内响应；若无法解决的，相关技术专家应4小时内到达现场，尽快加以修复故障。</w:t>
      </w:r>
    </w:p>
    <w:p>
      <w:pPr>
        <w:pStyle w:val="22"/>
        <w:numPr>
          <w:ilvl w:val="0"/>
          <w:numId w:val="0"/>
        </w:numPr>
        <w:ind w:firstLine="416" w:firstLineChars="200"/>
        <w:rPr>
          <w:rFonts w:hint="eastAsia" w:ascii="仿宋" w:hAnsi="仿宋" w:eastAsia="仿宋" w:cs="仿宋"/>
          <w:spacing w:val="-1"/>
          <w:sz w:val="21"/>
          <w:szCs w:val="21"/>
        </w:rPr>
      </w:pPr>
      <w:r>
        <w:rPr>
          <w:rFonts w:hint="eastAsia" w:ascii="仿宋" w:hAnsi="仿宋" w:eastAsia="仿宋" w:cs="仿宋"/>
          <w:spacing w:val="-1"/>
          <w:sz w:val="21"/>
          <w:szCs w:val="21"/>
          <w:lang w:val="en-US" w:eastAsia="zh-CN"/>
        </w:rPr>
        <w:t>4.3</w:t>
      </w:r>
      <w:r>
        <w:rPr>
          <w:rFonts w:hint="eastAsia" w:ascii="仿宋" w:hAnsi="仿宋" w:eastAsia="仿宋" w:cs="仿宋"/>
          <w:spacing w:val="-1"/>
          <w:sz w:val="21"/>
          <w:szCs w:val="21"/>
        </w:rPr>
        <w:t>培训要求：培训对象包括用户单位系统，如系统管理员、医师、科室主任等角色；通过培训使用户方能独立操作、维护、管理，从而使用户方能独立进行管理、故障处理、日常测试维护等日常工作，确保系统能正常安全运行。必须作出培训承诺，含培训计划、培训内容、培训方法、培训时间、培训地点等。</w:t>
      </w:r>
    </w:p>
    <w:p>
      <w:pPr>
        <w:pStyle w:val="22"/>
        <w:numPr>
          <w:ilvl w:val="0"/>
          <w:numId w:val="0"/>
        </w:numPr>
        <w:ind w:firstLine="420" w:firstLineChars="200"/>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4.4报价要求</w:t>
      </w:r>
    </w:p>
    <w:p>
      <w:pPr>
        <w:pStyle w:val="22"/>
        <w:numPr>
          <w:ilvl w:val="0"/>
          <w:numId w:val="0"/>
        </w:numPr>
        <w:spacing w:line="360" w:lineRule="auto"/>
        <w:rPr>
          <w:rFonts w:hint="eastAsia" w:ascii="仿宋" w:hAnsi="仿宋" w:eastAsia="仿宋" w:cs="仿宋"/>
          <w:bCs/>
          <w:sz w:val="21"/>
          <w:szCs w:val="21"/>
          <w:lang w:val="en-US" w:eastAsia="zh-CN"/>
        </w:rPr>
      </w:pPr>
      <w:r>
        <w:rPr>
          <w:rFonts w:hint="eastAsia" w:ascii="仿宋" w:hAnsi="仿宋" w:eastAsia="仿宋" w:cs="仿宋"/>
          <w:bCs/>
          <w:sz w:val="21"/>
          <w:szCs w:val="21"/>
          <w:lang w:val="en-US" w:eastAsia="zh-CN"/>
        </w:rPr>
        <w:t xml:space="preserve">    </w:t>
      </w:r>
      <w:r>
        <w:rPr>
          <w:rFonts w:hint="eastAsia" w:ascii="仿宋" w:hAnsi="仿宋" w:eastAsia="仿宋" w:cs="仿宋"/>
          <w:sz w:val="21"/>
          <w:szCs w:val="21"/>
        </w:rPr>
        <w:t>本项目以人民币进行报价，报价应包括：设计、设备制造、包装、仓储、运输、安装（含安装所需材料）、第三方检测验收、保修期与备品备件发生的所有含税费用以及合同实施过程中不可预见费用等，所有货物都必须由供应商专人送达，采购人不代收快递传送货物。设备拆箱、安装时成交供应商与厂家均应在场。项目执行期间项目总金额不变，采购人无须另向成交供应商支付其他任何费用。</w:t>
      </w:r>
    </w:p>
    <w:p>
      <w:pPr>
        <w:widowControl/>
        <w:spacing w:line="360" w:lineRule="auto"/>
        <w:ind w:firstLine="480" w:firstLineChars="200"/>
        <w:jc w:val="left"/>
        <w:rPr>
          <w:rFonts w:hint="eastAsia" w:ascii="宋体" w:hAnsi="宋体"/>
          <w:bCs/>
          <w:sz w:val="24"/>
          <w:szCs w:val="24"/>
        </w:rPr>
      </w:pPr>
    </w:p>
    <w:p>
      <w:pPr>
        <w:widowControl/>
        <w:jc w:val="left"/>
        <w:rPr>
          <w:rFonts w:ascii="宋体" w:hAnsi="宋体"/>
          <w:b/>
        </w:rPr>
      </w:pPr>
    </w:p>
    <w:p>
      <w:pPr>
        <w:widowControl/>
        <w:jc w:val="left"/>
        <w:rPr>
          <w:rFonts w:ascii="宋体" w:hAnsi="宋体"/>
          <w:b/>
        </w:rPr>
      </w:pPr>
      <w:r>
        <w:rPr>
          <w:rFonts w:ascii="宋体" w:hAnsi="宋体"/>
          <w:b/>
        </w:rPr>
        <w:br w:type="page"/>
      </w:r>
    </w:p>
    <w:p>
      <w:pPr>
        <w:spacing w:line="360" w:lineRule="auto"/>
        <w:jc w:val="center"/>
        <w:rPr>
          <w:rFonts w:ascii="宋体" w:hAnsi="宋体"/>
          <w:b/>
        </w:rPr>
      </w:pPr>
      <w:r>
        <w:rPr>
          <w:rFonts w:ascii="宋体" w:hAnsi="宋体"/>
          <w:b/>
        </w:rPr>
        <w:t>响应供应商须知</w:t>
      </w:r>
    </w:p>
    <w:p>
      <w:pPr>
        <w:spacing w:line="360" w:lineRule="auto"/>
        <w:rPr>
          <w:rFonts w:ascii="宋体" w:hAnsi="宋体" w:cs="宋体"/>
          <w:b/>
          <w:bCs/>
        </w:rPr>
      </w:pPr>
      <w:r>
        <w:rPr>
          <w:rFonts w:hint="eastAsia" w:ascii="宋体" w:hAnsi="宋体" w:cs="宋体"/>
          <w:b/>
          <w:bCs/>
        </w:rPr>
        <w:t>1.文件的数量和签署</w:t>
      </w:r>
    </w:p>
    <w:p>
      <w:pPr>
        <w:spacing w:line="360" w:lineRule="auto"/>
        <w:ind w:firstLine="420" w:firstLineChars="200"/>
        <w:jc w:val="left"/>
        <w:rPr>
          <w:rFonts w:ascii="宋体" w:hAnsi="宋体" w:cs="宋体"/>
        </w:rPr>
      </w:pPr>
      <w:r>
        <w:rPr>
          <w:rFonts w:hint="eastAsia" w:ascii="宋体" w:hAnsi="宋体" w:cs="宋体"/>
        </w:rPr>
        <w:t>1.1响应供应商应编制响应文件一式</w:t>
      </w:r>
      <w:r>
        <w:rPr>
          <w:rFonts w:hint="eastAsia" w:ascii="宋体" w:hAnsi="宋体" w:cs="宋体"/>
          <w:b/>
          <w:bCs/>
          <w:u w:val="single"/>
        </w:rPr>
        <w:t>壹</w:t>
      </w:r>
      <w:r>
        <w:rPr>
          <w:rFonts w:hint="eastAsia" w:ascii="宋体" w:hAnsi="宋体" w:cs="宋体"/>
        </w:rPr>
        <w:t>份。</w:t>
      </w:r>
    </w:p>
    <w:p>
      <w:pPr>
        <w:spacing w:line="360" w:lineRule="auto"/>
        <w:ind w:firstLine="420" w:firstLineChars="200"/>
        <w:rPr>
          <w:rFonts w:ascii="宋体" w:hAnsi="宋体" w:cs="宋体"/>
        </w:rPr>
      </w:pPr>
      <w:r>
        <w:rPr>
          <w:rFonts w:hint="eastAsia" w:ascii="宋体" w:hAnsi="宋体" w:cs="宋体"/>
        </w:rPr>
        <w:t>1.2 响应文件中的任何重要的插字、涂改和增删，必须由法定代表人或经其正式授权的代表在旁边签章或签字才有效。</w:t>
      </w:r>
    </w:p>
    <w:p>
      <w:pPr>
        <w:spacing w:line="360" w:lineRule="auto"/>
        <w:rPr>
          <w:rFonts w:ascii="宋体" w:hAnsi="宋体" w:cs="宋体"/>
          <w:b/>
          <w:bCs/>
        </w:rPr>
      </w:pPr>
      <w:r>
        <w:rPr>
          <w:rFonts w:hint="eastAsia" w:ascii="宋体" w:hAnsi="宋体" w:cs="宋体"/>
          <w:b/>
          <w:bCs/>
        </w:rPr>
        <w:t>2.磋商响应文件的的封装和标记</w:t>
      </w:r>
    </w:p>
    <w:p>
      <w:pPr>
        <w:spacing w:line="360" w:lineRule="auto"/>
        <w:ind w:firstLine="420" w:firstLineChars="200"/>
        <w:rPr>
          <w:rFonts w:ascii="宋体" w:hAnsi="宋体" w:cs="宋体"/>
        </w:rPr>
      </w:pPr>
      <w:r>
        <w:rPr>
          <w:rFonts w:hint="eastAsia" w:ascii="宋体" w:hAnsi="宋体" w:cs="宋体"/>
        </w:rPr>
        <w:t>2.1响应供应商应将响应文件单独密封包装，封口处须加盖投标人单位公章。</w:t>
      </w:r>
    </w:p>
    <w:p>
      <w:pPr>
        <w:spacing w:line="360" w:lineRule="auto"/>
        <w:ind w:firstLine="420" w:firstLineChars="200"/>
        <w:rPr>
          <w:rFonts w:ascii="宋体" w:hAnsi="宋体" w:cs="宋体"/>
          <w:bCs/>
        </w:rPr>
      </w:pPr>
      <w:r>
        <w:rPr>
          <w:rFonts w:hint="eastAsia" w:ascii="宋体" w:hAnsi="宋体" w:cs="宋体"/>
          <w:bCs/>
        </w:rPr>
        <w:t>2.2响应文件采用胶装式装订，装订应牢固、不易拆散和换页，不得采用活页装订</w:t>
      </w:r>
    </w:p>
    <w:p>
      <w:pPr>
        <w:spacing w:line="360" w:lineRule="auto"/>
        <w:ind w:firstLine="420" w:firstLineChars="200"/>
        <w:rPr>
          <w:rFonts w:ascii="宋体" w:hAnsi="宋体"/>
        </w:rPr>
      </w:pPr>
      <w:r>
        <w:rPr>
          <w:rFonts w:hint="eastAsia" w:ascii="宋体" w:hAnsi="宋体" w:cs="宋体"/>
          <w:lang w:val="hr-HR"/>
        </w:rPr>
        <w:t>2.3响应文件</w:t>
      </w:r>
      <w:r>
        <w:rPr>
          <w:rFonts w:hint="eastAsia" w:ascii="宋体" w:hAnsi="宋体" w:cs="宋体"/>
        </w:rPr>
        <w:t>需打印或用不褪色墨水书写，</w:t>
      </w:r>
      <w:r>
        <w:rPr>
          <w:rFonts w:hint="eastAsia" w:ascii="宋体" w:hAnsi="宋体" w:cs="宋体"/>
          <w:bCs/>
          <w:szCs w:val="24"/>
        </w:rPr>
        <w:t>投标文件正本每一页加盖单位公章并加盖骑缝章</w:t>
      </w:r>
      <w:r>
        <w:rPr>
          <w:rFonts w:hint="eastAsia" w:ascii="宋体" w:hAnsi="宋体" w:cs="宋体"/>
          <w:szCs w:val="24"/>
        </w:rPr>
        <w:t>。</w:t>
      </w:r>
    </w:p>
    <w:p>
      <w:pPr>
        <w:spacing w:line="360" w:lineRule="auto"/>
        <w:rPr>
          <w:rFonts w:ascii="宋体" w:hAnsi="宋体"/>
          <w:b/>
        </w:rPr>
      </w:pPr>
      <w:r>
        <w:rPr>
          <w:rFonts w:hint="eastAsia" w:ascii="宋体" w:hAnsi="宋体"/>
          <w:b/>
        </w:rPr>
        <w:t>3.</w:t>
      </w:r>
      <w:r>
        <w:rPr>
          <w:rFonts w:hint="eastAsia" w:ascii="宋体" w:hAnsi="宋体" w:cs="宋体"/>
          <w:b/>
          <w:bCs/>
        </w:rPr>
        <w:t xml:space="preserve"> 响应供应商悉知</w:t>
      </w:r>
    </w:p>
    <w:p>
      <w:pPr>
        <w:spacing w:line="360" w:lineRule="auto"/>
        <w:ind w:firstLine="420" w:firstLineChars="200"/>
        <w:rPr>
          <w:rFonts w:ascii="宋体" w:hAnsi="宋体" w:cs="宋体"/>
        </w:rPr>
      </w:pPr>
      <w:r>
        <w:rPr>
          <w:rFonts w:hint="eastAsia" w:ascii="宋体" w:hAnsi="宋体" w:cs="宋体"/>
        </w:rPr>
        <w:t>响应供应商将被视为已合理地尽可能地对所有影响本采购项目的事项，包括任何与本招标文件所列明的有关的特殊困难充分了解。</w:t>
      </w:r>
    </w:p>
    <w:p>
      <w:pPr>
        <w:spacing w:line="360" w:lineRule="auto"/>
        <w:rPr>
          <w:rFonts w:ascii="宋体" w:hAnsi="宋体" w:cs="宋体"/>
          <w:b/>
        </w:rPr>
      </w:pPr>
      <w:r>
        <w:rPr>
          <w:rFonts w:hint="eastAsia" w:ascii="宋体" w:hAnsi="宋体" w:cs="宋体"/>
          <w:b/>
        </w:rPr>
        <w:t>4.响应文件的递交</w:t>
      </w:r>
    </w:p>
    <w:p>
      <w:pPr>
        <w:spacing w:line="360" w:lineRule="auto"/>
        <w:ind w:firstLine="420" w:firstLineChars="200"/>
        <w:rPr>
          <w:rFonts w:hint="default" w:ascii="宋体" w:hAnsi="宋体" w:eastAsia="宋体" w:cs="宋体"/>
          <w:lang w:val="en-US" w:eastAsia="zh-CN"/>
        </w:rPr>
      </w:pPr>
      <w:r>
        <w:rPr>
          <w:rFonts w:hint="eastAsia" w:ascii="宋体" w:hAnsi="宋体" w:cs="宋体"/>
        </w:rPr>
        <w:t>所有响应文件应于采购公告的截止时间前递交到采购人指定地点，</w:t>
      </w:r>
      <w:r>
        <w:rPr>
          <w:rFonts w:hint="eastAsia" w:ascii="宋体" w:hAnsi="宋体" w:cs="宋体"/>
          <w:lang w:val="en-US" w:eastAsia="zh-CN"/>
        </w:rPr>
        <w:t>可邮寄或现场递交。</w:t>
      </w:r>
    </w:p>
    <w:p>
      <w:pPr>
        <w:spacing w:line="360" w:lineRule="auto"/>
        <w:rPr>
          <w:rFonts w:ascii="宋体" w:hAnsi="宋体" w:cs="宋体"/>
          <w:b/>
          <w:bCs/>
        </w:rPr>
      </w:pPr>
      <w:r>
        <w:rPr>
          <w:rFonts w:hint="eastAsia" w:ascii="宋体" w:hAnsi="宋体" w:cs="宋体"/>
          <w:b/>
          <w:bCs/>
        </w:rPr>
        <w:t>5</w:t>
      </w:r>
      <w:r>
        <w:rPr>
          <w:rFonts w:ascii="宋体" w:hAnsi="宋体" w:cs="宋体"/>
          <w:b/>
          <w:bCs/>
        </w:rPr>
        <w:t>.</w:t>
      </w:r>
      <w:r>
        <w:rPr>
          <w:rFonts w:hint="eastAsia" w:hAnsi="宋体" w:cs="宋体"/>
          <w:b/>
          <w:bCs/>
        </w:rPr>
        <w:t>本文件的解释权归采购人所有</w:t>
      </w:r>
      <w:r>
        <w:rPr>
          <w:rFonts w:hint="eastAsia" w:hAnsi="宋体" w:cs="宋体"/>
        </w:rPr>
        <w:t>。</w:t>
      </w:r>
    </w:p>
    <w:p>
      <w:pPr>
        <w:rPr>
          <w:rFonts w:ascii="宋体" w:hAnsi="宋体" w:cs="仿宋"/>
          <w:b/>
          <w:spacing w:val="100"/>
          <w:w w:val="110"/>
          <w:kern w:val="0"/>
          <w:sz w:val="44"/>
          <w:szCs w:val="44"/>
        </w:rPr>
      </w:pPr>
      <w:r>
        <w:rPr>
          <w:rFonts w:ascii="宋体" w:hAnsi="宋体" w:cs="宋体"/>
        </w:rPr>
        <w:br w:type="page"/>
      </w:r>
    </w:p>
    <w:p>
      <w:pPr>
        <w:widowControl/>
        <w:jc w:val="left"/>
        <w:rPr>
          <w:rFonts w:ascii="宋体" w:hAnsi="宋体" w:cs="仿宋"/>
          <w:b/>
          <w:spacing w:val="100"/>
          <w:w w:val="110"/>
          <w:kern w:val="0"/>
          <w:sz w:val="44"/>
          <w:szCs w:val="44"/>
        </w:rPr>
      </w:pPr>
    </w:p>
    <w:p>
      <w:pPr>
        <w:pStyle w:val="11"/>
        <w:tabs>
          <w:tab w:val="left" w:pos="1260"/>
        </w:tabs>
        <w:spacing w:line="680" w:lineRule="auto"/>
        <w:ind w:firstLine="0" w:firstLineChars="0"/>
        <w:jc w:val="center"/>
        <w:rPr>
          <w:rFonts w:hAnsi="宋体" w:cs="仿宋"/>
          <w:b/>
          <w:spacing w:val="100"/>
          <w:w w:val="110"/>
          <w:sz w:val="44"/>
          <w:szCs w:val="44"/>
        </w:rPr>
      </w:pPr>
    </w:p>
    <w:p>
      <w:pPr>
        <w:pStyle w:val="11"/>
        <w:tabs>
          <w:tab w:val="left" w:pos="1260"/>
        </w:tabs>
        <w:spacing w:line="680" w:lineRule="auto"/>
        <w:ind w:firstLine="0" w:firstLineChars="0"/>
        <w:jc w:val="center"/>
        <w:rPr>
          <w:rFonts w:hAnsi="宋体" w:cs="仿宋"/>
          <w:b/>
          <w:spacing w:val="100"/>
          <w:w w:val="110"/>
          <w:sz w:val="44"/>
          <w:szCs w:val="44"/>
        </w:rPr>
      </w:pPr>
      <w:r>
        <w:rPr>
          <w:rFonts w:hint="eastAsia" w:hAnsi="宋体" w:cs="仿宋"/>
          <w:b/>
          <w:spacing w:val="100"/>
          <w:w w:val="110"/>
          <w:sz w:val="44"/>
          <w:szCs w:val="44"/>
        </w:rPr>
        <w:t>响应文件</w:t>
      </w:r>
    </w:p>
    <w:p>
      <w:pPr>
        <w:pStyle w:val="11"/>
        <w:tabs>
          <w:tab w:val="left" w:pos="1260"/>
        </w:tabs>
        <w:spacing w:line="680" w:lineRule="auto"/>
        <w:ind w:firstLine="0" w:firstLineChars="0"/>
        <w:jc w:val="center"/>
        <w:rPr>
          <w:rFonts w:hAnsi="宋体" w:cs="仿宋"/>
          <w:b/>
          <w:spacing w:val="100"/>
          <w:w w:val="110"/>
          <w:sz w:val="44"/>
          <w:szCs w:val="44"/>
        </w:rPr>
      </w:pPr>
      <w:r>
        <w:rPr>
          <w:rFonts w:hint="eastAsia" w:hAnsi="宋体" w:cs="仿宋"/>
          <w:b/>
          <w:sz w:val="44"/>
          <w:szCs w:val="44"/>
        </w:rPr>
        <w:t>（正本）</w:t>
      </w:r>
    </w:p>
    <w:p>
      <w:pPr>
        <w:pStyle w:val="11"/>
        <w:spacing w:line="680" w:lineRule="auto"/>
        <w:ind w:firstLine="482"/>
        <w:jc w:val="center"/>
        <w:rPr>
          <w:rFonts w:hAnsi="宋体" w:cs="仿宋"/>
          <w:b/>
          <w:szCs w:val="24"/>
        </w:rPr>
      </w:pPr>
    </w:p>
    <w:p>
      <w:pPr>
        <w:pStyle w:val="11"/>
        <w:spacing w:line="440" w:lineRule="auto"/>
        <w:ind w:firstLine="482"/>
        <w:jc w:val="center"/>
        <w:rPr>
          <w:rFonts w:hAnsi="宋体" w:cs="仿宋"/>
          <w:b/>
          <w:szCs w:val="24"/>
        </w:rPr>
      </w:pPr>
    </w:p>
    <w:p>
      <w:pPr>
        <w:pStyle w:val="9"/>
        <w:spacing w:line="440" w:lineRule="auto"/>
        <w:ind w:firstLine="0" w:firstLineChars="0"/>
        <w:rPr>
          <w:rFonts w:ascii="宋体" w:hAnsi="宋体" w:eastAsia="宋体" w:cs="仿宋"/>
          <w:sz w:val="24"/>
          <w:szCs w:val="24"/>
          <w:u w:val="single"/>
        </w:rPr>
      </w:pPr>
    </w:p>
    <w:p>
      <w:pPr>
        <w:pStyle w:val="9"/>
        <w:spacing w:line="440" w:lineRule="auto"/>
        <w:ind w:firstLine="1687" w:firstLineChars="700"/>
        <w:rPr>
          <w:rFonts w:ascii="宋体" w:hAnsi="宋体" w:eastAsia="宋体" w:cs="仿宋"/>
          <w:b/>
          <w:bCs/>
          <w:sz w:val="24"/>
          <w:szCs w:val="24"/>
        </w:rPr>
      </w:pPr>
      <w:r>
        <w:rPr>
          <w:rFonts w:hint="eastAsia" w:ascii="宋体" w:hAnsi="宋体" w:eastAsia="宋体" w:cs="仿宋"/>
          <w:b/>
          <w:sz w:val="24"/>
          <w:szCs w:val="24"/>
        </w:rPr>
        <w:t>项目名称</w:t>
      </w:r>
      <w:r>
        <w:rPr>
          <w:rFonts w:hint="eastAsia" w:ascii="宋体" w:hAnsi="宋体" w:eastAsia="宋体" w:cs="仿宋"/>
          <w:sz w:val="24"/>
          <w:szCs w:val="24"/>
        </w:rPr>
        <w:t>：</w:t>
      </w:r>
    </w:p>
    <w:p>
      <w:pPr>
        <w:pStyle w:val="11"/>
        <w:spacing w:line="440" w:lineRule="auto"/>
        <w:ind w:firstLine="1687" w:firstLineChars="7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723" w:firstLineChars="300"/>
        <w:rPr>
          <w:rFonts w:hAnsi="宋体" w:cs="仿宋"/>
          <w:b/>
          <w:szCs w:val="24"/>
        </w:rPr>
      </w:pPr>
    </w:p>
    <w:p>
      <w:pPr>
        <w:pStyle w:val="11"/>
        <w:spacing w:line="440" w:lineRule="auto"/>
        <w:ind w:firstLine="2243" w:firstLineChars="931"/>
        <w:rPr>
          <w:rFonts w:hAnsi="宋体" w:cs="仿宋"/>
          <w:b/>
          <w:szCs w:val="24"/>
          <w:u w:val="single"/>
        </w:rPr>
      </w:pPr>
      <w:r>
        <w:rPr>
          <w:rFonts w:hint="eastAsia" w:hAnsi="宋体" w:cs="仿宋"/>
          <w:b/>
          <w:szCs w:val="24"/>
        </w:rPr>
        <w:t>报价单位名称：</w:t>
      </w:r>
      <w:r>
        <w:rPr>
          <w:rFonts w:hint="eastAsia" w:hAnsi="宋体" w:cs="仿宋"/>
          <w:b/>
          <w:szCs w:val="24"/>
          <w:u w:val="single"/>
        </w:rPr>
        <w:t xml:space="preserve">                    </w:t>
      </w:r>
    </w:p>
    <w:p>
      <w:pPr>
        <w:autoSpaceDE w:val="0"/>
        <w:autoSpaceDN w:val="0"/>
        <w:spacing w:line="440" w:lineRule="auto"/>
        <w:ind w:firstLine="2631" w:firstLineChars="1248"/>
        <w:rPr>
          <w:rFonts w:ascii="宋体" w:hAnsi="宋体" w:cs="仿宋"/>
          <w:b/>
          <w:u w:val="single"/>
        </w:rPr>
      </w:pPr>
      <w:r>
        <w:rPr>
          <w:rFonts w:hint="eastAsia" w:ascii="宋体" w:hAnsi="宋体" w:cs="仿宋"/>
          <w:b/>
        </w:rPr>
        <w:t>日期：</w:t>
      </w:r>
      <w:r>
        <w:rPr>
          <w:rFonts w:hint="eastAsia" w:ascii="宋体" w:hAnsi="宋体" w:cs="仿宋"/>
          <w:b/>
          <w:u w:val="single"/>
        </w:rPr>
        <w:t xml:space="preserve">             </w:t>
      </w:r>
      <w:r>
        <w:rPr>
          <w:rFonts w:hint="eastAsia" w:ascii="宋体" w:hAnsi="宋体" w:cs="仿宋"/>
          <w:b/>
        </w:rPr>
        <w:t>年</w:t>
      </w:r>
      <w:r>
        <w:rPr>
          <w:rFonts w:hint="eastAsia" w:ascii="宋体" w:hAnsi="宋体" w:cs="仿宋"/>
          <w:b/>
          <w:u w:val="single"/>
        </w:rPr>
        <w:t xml:space="preserve">      </w:t>
      </w:r>
      <w:r>
        <w:rPr>
          <w:rFonts w:hint="eastAsia" w:ascii="宋体" w:hAnsi="宋体" w:cs="仿宋"/>
          <w:b/>
        </w:rPr>
        <w:t>月</w:t>
      </w:r>
      <w:r>
        <w:rPr>
          <w:rFonts w:hint="eastAsia" w:ascii="宋体" w:hAnsi="宋体" w:cs="仿宋"/>
          <w:b/>
          <w:u w:val="single"/>
        </w:rPr>
        <w:t xml:space="preserve">      </w:t>
      </w:r>
      <w:r>
        <w:rPr>
          <w:rFonts w:hint="eastAsia" w:ascii="宋体" w:hAnsi="宋体" w:cs="仿宋"/>
          <w:b/>
        </w:rPr>
        <w:t>日</w:t>
      </w:r>
    </w:p>
    <w:p>
      <w:pPr>
        <w:autoSpaceDE w:val="0"/>
        <w:autoSpaceDN w:val="0"/>
        <w:adjustRightInd w:val="0"/>
        <w:ind w:firstLine="480"/>
        <w:jc w:val="center"/>
        <w:rPr>
          <w:rFonts w:ascii="宋体" w:hAnsi="宋体" w:cs="仿宋"/>
        </w:rPr>
      </w:pPr>
    </w:p>
    <w:p>
      <w:pPr>
        <w:autoSpaceDE w:val="0"/>
        <w:autoSpaceDN w:val="0"/>
        <w:adjustRightInd w:val="0"/>
        <w:ind w:firstLine="480"/>
        <w:jc w:val="center"/>
        <w:rPr>
          <w:rFonts w:ascii="宋体" w:hAnsi="宋体" w:cs="仿宋"/>
        </w:rPr>
      </w:pPr>
    </w:p>
    <w:p>
      <w:pPr>
        <w:ind w:firstLine="482"/>
        <w:jc w:val="center"/>
        <w:outlineLvl w:val="1"/>
        <w:rPr>
          <w:rFonts w:ascii="宋体" w:hAnsi="宋体" w:cs="仿宋"/>
        </w:rPr>
      </w:pPr>
      <w:r>
        <w:rPr>
          <w:rFonts w:hint="eastAsia" w:ascii="宋体" w:hAnsi="宋体" w:cs="仿宋"/>
          <w:b/>
        </w:rPr>
        <w:br w:type="page"/>
      </w:r>
    </w:p>
    <w:p>
      <w:pPr>
        <w:spacing w:line="380" w:lineRule="exact"/>
        <w:rPr>
          <w:rFonts w:ascii="宋体" w:hAnsi="宋体" w:cs="仿宋"/>
          <w:u w:val="single"/>
        </w:rPr>
      </w:pPr>
      <w:r>
        <w:rPr>
          <w:rFonts w:hint="eastAsia" w:ascii="宋体" w:hAnsi="宋体" w:cs="仿宋"/>
          <w:b/>
          <w:bCs/>
        </w:rPr>
        <w:t>一．法定代表人/负责人资格证明书及授权委托书</w:t>
      </w:r>
    </w:p>
    <w:p>
      <w:pPr>
        <w:spacing w:line="360" w:lineRule="auto"/>
        <w:ind w:firstLine="413" w:firstLineChars="196"/>
        <w:jc w:val="center"/>
        <w:rPr>
          <w:rFonts w:ascii="宋体" w:hAnsi="宋体" w:cs="仿宋"/>
          <w:b/>
          <w:bCs/>
        </w:rPr>
      </w:pPr>
      <w:r>
        <w:rPr>
          <w:rFonts w:hint="eastAsia" w:ascii="宋体" w:hAnsi="宋体" w:cs="仿宋"/>
          <w:b/>
          <w:bCs/>
        </w:rPr>
        <w:t>法定代表人/负责人资格证明书</w:t>
      </w:r>
    </w:p>
    <w:p>
      <w:pPr>
        <w:spacing w:line="480" w:lineRule="auto"/>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spacing w:line="480" w:lineRule="auto"/>
        <w:ind w:firstLine="480"/>
        <w:rPr>
          <w:rFonts w:ascii="宋体" w:hAnsi="宋体" w:cs="仿宋"/>
        </w:rPr>
      </w:pPr>
      <w:r>
        <w:rPr>
          <w:rFonts w:hint="eastAsia" w:ascii="宋体" w:hAnsi="宋体" w:cs="仿宋"/>
          <w:u w:val="single"/>
        </w:rPr>
        <w:t xml:space="preserve">        </w:t>
      </w:r>
      <w:r>
        <w:rPr>
          <w:rFonts w:hint="eastAsia" w:ascii="宋体" w:hAnsi="宋体" w:cs="仿宋"/>
        </w:rPr>
        <w:t>同志，现任我单位</w:t>
      </w:r>
      <w:r>
        <w:rPr>
          <w:rFonts w:hint="eastAsia" w:ascii="宋体" w:hAnsi="宋体" w:cs="仿宋"/>
          <w:u w:val="single"/>
        </w:rPr>
        <w:t xml:space="preserve">          </w:t>
      </w:r>
      <w:r>
        <w:rPr>
          <w:rFonts w:hint="eastAsia" w:ascii="宋体" w:hAnsi="宋体" w:cs="仿宋"/>
        </w:rPr>
        <w:t>职务，为法定代表人，特此证明。</w:t>
      </w:r>
    </w:p>
    <w:p>
      <w:pPr>
        <w:spacing w:line="360" w:lineRule="auto"/>
        <w:ind w:firstLine="480"/>
        <w:rPr>
          <w:rFonts w:ascii="宋体" w:hAnsi="宋体" w:cs="仿宋"/>
        </w:rPr>
      </w:pPr>
      <w:r>
        <w:rPr>
          <w:rFonts w:hint="eastAsia" w:ascii="宋体" w:hAnsi="宋体" w:cs="仿宋"/>
        </w:rPr>
        <w:t>签发日期：           单位：           （盖章）</w:t>
      </w:r>
    </w:p>
    <w:p>
      <w:pPr>
        <w:spacing w:line="360" w:lineRule="auto"/>
        <w:ind w:firstLine="480"/>
        <w:rPr>
          <w:rFonts w:ascii="宋体" w:hAnsi="宋体" w:cs="仿宋"/>
        </w:rPr>
      </w:pPr>
      <w:r>
        <w:rPr>
          <w:rFonts w:hint="eastAsia" w:ascii="宋体" w:hAnsi="宋体" w:cs="仿宋"/>
        </w:rPr>
        <w:t>附：</w:t>
      </w:r>
    </w:p>
    <w:p>
      <w:pPr>
        <w:spacing w:line="360" w:lineRule="auto"/>
        <w:ind w:firstLine="480"/>
        <w:rPr>
          <w:rFonts w:ascii="宋体" w:hAnsi="宋体" w:cs="仿宋"/>
        </w:rPr>
      </w:pPr>
      <w:r>
        <w:rPr>
          <w:rFonts w:hint="eastAsia" w:ascii="宋体" w:hAnsi="宋体" w:cs="仿宋"/>
        </w:rPr>
        <w:t>代表人性别：            年龄：           身份证号码：</w:t>
      </w:r>
    </w:p>
    <w:p>
      <w:pPr>
        <w:spacing w:line="360" w:lineRule="auto"/>
        <w:ind w:firstLine="480"/>
        <w:rPr>
          <w:rFonts w:ascii="宋体" w:hAnsi="宋体" w:cs="仿宋"/>
        </w:rPr>
      </w:pPr>
      <w:r>
        <w:rPr>
          <w:rFonts w:hint="eastAsia" w:ascii="宋体" w:hAnsi="宋体" w:cs="仿宋"/>
        </w:rPr>
        <w:t>联系电话：</w:t>
      </w:r>
    </w:p>
    <w:p>
      <w:pPr>
        <w:spacing w:line="360" w:lineRule="auto"/>
        <w:ind w:firstLine="480"/>
        <w:rPr>
          <w:rFonts w:ascii="宋体" w:hAnsi="宋体" w:cs="仿宋"/>
        </w:rPr>
      </w:pPr>
      <w:r>
        <w:rPr>
          <w:rFonts w:hint="eastAsia" w:ascii="宋体" w:hAnsi="宋体" w:cs="仿宋"/>
        </w:rPr>
        <w:t>营业执照号码：                       经济性质：</w:t>
      </w:r>
    </w:p>
    <w:p>
      <w:pPr>
        <w:spacing w:line="360" w:lineRule="auto"/>
        <w:ind w:firstLine="480"/>
        <w:rPr>
          <w:rFonts w:ascii="宋体" w:hAnsi="宋体" w:cs="仿宋"/>
        </w:rPr>
      </w:pPr>
      <w:r>
        <w:rPr>
          <w:rFonts w:hint="eastAsia" w:ascii="宋体" w:hAnsi="宋体" w:cs="仿宋"/>
        </w:rPr>
        <w:t>主营（产）：</w:t>
      </w:r>
    </w:p>
    <w:p>
      <w:pPr>
        <w:spacing w:line="360" w:lineRule="auto"/>
        <w:ind w:firstLine="480"/>
        <w:rPr>
          <w:rFonts w:ascii="宋体" w:hAnsi="宋体" w:cs="仿宋"/>
        </w:rPr>
      </w:pPr>
      <w:r>
        <w:rPr>
          <w:rFonts w:hint="eastAsia" w:ascii="宋体" w:hAnsi="宋体" w:cs="仿宋"/>
        </w:rPr>
        <w:t>兼营（产）：</w:t>
      </w:r>
    </w:p>
    <w:p>
      <w:pPr>
        <w:spacing w:line="360" w:lineRule="auto"/>
        <w:rPr>
          <w:rFonts w:ascii="宋体" w:hAnsi="宋体" w:cs="仿宋"/>
        </w:rPr>
      </w:pPr>
    </w:p>
    <w:p>
      <w:pPr>
        <w:spacing w:line="360" w:lineRule="auto"/>
        <w:rPr>
          <w:rFonts w:ascii="宋体" w:hAnsi="宋体" w:cs="仿宋"/>
        </w:rPr>
      </w:pPr>
      <w:r>
        <w:rPr>
          <w:rFonts w:hint="eastAsia" w:ascii="宋体" w:hAnsi="宋体" w:cs="仿宋"/>
        </w:rPr>
        <w:t>说明：1.法定代表人为企业事业单位、国家机关、社会团体的主要行政负责人。</w:t>
      </w:r>
    </w:p>
    <w:p>
      <w:pPr>
        <w:spacing w:line="360" w:lineRule="auto"/>
        <w:ind w:firstLine="480"/>
        <w:rPr>
          <w:rFonts w:ascii="宋体" w:hAnsi="宋体" w:cs="仿宋"/>
        </w:rPr>
      </w:pPr>
      <w:r>
        <w:rPr>
          <w:rFonts w:hint="eastAsia" w:ascii="宋体" w:hAnsi="宋体" w:cs="仿宋"/>
        </w:rPr>
        <w:t xml:space="preserve">  2.内容必须填写真实、清楚、涂改无效，不得转让、买卖。</w:t>
      </w:r>
    </w:p>
    <w:p>
      <w:pPr>
        <w:spacing w:line="360" w:lineRule="auto"/>
        <w:ind w:firstLine="480"/>
        <w:rPr>
          <w:rFonts w:ascii="宋体" w:hAnsi="宋体" w:cs="仿宋"/>
        </w:rPr>
      </w:pPr>
      <w:r>
        <w:rPr>
          <w:rFonts w:hint="eastAsia" w:ascii="宋体" w:hAnsi="宋体" w:cs="仿宋"/>
        </w:rPr>
        <w:t xml:space="preserve">  3.将此证明书提交对方作为合同附件。</w:t>
      </w:r>
    </w:p>
    <w:p>
      <w:pPr>
        <w:spacing w:line="360" w:lineRule="auto"/>
        <w:ind w:firstLine="560"/>
        <w:rPr>
          <w:rFonts w:ascii="宋体" w:hAnsi="宋体" w:cs="仿宋"/>
          <w:b/>
          <w:sz w:val="28"/>
          <w:szCs w:val="28"/>
        </w:rPr>
      </w:pPr>
      <w:r>
        <w:rPr>
          <w:rFonts w:hint="eastAsia" w:ascii="宋体" w:hAnsi="宋体" w:cs="仿宋"/>
          <w:sz w:val="28"/>
          <w:szCs w:val="28"/>
        </w:rPr>
        <w:t xml:space="preserve"> </w:t>
      </w:r>
      <w:r>
        <w:rPr>
          <w:rFonts w:hint="eastAsia" w:ascii="宋体" w:hAnsi="宋体" w:cs="仿宋"/>
          <w:b/>
          <w:sz w:val="28"/>
          <w:szCs w:val="28"/>
        </w:rPr>
        <w:t xml:space="preserve"> （为避免废标，请供应商务必提供本附件）</w:t>
      </w:r>
    </w:p>
    <w:p>
      <w:pPr>
        <w:pStyle w:val="11"/>
        <w:ind w:firstLine="0" w:firstLineChars="0"/>
        <w:rPr>
          <w:rFonts w:hAnsi="宋体"/>
          <w:b/>
          <w:bCs/>
          <w:sz w:val="21"/>
        </w:rPr>
      </w:pPr>
    </w:p>
    <w:p>
      <w:pPr>
        <w:pStyle w:val="11"/>
        <w:ind w:firstLine="422"/>
        <w:rPr>
          <w:rFonts w:hAnsi="宋体"/>
          <w:b/>
          <w:bCs/>
          <w:sz w:val="21"/>
        </w:rPr>
      </w:pPr>
      <w:r>
        <w:rPr>
          <w:rFonts w:hAnsi="宋体"/>
          <w:b/>
          <w:bCs/>
          <w:sz w:val="21"/>
        </w:rPr>
        <mc:AlternateContent>
          <mc:Choice Requires="wps">
            <w:drawing>
              <wp:anchor distT="0" distB="0" distL="114300" distR="114300" simplePos="0" relativeHeight="251660288" behindDoc="0" locked="0" layoutInCell="1" allowOverlap="1">
                <wp:simplePos x="0" y="0"/>
                <wp:positionH relativeFrom="column">
                  <wp:posOffset>2766695</wp:posOffset>
                </wp:positionH>
                <wp:positionV relativeFrom="paragraph">
                  <wp:posOffset>144780</wp:posOffset>
                </wp:positionV>
                <wp:extent cx="2491740" cy="1596390"/>
                <wp:effectExtent l="12065" t="10160" r="10795" b="12700"/>
                <wp:wrapNone/>
                <wp:docPr id="8" name="Rectangle 6"/>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Rectangle 6" o:spid="_x0000_s1026" o:spt="1" style="position:absolute;left:0pt;margin-left:217.85pt;margin-top:11.4pt;height:125.7pt;width:196.2pt;z-index:251660288;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eI4wW2AAAAAoBAAAPAAAAAAAA&#10;AAEAIAAAACIAAABkcnMvZG93bnJldi54bWxQSwECFAAUAAAACACHTuJACdkQhRICAAAwBAAADgAA&#10;AAAAAAABACAAAAAnAQAAZHJzL2Uyb0RvYy54bWxQSwUGAAAAAAYABgBZAQAAq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59264" behindDoc="0" locked="0" layoutInCell="1" allowOverlap="1">
                <wp:simplePos x="0" y="0"/>
                <wp:positionH relativeFrom="column">
                  <wp:posOffset>88265</wp:posOffset>
                </wp:positionH>
                <wp:positionV relativeFrom="paragraph">
                  <wp:posOffset>144780</wp:posOffset>
                </wp:positionV>
                <wp:extent cx="2479675" cy="1596390"/>
                <wp:effectExtent l="10160" t="10160" r="5715" b="12700"/>
                <wp:wrapNone/>
                <wp:docPr id="7" name="Rectangle 5"/>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Rectangle 5" o:spid="_x0000_s1026" o:spt="1" style="position:absolute;left:0pt;margin-left:6.95pt;margin-top:11.4pt;height:125.7pt;width:195.25pt;z-index:251659264;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jvcyY9cAAAAJAQAADwAAAAAA&#10;AAABACAAAAAiAAAAZHJzL2Rvd25yZXYueG1sUEsBAhQAFAAAAAgAh07iQHaTTd4UAgAAMAQAAA4A&#10;AAAAAAAAAQAgAAAAJgEAAGRycy9lMm9Eb2MueG1sUEsFBgAAAAAGAAYAWQEAAKwFA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szCs w:val="21"/>
                        </w:rPr>
                        <w:t>法定代表人</w:t>
                      </w:r>
                    </w:p>
                    <w:p>
                      <w:pPr>
                        <w:ind w:firstLine="420"/>
                        <w:jc w:val="center"/>
                        <w:rPr>
                          <w:szCs w:val="21"/>
                        </w:rPr>
                      </w:pP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1"/>
        <w:ind w:firstLine="422"/>
        <w:rPr>
          <w:rFonts w:hAnsi="宋体"/>
          <w:b/>
          <w:bCs/>
          <w:sz w:val="21"/>
        </w:rPr>
      </w:pPr>
    </w:p>
    <w:p>
      <w:pPr>
        <w:pStyle w:val="31"/>
        <w:ind w:firstLine="480"/>
        <w:rPr>
          <w:rFonts w:ascii="宋体" w:hAnsi="宋体"/>
        </w:rPr>
      </w:pPr>
      <w:r>
        <w:rPr>
          <w:rFonts w:hint="eastAsia" w:ascii="宋体" w:hAnsi="宋体" w:cs="宋体"/>
        </w:rPr>
        <w:br w:type="page"/>
      </w:r>
    </w:p>
    <w:p>
      <w:pPr>
        <w:pStyle w:val="31"/>
        <w:ind w:firstLine="480"/>
        <w:jc w:val="both"/>
        <w:rPr>
          <w:rFonts w:ascii="宋体" w:hAnsi="宋体"/>
        </w:rPr>
      </w:pPr>
    </w:p>
    <w:p>
      <w:pPr>
        <w:spacing w:line="360" w:lineRule="auto"/>
        <w:jc w:val="center"/>
        <w:rPr>
          <w:rFonts w:ascii="宋体" w:hAnsi="宋体" w:cs="仿宋"/>
        </w:rPr>
      </w:pPr>
      <w:r>
        <w:rPr>
          <w:rFonts w:hint="eastAsia" w:ascii="宋体" w:hAnsi="宋体" w:cs="仿宋"/>
          <w:b/>
          <w:bCs/>
        </w:rPr>
        <w:t>法定代表人/负责人授权委托书</w:t>
      </w:r>
    </w:p>
    <w:p>
      <w:pPr>
        <w:rPr>
          <w:rFonts w:ascii="宋体" w:hAnsi="宋体" w:cs="仿宋"/>
        </w:rPr>
      </w:pPr>
      <w:r>
        <w:rPr>
          <w:rFonts w:hint="eastAsia" w:ascii="宋体" w:hAnsi="宋体" w:cs="仿宋"/>
        </w:rPr>
        <w:t>致：</w:t>
      </w:r>
      <w:r>
        <w:rPr>
          <w:rFonts w:hint="eastAsia" w:ascii="宋体" w:hAnsi="宋体" w:cs="仿宋"/>
          <w:b/>
          <w:bCs/>
        </w:rPr>
        <w:t>茂名市人民医院</w:t>
      </w:r>
      <w:r>
        <w:rPr>
          <w:rFonts w:hint="eastAsia" w:ascii="宋体" w:hAnsi="宋体" w:cs="仿宋"/>
        </w:rPr>
        <w:t>：</w:t>
      </w:r>
    </w:p>
    <w:p>
      <w:pPr>
        <w:ind w:firstLine="480"/>
        <w:rPr>
          <w:rFonts w:ascii="宋体" w:hAnsi="宋体" w:cs="仿宋"/>
        </w:rPr>
      </w:pPr>
      <w:r>
        <w:rPr>
          <w:rFonts w:hint="eastAsia" w:ascii="宋体" w:hAnsi="宋体" w:cs="仿宋"/>
        </w:rPr>
        <w:t>兹授权</w:t>
      </w:r>
      <w:r>
        <w:rPr>
          <w:rFonts w:hint="eastAsia" w:ascii="宋体" w:hAnsi="宋体" w:cs="仿宋"/>
          <w:u w:val="single"/>
        </w:rPr>
        <w:t xml:space="preserve">             </w:t>
      </w:r>
      <w:r>
        <w:rPr>
          <w:rFonts w:hint="eastAsia" w:ascii="宋体" w:hAnsi="宋体" w:cs="仿宋"/>
        </w:rPr>
        <w:t>同志，为我方签订经济合同及办理其他事务代理人，其权限是：</w:t>
      </w:r>
    </w:p>
    <w:p>
      <w:pPr>
        <w:rPr>
          <w:rFonts w:ascii="宋体" w:hAnsi="宋体" w:cs="仿宋"/>
        </w:rPr>
      </w:pPr>
      <w:r>
        <w:rPr>
          <w:rFonts w:hint="eastAsia" w:ascii="宋体" w:hAnsi="宋体" w:cs="仿宋"/>
          <w:u w:val="single"/>
        </w:rPr>
        <w:t xml:space="preserve">                                                   </w:t>
      </w:r>
      <w:r>
        <w:rPr>
          <w:rFonts w:hint="eastAsia" w:ascii="宋体" w:hAnsi="宋体" w:cs="仿宋"/>
        </w:rPr>
        <w:t>。</w:t>
      </w:r>
    </w:p>
    <w:p>
      <w:pPr>
        <w:ind w:firstLine="480"/>
        <w:rPr>
          <w:rFonts w:ascii="宋体" w:hAnsi="宋体" w:cs="仿宋"/>
        </w:rPr>
      </w:pPr>
      <w:r>
        <w:rPr>
          <w:rFonts w:hint="eastAsia" w:ascii="宋体" w:hAnsi="宋体" w:cs="仿宋"/>
        </w:rPr>
        <w:t>授权单位：      （盖章）        法定代表人          （签名或盖私章）</w:t>
      </w:r>
    </w:p>
    <w:p>
      <w:pPr>
        <w:ind w:firstLine="480"/>
        <w:rPr>
          <w:rFonts w:ascii="宋体" w:hAnsi="宋体" w:cs="仿宋"/>
        </w:rPr>
      </w:pPr>
      <w:r>
        <w:rPr>
          <w:rFonts w:hint="eastAsia" w:ascii="宋体" w:hAnsi="宋体" w:cs="仿宋"/>
        </w:rPr>
        <w:t>有效期限：至        年       月      日       签发日期：</w:t>
      </w:r>
    </w:p>
    <w:p>
      <w:pPr>
        <w:ind w:firstLine="480"/>
        <w:rPr>
          <w:rFonts w:ascii="宋体" w:hAnsi="宋体" w:cs="仿宋"/>
        </w:rPr>
      </w:pPr>
      <w:r>
        <w:rPr>
          <w:rFonts w:hint="eastAsia" w:ascii="宋体" w:hAnsi="宋体" w:cs="仿宋"/>
        </w:rPr>
        <w:t>附：</w:t>
      </w:r>
    </w:p>
    <w:p>
      <w:pPr>
        <w:ind w:firstLine="480"/>
        <w:rPr>
          <w:rFonts w:ascii="宋体" w:hAnsi="宋体" w:cs="仿宋"/>
        </w:rPr>
      </w:pPr>
      <w:r>
        <w:rPr>
          <w:rFonts w:hint="eastAsia" w:ascii="宋体" w:hAnsi="宋体" w:cs="仿宋"/>
        </w:rPr>
        <w:t>代理人性别：        年龄：       职务：         身份证号码：</w:t>
      </w:r>
    </w:p>
    <w:p>
      <w:pPr>
        <w:ind w:firstLine="480"/>
        <w:rPr>
          <w:rFonts w:ascii="宋体" w:hAnsi="宋体" w:cs="仿宋"/>
        </w:rPr>
      </w:pPr>
      <w:r>
        <w:rPr>
          <w:rFonts w:hint="eastAsia" w:ascii="宋体" w:hAnsi="宋体" w:cs="仿宋"/>
        </w:rPr>
        <w:t>联系电话：</w:t>
      </w:r>
    </w:p>
    <w:p>
      <w:pPr>
        <w:ind w:firstLine="480"/>
        <w:rPr>
          <w:rFonts w:ascii="宋体" w:hAnsi="宋体" w:cs="仿宋"/>
        </w:rPr>
      </w:pPr>
      <w:r>
        <w:rPr>
          <w:rFonts w:hint="eastAsia" w:ascii="宋体" w:hAnsi="宋体" w:cs="仿宋"/>
        </w:rPr>
        <w:t>营业执照号码：                         经济性质：</w:t>
      </w:r>
    </w:p>
    <w:p>
      <w:pPr>
        <w:ind w:firstLine="480"/>
        <w:rPr>
          <w:rFonts w:ascii="宋体" w:hAnsi="宋体" w:cs="仿宋"/>
        </w:rPr>
      </w:pPr>
      <w:r>
        <w:rPr>
          <w:rFonts w:hint="eastAsia" w:ascii="宋体" w:hAnsi="宋体" w:cs="仿宋"/>
        </w:rPr>
        <w:t>主营（产）：</w:t>
      </w:r>
    </w:p>
    <w:p>
      <w:pPr>
        <w:ind w:firstLine="480"/>
        <w:rPr>
          <w:rFonts w:ascii="宋体" w:hAnsi="宋体" w:cs="仿宋"/>
        </w:rPr>
      </w:pPr>
      <w:r>
        <w:rPr>
          <w:rFonts w:hint="eastAsia" w:ascii="宋体" w:hAnsi="宋体" w:cs="仿宋"/>
        </w:rPr>
        <w:t>兼营（产）：</w:t>
      </w:r>
    </w:p>
    <w:p>
      <w:pPr>
        <w:ind w:firstLine="480"/>
        <w:rPr>
          <w:rFonts w:ascii="宋体" w:hAnsi="宋体" w:cs="仿宋"/>
        </w:rPr>
      </w:pPr>
    </w:p>
    <w:p>
      <w:pPr>
        <w:rPr>
          <w:rFonts w:ascii="宋体" w:hAnsi="宋体" w:cs="仿宋"/>
        </w:rPr>
      </w:pPr>
      <w:r>
        <w:rPr>
          <w:rFonts w:hint="eastAsia" w:ascii="宋体" w:hAnsi="宋体" w:cs="仿宋"/>
        </w:rPr>
        <w:t>说明：1、法定代表人为企业事业单位、国家机关、社会团体的主要行政负责人。</w:t>
      </w:r>
    </w:p>
    <w:p>
      <w:pPr>
        <w:ind w:firstLine="480"/>
        <w:rPr>
          <w:rFonts w:ascii="宋体" w:hAnsi="宋体" w:cs="仿宋"/>
        </w:rPr>
      </w:pPr>
      <w:r>
        <w:rPr>
          <w:rFonts w:hint="eastAsia" w:ascii="宋体" w:hAnsi="宋体" w:cs="仿宋"/>
        </w:rPr>
        <w:t xml:space="preserve">  2、内容必须填写真实、清楚、涂改无效，不得转让、买卖。</w:t>
      </w:r>
    </w:p>
    <w:p>
      <w:pPr>
        <w:ind w:firstLine="480"/>
        <w:rPr>
          <w:rFonts w:ascii="宋体" w:hAnsi="宋体" w:cs="仿宋"/>
        </w:rPr>
      </w:pPr>
      <w:r>
        <w:rPr>
          <w:rFonts w:hint="eastAsia" w:ascii="宋体" w:hAnsi="宋体" w:cs="仿宋"/>
        </w:rPr>
        <w:t xml:space="preserve">  3、将此证明书提交对方作为合同附件。</w:t>
      </w:r>
    </w:p>
    <w:p>
      <w:pPr>
        <w:ind w:firstLine="480"/>
        <w:rPr>
          <w:rFonts w:ascii="宋体" w:hAnsi="宋体" w:cs="仿宋"/>
        </w:rPr>
      </w:pPr>
      <w:r>
        <w:rPr>
          <w:rFonts w:hint="eastAsia" w:ascii="宋体" w:hAnsi="宋体" w:cs="仿宋"/>
        </w:rPr>
        <w:t xml:space="preserve">  4、授权权限：全权代表本公司参与上述采购项目的磋商响应，负责提供与签</w:t>
      </w:r>
    </w:p>
    <w:p>
      <w:pPr>
        <w:rPr>
          <w:rFonts w:ascii="宋体" w:hAnsi="宋体" w:cs="仿宋"/>
        </w:rPr>
      </w:pPr>
      <w:r>
        <w:rPr>
          <w:rFonts w:hint="eastAsia" w:ascii="宋体" w:hAnsi="宋体" w:cs="仿宋"/>
        </w:rPr>
        <w:t xml:space="preserve">   署确认一切文书资料，以及向贵方递交的任何补充承诺。</w:t>
      </w:r>
    </w:p>
    <w:p>
      <w:pPr>
        <w:ind w:firstLine="480"/>
        <w:rPr>
          <w:rFonts w:ascii="宋体" w:hAnsi="宋体" w:cs="仿宋"/>
        </w:rPr>
      </w:pPr>
      <w:r>
        <w:rPr>
          <w:rFonts w:hint="eastAsia" w:ascii="宋体" w:hAnsi="宋体" w:cs="仿宋"/>
        </w:rPr>
        <w:t xml:space="preserve">  5、有效期限：与本公司响应文件中标注的磋商有效期相同，自本单位盖</w:t>
      </w:r>
    </w:p>
    <w:p>
      <w:pPr>
        <w:rPr>
          <w:rFonts w:ascii="宋体" w:hAnsi="宋体" w:cs="仿宋"/>
        </w:rPr>
      </w:pPr>
      <w:r>
        <w:rPr>
          <w:rFonts w:hint="eastAsia" w:ascii="宋体" w:hAnsi="宋体" w:cs="仿宋"/>
        </w:rPr>
        <w:t xml:space="preserve">   公章之日起生效。</w:t>
      </w:r>
    </w:p>
    <w:p>
      <w:pPr>
        <w:ind w:firstLine="480"/>
        <w:rPr>
          <w:rFonts w:ascii="宋体" w:hAnsi="宋体" w:cs="仿宋"/>
        </w:rPr>
      </w:pPr>
      <w:r>
        <w:rPr>
          <w:rFonts w:hint="eastAsia" w:ascii="宋体" w:hAnsi="宋体" w:cs="仿宋"/>
        </w:rPr>
        <w:t xml:space="preserve">  6、磋商签字代表为法定代表人，则本表不适用。</w:t>
      </w:r>
    </w:p>
    <w:p>
      <w:pPr>
        <w:pStyle w:val="11"/>
        <w:ind w:firstLine="422"/>
        <w:rPr>
          <w:rFonts w:hAnsi="宋体"/>
          <w:b/>
          <w:bCs/>
          <w:sz w:val="21"/>
        </w:rPr>
      </w:pPr>
      <w:r>
        <w:rPr>
          <w:rFonts w:hAnsi="宋体"/>
          <w:b/>
          <w:bCs/>
          <w:sz w:val="21"/>
        </w:rPr>
        <mc:AlternateContent>
          <mc:Choice Requires="wps">
            <w:drawing>
              <wp:anchor distT="0" distB="0" distL="114300" distR="114300" simplePos="0" relativeHeight="251662336" behindDoc="0" locked="0" layoutInCell="1" allowOverlap="1">
                <wp:simplePos x="0" y="0"/>
                <wp:positionH relativeFrom="column">
                  <wp:posOffset>2766695</wp:posOffset>
                </wp:positionH>
                <wp:positionV relativeFrom="paragraph">
                  <wp:posOffset>144780</wp:posOffset>
                </wp:positionV>
                <wp:extent cx="2491740" cy="1596390"/>
                <wp:effectExtent l="12065" t="9525" r="10795" b="13335"/>
                <wp:wrapNone/>
                <wp:docPr id="6" name="矩形 22"/>
                <wp:cNvGraphicFramePr/>
                <a:graphic xmlns:a="http://schemas.openxmlformats.org/drawingml/2006/main">
                  <a:graphicData uri="http://schemas.microsoft.com/office/word/2010/wordprocessingShape">
                    <wps:wsp>
                      <wps:cNvSpPr>
                        <a:spLocks noChangeArrowheads="1"/>
                      </wps:cNvSpPr>
                      <wps:spPr bwMode="auto">
                        <a:xfrm>
                          <a:off x="0" y="0"/>
                          <a:ext cx="2491740"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wps:txbx>
                      <wps:bodyPr rot="0" vert="horz" wrap="square" lIns="91440" tIns="45720" rIns="91440" bIns="45720" anchor="t" anchorCtr="0" upright="1">
                        <a:noAutofit/>
                      </wps:bodyPr>
                    </wps:wsp>
                  </a:graphicData>
                </a:graphic>
              </wp:anchor>
            </w:drawing>
          </mc:Choice>
          <mc:Fallback>
            <w:pict>
              <v:rect id="矩形 22" o:spid="_x0000_s1026" o:spt="1" style="position:absolute;left:0pt;margin-left:217.85pt;margin-top:11.4pt;height:125.7pt;width:196.2pt;z-index:251662336;mso-width-relative:page;mso-height-relative:page;" fillcolor="#FFFFFF" filled="t" stroked="t" coordsize="21600,21600" o:gfxdata="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eI4wW2AAA&#10;AAoBAAAPAAAAAAAAAAEAIAAAACIAAABkcnMvZG93bnJldi54bWxQSwECFAAUAAAACACHTuJAhaeu&#10;gR4CAAAuBAAADgAAAAAAAAABACAAAAAn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居民身份证复印件（反面）粘贴处</w:t>
                      </w:r>
                    </w:p>
                    <w:p>
                      <w:pPr>
                        <w:ind w:firstLine="420"/>
                        <w:jc w:val="center"/>
                        <w:rPr>
                          <w:szCs w:val="21"/>
                        </w:rPr>
                      </w:pPr>
                      <w:r>
                        <w:rPr>
                          <w:rFonts w:hint="eastAsia"/>
                          <w:szCs w:val="21"/>
                        </w:rPr>
                        <w:t>（按原件大小）</w:t>
                      </w:r>
                    </w:p>
                    <w:p>
                      <w:pPr>
                        <w:ind w:firstLine="480"/>
                        <w:jc w:val="center"/>
                        <w:rPr>
                          <w:szCs w:val="21"/>
                        </w:rPr>
                      </w:pPr>
                    </w:p>
                  </w:txbxContent>
                </v:textbox>
              </v:rect>
            </w:pict>
          </mc:Fallback>
        </mc:AlternateContent>
      </w:r>
      <w:r>
        <w:rPr>
          <w:rFonts w:hAnsi="宋体"/>
          <w:b/>
          <w:bCs/>
          <w:sz w:val="21"/>
        </w:rPr>
        <mc:AlternateContent>
          <mc:Choice Requires="wps">
            <w:drawing>
              <wp:anchor distT="0" distB="0" distL="114300" distR="114300" simplePos="0" relativeHeight="251661312" behindDoc="0" locked="0" layoutInCell="1" allowOverlap="1">
                <wp:simplePos x="0" y="0"/>
                <wp:positionH relativeFrom="column">
                  <wp:posOffset>88265</wp:posOffset>
                </wp:positionH>
                <wp:positionV relativeFrom="paragraph">
                  <wp:posOffset>144780</wp:posOffset>
                </wp:positionV>
                <wp:extent cx="2479675" cy="1596390"/>
                <wp:effectExtent l="10160" t="9525" r="5715" b="13335"/>
                <wp:wrapNone/>
                <wp:docPr id="1" name="矩形 23"/>
                <wp:cNvGraphicFramePr/>
                <a:graphic xmlns:a="http://schemas.openxmlformats.org/drawingml/2006/main">
                  <a:graphicData uri="http://schemas.microsoft.com/office/word/2010/wordprocessingShape">
                    <wps:wsp>
                      <wps:cNvSpPr>
                        <a:spLocks noChangeArrowheads="1"/>
                      </wps:cNvSpPr>
                      <wps:spPr bwMode="auto">
                        <a:xfrm>
                          <a:off x="0" y="0"/>
                          <a:ext cx="2479675" cy="1596390"/>
                        </a:xfrm>
                        <a:prstGeom prst="rect">
                          <a:avLst/>
                        </a:prstGeom>
                        <a:solidFill>
                          <a:srgbClr val="FFFFFF"/>
                        </a:solidFill>
                        <a:ln w="9525">
                          <a:solidFill>
                            <a:srgbClr val="000000"/>
                          </a:solidFill>
                          <a:miter lim="800000"/>
                        </a:ln>
                      </wps:spPr>
                      <wps:txb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wps:txbx>
                      <wps:bodyPr rot="0" vert="horz" wrap="square" lIns="91440" tIns="45720" rIns="91440" bIns="45720" anchor="t" anchorCtr="0" upright="1">
                        <a:noAutofit/>
                      </wps:bodyPr>
                    </wps:wsp>
                  </a:graphicData>
                </a:graphic>
              </wp:anchor>
            </w:drawing>
          </mc:Choice>
          <mc:Fallback>
            <w:pict>
              <v:rect id="矩形 23" o:spid="_x0000_s1026" o:spt="1" style="position:absolute;left:0pt;margin-left:6.95pt;margin-top:11.4pt;height:125.7pt;width:195.25pt;z-index:251661312;mso-width-relative:page;mso-height-relative:page;" fillcolor="#FFFFFF" filled="t" stroked="t" coordsize="21600,21600" o:gfxdata="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CO9zJj1wAA&#10;AAkBAAAPAAAAAAAAAAEAIAAAACIAAABkcnMvZG93bnJldi54bWxQSwECFAAUAAAACACHTuJA2cxA&#10;3h8CAAAuBAAADgAAAAAAAAABACAAAAAmAQAAZHJzL2Uyb0RvYy54bWxQSwUGAAAAAAYABgBZAQAA&#10;twUAAAAA&#10;">
                <v:fill on="t" focussize="0,0"/>
                <v:stroke color="#000000" miterlimit="8" joinstyle="miter"/>
                <v:imagedata o:title=""/>
                <o:lock v:ext="edit" aspectratio="f"/>
                <v:textbox>
                  <w:txbxContent>
                    <w:p>
                      <w:pPr>
                        <w:ind w:firstLine="480"/>
                        <w:jc w:val="center"/>
                      </w:pPr>
                    </w:p>
                    <w:p>
                      <w:pPr>
                        <w:ind w:firstLine="420"/>
                        <w:jc w:val="center"/>
                        <w:rPr>
                          <w:szCs w:val="21"/>
                        </w:rPr>
                      </w:pPr>
                      <w:r>
                        <w:rPr>
                          <w:rFonts w:hint="eastAsia" w:ascii="宋体" w:hAnsi="宋体"/>
                          <w:szCs w:val="21"/>
                        </w:rPr>
                        <w:t>委托代理人</w:t>
                      </w:r>
                      <w:r>
                        <w:rPr>
                          <w:rFonts w:hint="eastAsia"/>
                          <w:szCs w:val="21"/>
                        </w:rPr>
                        <w:t>居民身份证复印件（正面）粘贴处</w:t>
                      </w:r>
                    </w:p>
                    <w:p>
                      <w:pPr>
                        <w:ind w:firstLine="420"/>
                        <w:jc w:val="center"/>
                        <w:rPr>
                          <w:szCs w:val="21"/>
                        </w:rPr>
                      </w:pPr>
                      <w:r>
                        <w:rPr>
                          <w:rFonts w:hint="eastAsia"/>
                          <w:szCs w:val="21"/>
                        </w:rPr>
                        <w:t>（按原件大小）</w:t>
                      </w:r>
                    </w:p>
                  </w:txbxContent>
                </v:textbox>
              </v:rect>
            </w:pict>
          </mc:Fallback>
        </mc:AlternateContent>
      </w:r>
    </w:p>
    <w:p>
      <w:pPr>
        <w:pStyle w:val="11"/>
        <w:ind w:firstLine="422"/>
        <w:rPr>
          <w:rFonts w:hAnsi="宋体"/>
          <w:b/>
          <w:bCs/>
          <w:sz w:val="21"/>
        </w:rPr>
      </w:pPr>
    </w:p>
    <w:p>
      <w:pPr>
        <w:spacing w:line="460" w:lineRule="exact"/>
        <w:rPr>
          <w:rFonts w:ascii="宋体" w:hAnsi="宋体" w:cs="仿宋"/>
          <w:b/>
          <w:bCs/>
        </w:rPr>
      </w:pPr>
      <w:r>
        <w:rPr>
          <w:rFonts w:hint="eastAsia" w:ascii="宋体" w:hAnsi="宋体"/>
          <w:b/>
          <w:bCs/>
          <w:szCs w:val="24"/>
          <w:u w:val="single"/>
        </w:rPr>
        <w:br w:type="page"/>
      </w:r>
    </w:p>
    <w:p>
      <w:pPr>
        <w:spacing w:line="460" w:lineRule="exact"/>
        <w:jc w:val="left"/>
        <w:rPr>
          <w:rFonts w:hint="default" w:ascii="宋体" w:hAnsi="宋体" w:eastAsia="宋体" w:cs="仿宋"/>
          <w:b/>
          <w:bCs/>
          <w:lang w:val="en-US" w:eastAsia="zh-CN"/>
        </w:rPr>
      </w:pPr>
      <w:r>
        <w:rPr>
          <w:rFonts w:hint="eastAsia" w:ascii="宋体" w:hAnsi="宋体" w:cs="仿宋"/>
          <w:b/>
          <w:bCs/>
          <w:lang w:val="en-US" w:eastAsia="zh-CN"/>
        </w:rPr>
        <w:t>二．供应商证件</w:t>
      </w: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hint="eastAsia" w:ascii="宋体" w:hAnsi="宋体" w:cs="仿宋"/>
          <w:b/>
          <w:bCs/>
          <w:lang w:val="en-US" w:eastAsia="zh-CN"/>
        </w:rPr>
      </w:pPr>
    </w:p>
    <w:p>
      <w:pPr>
        <w:spacing w:line="460" w:lineRule="exact"/>
        <w:jc w:val="left"/>
        <w:rPr>
          <w:rFonts w:ascii="宋体" w:hAnsi="宋体" w:cs="仿宋"/>
          <w:b/>
          <w:sz w:val="28"/>
          <w:szCs w:val="28"/>
        </w:rPr>
      </w:pPr>
      <w:r>
        <w:rPr>
          <w:rFonts w:hint="eastAsia" w:ascii="宋体" w:hAnsi="宋体" w:cs="仿宋"/>
          <w:b/>
          <w:bCs/>
          <w:lang w:val="en-US" w:eastAsia="zh-CN"/>
        </w:rPr>
        <w:t>三</w:t>
      </w:r>
      <w:r>
        <w:rPr>
          <w:rFonts w:hint="eastAsia" w:ascii="宋体" w:hAnsi="宋体" w:cs="仿宋"/>
          <w:b/>
          <w:bCs/>
        </w:rPr>
        <w:t>．关于资格的声明函</w:t>
      </w:r>
    </w:p>
    <w:p>
      <w:pPr>
        <w:rPr>
          <w:rFonts w:ascii="宋体" w:hAnsi="宋体" w:cs="仿宋"/>
        </w:rPr>
      </w:pPr>
    </w:p>
    <w:p>
      <w:pPr>
        <w:spacing w:line="360" w:lineRule="auto"/>
        <w:rPr>
          <w:rFonts w:ascii="宋体" w:hAnsi="宋体" w:cs="仿宋"/>
        </w:rPr>
      </w:pPr>
      <w:r>
        <w:rPr>
          <w:rFonts w:hint="eastAsia" w:ascii="宋体" w:hAnsi="宋体" w:cs="仿宋"/>
        </w:rPr>
        <w:t>致：</w:t>
      </w:r>
      <w:r>
        <w:rPr>
          <w:rFonts w:hint="eastAsia" w:ascii="宋体" w:hAnsi="宋体" w:cs="仿宋"/>
          <w:b/>
          <w:bCs/>
        </w:rPr>
        <w:t>茂名市人民医院</w:t>
      </w:r>
    </w:p>
    <w:p>
      <w:pPr>
        <w:spacing w:line="360" w:lineRule="auto"/>
        <w:ind w:firstLine="480"/>
        <w:rPr>
          <w:rFonts w:ascii="宋体" w:hAnsi="宋体" w:cs="仿宋"/>
          <w:highlight w:val="yellow"/>
        </w:rPr>
      </w:pPr>
      <w:r>
        <w:rPr>
          <w:rFonts w:hint="eastAsia" w:ascii="宋体" w:hAnsi="宋体" w:cs="仿宋"/>
        </w:rPr>
        <w:t>关于贵方采购项目名称</w:t>
      </w:r>
      <w:r>
        <w:rPr>
          <w:rFonts w:hint="eastAsia" w:ascii="宋体" w:hAnsi="宋体" w:cs="仿宋"/>
          <w:b/>
          <w:bCs/>
          <w:u w:val="single"/>
        </w:rPr>
        <w:t xml:space="preserve"> </w:t>
      </w:r>
      <w:r>
        <w:rPr>
          <w:rFonts w:ascii="宋体" w:hAnsi="宋体" w:cs="仿宋"/>
          <w:b/>
          <w:bCs/>
          <w:u w:val="single"/>
        </w:rPr>
        <w:t xml:space="preserve">             </w:t>
      </w:r>
      <w:r>
        <w:rPr>
          <w:rFonts w:hint="eastAsia" w:ascii="宋体" w:hAnsi="宋体" w:cs="仿宋"/>
          <w:u w:val="single"/>
        </w:rPr>
        <w:t>采购</w:t>
      </w:r>
      <w:r>
        <w:rPr>
          <w:rFonts w:hint="eastAsia" w:ascii="宋体" w:hAnsi="宋体" w:cs="仿宋"/>
        </w:rPr>
        <w:t>邀请，本签字人愿意参加报价，提供需求文件中规定的货物及服务，并证明提交的下列文件和说明是准确的和真实的。</w:t>
      </w:r>
    </w:p>
    <w:p>
      <w:pPr>
        <w:spacing w:line="360" w:lineRule="auto"/>
        <w:ind w:left="420" w:leftChars="200"/>
        <w:rPr>
          <w:rFonts w:ascii="宋体" w:hAnsi="宋体" w:cs="仿宋"/>
          <w:snapToGrid w:val="0"/>
          <w:kern w:val="0"/>
          <w:lang w:val="hr-HR"/>
        </w:rPr>
      </w:pPr>
      <w:r>
        <w:rPr>
          <w:rFonts w:hint="eastAsia" w:ascii="宋体" w:hAnsi="宋体" w:cs="仿宋"/>
          <w:snapToGrid w:val="0"/>
          <w:kern w:val="0"/>
        </w:rPr>
        <w:t>1、</w:t>
      </w:r>
      <w:r>
        <w:rPr>
          <w:rFonts w:hint="eastAsia" w:ascii="宋体" w:hAnsi="宋体" w:cs="仿宋"/>
          <w:snapToGrid w:val="0"/>
          <w:kern w:val="0"/>
          <w:lang w:val="hr-HR"/>
        </w:rPr>
        <w:t>具有承担民事责任能力的在国内注册的法人或其他组织或自然人，能够独立完成合同约定</w:t>
      </w:r>
      <w:r>
        <w:rPr>
          <w:rFonts w:hint="eastAsia" w:ascii="宋体" w:hAnsi="宋体" w:cs="仿宋"/>
          <w:snapToGrid w:val="0"/>
          <w:kern w:val="0"/>
        </w:rPr>
        <w:t>(提供</w:t>
      </w:r>
      <w:r>
        <w:rPr>
          <w:rFonts w:hint="eastAsia" w:ascii="宋体" w:hAnsi="宋体" w:cs="仿宋"/>
        </w:rPr>
        <w:t>企（事）业法人</w:t>
      </w:r>
      <w:r>
        <w:rPr>
          <w:rFonts w:hint="eastAsia" w:ascii="宋体" w:hAnsi="宋体" w:cs="仿宋"/>
          <w:snapToGrid w:val="0"/>
          <w:kern w:val="0"/>
        </w:rPr>
        <w:t>或者其他组织的营业执照等证明文件</w:t>
      </w:r>
      <w:r>
        <w:rPr>
          <w:rFonts w:hint="eastAsia" w:ascii="宋体" w:hAnsi="宋体" w:cs="仿宋"/>
        </w:rPr>
        <w:t>）</w:t>
      </w:r>
      <w:r>
        <w:rPr>
          <w:rFonts w:hint="eastAsia" w:ascii="宋体" w:hAnsi="宋体" w:cs="仿宋"/>
          <w:snapToGrid w:val="0"/>
          <w:kern w:val="0"/>
          <w:lang w:val="hr-HR"/>
        </w:rPr>
        <w:t>；</w:t>
      </w:r>
    </w:p>
    <w:p>
      <w:pPr>
        <w:spacing w:line="360" w:lineRule="auto"/>
        <w:ind w:left="420" w:leftChars="200"/>
        <w:rPr>
          <w:rFonts w:ascii="宋体" w:hAnsi="宋体" w:cs="仿宋"/>
          <w:szCs w:val="24"/>
          <w:lang w:val="zh-CN"/>
        </w:rPr>
      </w:pPr>
      <w:r>
        <w:rPr>
          <w:rFonts w:hint="eastAsia" w:ascii="宋体" w:hAnsi="宋体" w:cs="仿宋"/>
          <w:snapToGrid w:val="0"/>
          <w:kern w:val="0"/>
        </w:rPr>
        <w:t>2、</w:t>
      </w:r>
      <w:r>
        <w:rPr>
          <w:rFonts w:hint="eastAsia" w:ascii="宋体" w:hAnsi="宋体" w:cs="仿宋"/>
          <w:szCs w:val="24"/>
          <w:lang w:val="zh-CN"/>
        </w:rPr>
        <w:tab/>
      </w:r>
      <w:r>
        <w:rPr>
          <w:rFonts w:hint="eastAsia" w:ascii="宋体" w:hAnsi="宋体" w:cs="仿宋"/>
          <w:szCs w:val="24"/>
          <w:lang w:val="zh-CN"/>
        </w:rPr>
        <w:t>具有履行合同所必需的设备和专业技术能力</w:t>
      </w:r>
      <w:r>
        <w:rPr>
          <w:rFonts w:hint="eastAsia" w:ascii="宋体" w:hAnsi="宋体" w:cs="仿宋"/>
          <w:b/>
          <w:szCs w:val="24"/>
          <w:u w:val="single"/>
          <w:lang w:val="zh-CN"/>
        </w:rPr>
        <w:t>（提供声明函，格式自拟）</w:t>
      </w:r>
    </w:p>
    <w:p>
      <w:pPr>
        <w:spacing w:line="360" w:lineRule="auto"/>
        <w:ind w:firstLine="420" w:firstLineChars="200"/>
        <w:rPr>
          <w:rFonts w:ascii="宋体" w:hAnsi="宋体" w:cs="仿宋"/>
          <w:snapToGrid w:val="0"/>
          <w:kern w:val="0"/>
          <w:lang w:val="hr-HR"/>
        </w:rPr>
      </w:pPr>
      <w:r>
        <w:rPr>
          <w:rFonts w:ascii="宋体" w:hAnsi="宋体" w:cs="仿宋"/>
          <w:szCs w:val="24"/>
          <w:lang w:val="zh-CN"/>
        </w:rPr>
        <w:t>3</w:t>
      </w:r>
      <w:r>
        <w:rPr>
          <w:rFonts w:hint="eastAsia" w:ascii="宋体" w:hAnsi="宋体" w:cs="仿宋"/>
          <w:szCs w:val="24"/>
          <w:lang w:val="zh-CN"/>
        </w:rPr>
        <w:t>、参加政府采购活动前三年内，在经营活动中没有重大违法记录</w:t>
      </w:r>
      <w:r>
        <w:rPr>
          <w:rFonts w:hint="eastAsia" w:ascii="宋体" w:hAnsi="宋体" w:cs="仿宋"/>
          <w:b/>
          <w:szCs w:val="24"/>
          <w:u w:val="single"/>
          <w:lang w:val="zh-CN"/>
        </w:rPr>
        <w:t>（提供声明函，格式自拟）</w:t>
      </w:r>
      <w:r>
        <w:rPr>
          <w:rFonts w:hint="eastAsia" w:ascii="宋体" w:hAnsi="宋体" w:cs="仿宋"/>
          <w:szCs w:val="24"/>
          <w:lang w:val="zh-CN"/>
        </w:rPr>
        <w:t>；</w:t>
      </w:r>
    </w:p>
    <w:p>
      <w:pPr>
        <w:spacing w:line="360" w:lineRule="auto"/>
        <w:ind w:firstLine="480"/>
        <w:rPr>
          <w:rFonts w:ascii="宋体" w:hAnsi="宋体" w:cs="宋体"/>
          <w:color w:val="000000"/>
          <w:kern w:val="0"/>
          <w:sz w:val="22"/>
          <w:lang w:val="hr-HR"/>
        </w:rPr>
      </w:pPr>
      <w:r>
        <w:rPr>
          <w:rFonts w:ascii="宋体" w:hAnsi="宋体" w:cs="仿宋"/>
          <w:lang w:val="hr-HR"/>
        </w:rPr>
        <w:t>4</w:t>
      </w:r>
      <w:r>
        <w:rPr>
          <w:rFonts w:hint="eastAsia" w:ascii="宋体" w:hAnsi="宋体" w:cs="仿宋"/>
          <w:lang w:val="hr-HR"/>
        </w:rPr>
        <w:t>、</w:t>
      </w:r>
      <w:r>
        <w:rPr>
          <w:rFonts w:hint="eastAsia" w:ascii="宋体" w:hAnsi="宋体" w:cs="宋体"/>
          <w:color w:val="000000"/>
          <w:kern w:val="0"/>
          <w:sz w:val="22"/>
        </w:rPr>
        <w:t>未被列入</w:t>
      </w:r>
      <w:r>
        <w:rPr>
          <w:rFonts w:hint="eastAsia" w:ascii="宋体" w:hAnsi="宋体" w:cs="宋体"/>
          <w:color w:val="000000"/>
          <w:kern w:val="0"/>
          <w:sz w:val="22"/>
          <w:lang w:val="hr-HR"/>
        </w:rPr>
        <w:t>“</w:t>
      </w:r>
      <w:r>
        <w:rPr>
          <w:rFonts w:hint="eastAsia" w:ascii="宋体" w:hAnsi="宋体" w:cs="宋体"/>
          <w:color w:val="000000"/>
          <w:kern w:val="0"/>
          <w:sz w:val="22"/>
        </w:rPr>
        <w:t>信用中国</w:t>
      </w:r>
      <w:r>
        <w:rPr>
          <w:rFonts w:hint="eastAsia" w:ascii="宋体" w:hAnsi="宋体" w:cs="宋体"/>
          <w:color w:val="000000"/>
          <w:kern w:val="0"/>
          <w:sz w:val="22"/>
          <w:lang w:val="hr-HR"/>
        </w:rPr>
        <w:t>”</w:t>
      </w:r>
      <w:r>
        <w:rPr>
          <w:rFonts w:hint="eastAsia" w:ascii="宋体" w:hAnsi="宋体" w:cs="宋体"/>
          <w:color w:val="000000"/>
          <w:kern w:val="0"/>
          <w:sz w:val="22"/>
        </w:rPr>
        <w:t>网站</w:t>
      </w:r>
      <w:r>
        <w:rPr>
          <w:rFonts w:ascii="宋体" w:hAnsi="宋体" w:cs="宋体"/>
          <w:color w:val="000000"/>
          <w:kern w:val="0"/>
          <w:sz w:val="22"/>
          <w:u w:val="single"/>
          <w:lang w:val="hr-HR"/>
        </w:rPr>
        <w:t>(www.creditchina.gov.cn)</w:t>
      </w:r>
      <w:r>
        <w:rPr>
          <w:rFonts w:hint="eastAsia" w:ascii="宋体" w:hAnsi="宋体" w:cs="宋体"/>
          <w:color w:val="000000"/>
          <w:kern w:val="0"/>
          <w:sz w:val="22"/>
          <w:lang w:val="hr-HR"/>
        </w:rPr>
        <w:t>“</w:t>
      </w:r>
      <w:r>
        <w:rPr>
          <w:rFonts w:hint="eastAsia" w:ascii="宋体" w:hAnsi="宋体" w:cs="宋体"/>
          <w:color w:val="000000"/>
          <w:kern w:val="0"/>
          <w:sz w:val="22"/>
        </w:rPr>
        <w:t>记录失信被执行人或重大税收违法案件当事人名单或政府采购严重违法失信行为</w:t>
      </w:r>
      <w:r>
        <w:rPr>
          <w:rFonts w:hint="eastAsia" w:ascii="宋体" w:hAnsi="宋体" w:cs="宋体"/>
          <w:color w:val="000000"/>
          <w:kern w:val="0"/>
          <w:sz w:val="22"/>
          <w:lang w:val="hr-HR"/>
        </w:rPr>
        <w:t>”</w:t>
      </w:r>
      <w:r>
        <w:rPr>
          <w:rFonts w:hint="eastAsia" w:ascii="宋体" w:hAnsi="宋体" w:cs="宋体"/>
          <w:color w:val="000000"/>
          <w:kern w:val="0"/>
          <w:sz w:val="22"/>
        </w:rPr>
        <w:t>记录名单</w:t>
      </w:r>
      <w:r>
        <w:rPr>
          <w:rFonts w:hint="eastAsia" w:ascii="宋体" w:hAnsi="宋体" w:cs="宋体"/>
          <w:color w:val="000000"/>
          <w:kern w:val="0"/>
          <w:sz w:val="22"/>
          <w:lang w:val="hr-HR"/>
        </w:rPr>
        <w:t>；</w:t>
      </w:r>
    </w:p>
    <w:p>
      <w:pPr>
        <w:spacing w:line="360" w:lineRule="auto"/>
        <w:ind w:firstLine="480"/>
        <w:rPr>
          <w:rFonts w:ascii="宋体" w:hAnsi="宋体" w:cs="仿宋"/>
          <w:lang w:val="hr-HR"/>
        </w:rPr>
      </w:pPr>
      <w:r>
        <w:rPr>
          <w:rFonts w:ascii="宋体" w:hAnsi="宋体" w:cs="仿宋"/>
          <w:lang w:val="hr-HR"/>
        </w:rPr>
        <w:t>5</w:t>
      </w:r>
      <w:r>
        <w:rPr>
          <w:rFonts w:hint="eastAsia" w:ascii="宋体" w:hAnsi="宋体" w:cs="仿宋"/>
          <w:lang w:val="hr-HR"/>
        </w:rPr>
        <w:t>、</w:t>
      </w:r>
      <w:r>
        <w:rPr>
          <w:rFonts w:hint="eastAsia" w:ascii="宋体" w:hAnsi="宋体" w:cs="仿宋"/>
          <w:lang w:val="hr-HR"/>
        </w:rPr>
        <w:tab/>
      </w:r>
      <w:r>
        <w:rPr>
          <w:rFonts w:hint="eastAsia" w:ascii="宋体" w:hAnsi="宋体" w:cs="仿宋"/>
          <w:lang w:val="hr-HR"/>
        </w:rPr>
        <w:t>本项目不接受联合体投标</w:t>
      </w:r>
    </w:p>
    <w:p>
      <w:pPr>
        <w:spacing w:line="360" w:lineRule="auto"/>
        <w:ind w:firstLine="480"/>
        <w:rPr>
          <w:rFonts w:ascii="宋体" w:hAnsi="宋体" w:cs="仿宋"/>
        </w:rPr>
      </w:pPr>
      <w:r>
        <w:rPr>
          <w:rFonts w:hint="eastAsia" w:ascii="宋体" w:hAnsi="宋体" w:cs="仿宋"/>
        </w:rPr>
        <w:t>（相关证明文件附后）</w:t>
      </w:r>
    </w:p>
    <w:p>
      <w:pPr>
        <w:spacing w:line="480" w:lineRule="exact"/>
        <w:rPr>
          <w:rFonts w:ascii="宋体" w:hAnsi="宋体" w:cs="仿宋"/>
        </w:rPr>
      </w:pPr>
    </w:p>
    <w:p>
      <w:pPr>
        <w:adjustRightInd w:val="0"/>
        <w:snapToGrid w:val="0"/>
        <w:spacing w:line="300" w:lineRule="auto"/>
        <w:ind w:firstLine="480"/>
        <w:rPr>
          <w:rFonts w:ascii="宋体" w:hAnsi="宋体" w:cs="仿宋"/>
        </w:rPr>
      </w:pPr>
      <w:r>
        <w:rPr>
          <w:rFonts w:hint="eastAsia" w:ascii="宋体" w:hAnsi="宋体" w:cs="仿宋"/>
        </w:rPr>
        <w:t>…………</w:t>
      </w:r>
    </w:p>
    <w:p>
      <w:pPr>
        <w:spacing w:line="360" w:lineRule="auto"/>
        <w:ind w:firstLine="480"/>
        <w:rPr>
          <w:rFonts w:ascii="宋体" w:hAnsi="宋体" w:cs="仿宋"/>
        </w:rPr>
      </w:pPr>
    </w:p>
    <w:p>
      <w:pPr>
        <w:spacing w:line="360" w:lineRule="auto"/>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spacing w:line="360" w:lineRule="auto"/>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spacing w:line="360" w:lineRule="auto"/>
        <w:ind w:firstLine="480"/>
        <w:rPr>
          <w:rFonts w:ascii="宋体" w:hAnsi="宋体" w:cs="仿宋"/>
        </w:rPr>
      </w:pPr>
      <w:r>
        <w:rPr>
          <w:rFonts w:hint="eastAsia" w:ascii="宋体" w:hAnsi="宋体" w:cs="仿宋"/>
        </w:rPr>
        <w:t>日期：</w:t>
      </w:r>
      <w:r>
        <w:rPr>
          <w:rFonts w:hint="eastAsia" w:ascii="宋体" w:hAnsi="宋体" w:cs="仿宋"/>
          <w:u w:val="single"/>
        </w:rPr>
        <w:t xml:space="preserve">       </w:t>
      </w:r>
      <w:r>
        <w:rPr>
          <w:rFonts w:hint="eastAsia" w:ascii="宋体" w:hAnsi="宋体" w:cs="仿宋"/>
        </w:rPr>
        <w:t xml:space="preserve">年 </w:t>
      </w:r>
      <w:r>
        <w:rPr>
          <w:rFonts w:hint="eastAsia" w:ascii="宋体" w:hAnsi="宋体" w:cs="仿宋"/>
          <w:u w:val="single"/>
        </w:rPr>
        <w:t xml:space="preserve">     </w:t>
      </w:r>
      <w:r>
        <w:rPr>
          <w:rFonts w:hint="eastAsia" w:ascii="宋体" w:hAnsi="宋体" w:cs="仿宋"/>
        </w:rPr>
        <w:t>月</w:t>
      </w:r>
      <w:r>
        <w:rPr>
          <w:rFonts w:hint="eastAsia" w:ascii="宋体" w:hAnsi="宋体" w:cs="仿宋"/>
          <w:u w:val="single"/>
        </w:rPr>
        <w:t xml:space="preserve">     </w:t>
      </w:r>
      <w:r>
        <w:rPr>
          <w:rFonts w:hint="eastAsia" w:ascii="宋体" w:hAnsi="宋体" w:cs="仿宋"/>
        </w:rPr>
        <w:t>日</w:t>
      </w:r>
      <w:bookmarkStart w:id="0" w:name="_Toc202251076"/>
      <w:bookmarkStart w:id="1" w:name="_Toc202252035"/>
      <w:bookmarkStart w:id="2" w:name="_Toc202254106"/>
      <w:bookmarkStart w:id="3" w:name="_Toc202819879"/>
      <w:bookmarkStart w:id="4" w:name="_Toc31980"/>
      <w:bookmarkStart w:id="5" w:name="_Toc395800949"/>
      <w:bookmarkStart w:id="6" w:name="_Toc202251701"/>
      <w:bookmarkStart w:id="7" w:name="_Toc202820352"/>
      <w:bookmarkStart w:id="8" w:name="_Toc202816997"/>
    </w:p>
    <w:p>
      <w:pPr>
        <w:widowControl/>
        <w:jc w:val="center"/>
        <w:outlineLvl w:val="1"/>
        <w:rPr>
          <w:rFonts w:ascii="宋体" w:hAnsi="宋体" w:cs="仿宋"/>
          <w:b/>
        </w:rPr>
      </w:pPr>
    </w:p>
    <w:p>
      <w:pPr>
        <w:widowControl/>
        <w:jc w:val="left"/>
        <w:rPr>
          <w:rFonts w:ascii="宋体" w:hAnsi="宋体" w:cs="仿宋"/>
          <w:b/>
        </w:rPr>
      </w:pPr>
      <w:r>
        <w:rPr>
          <w:rFonts w:ascii="宋体" w:hAnsi="宋体" w:cs="仿宋"/>
          <w:b/>
        </w:rPr>
        <w:br w:type="page"/>
      </w:r>
    </w:p>
    <w:bookmarkEnd w:id="0"/>
    <w:bookmarkEnd w:id="1"/>
    <w:bookmarkEnd w:id="2"/>
    <w:bookmarkEnd w:id="3"/>
    <w:bookmarkEnd w:id="4"/>
    <w:bookmarkEnd w:id="5"/>
    <w:bookmarkEnd w:id="6"/>
    <w:bookmarkEnd w:id="7"/>
    <w:bookmarkEnd w:id="8"/>
    <w:p>
      <w:pPr>
        <w:ind w:firstLine="482"/>
        <w:rPr>
          <w:rFonts w:ascii="宋体" w:hAnsi="宋体" w:cs="仿宋"/>
          <w:b/>
          <w:bCs/>
        </w:rPr>
      </w:pPr>
      <w:bookmarkStart w:id="9" w:name="_Toc6273"/>
      <w:r>
        <w:rPr>
          <w:rFonts w:hint="eastAsia" w:ascii="宋体" w:hAnsi="宋体" w:cs="仿宋"/>
          <w:b/>
          <w:lang w:val="en-US" w:eastAsia="zh-CN"/>
        </w:rPr>
        <w:t>四</w:t>
      </w:r>
      <w:r>
        <w:rPr>
          <w:rFonts w:hint="eastAsia" w:ascii="宋体" w:hAnsi="宋体" w:cs="仿宋"/>
          <w:b/>
        </w:rPr>
        <w:t>、</w:t>
      </w:r>
      <w:r>
        <w:rPr>
          <w:rFonts w:hint="eastAsia" w:ascii="宋体" w:hAnsi="宋体" w:cs="仿宋"/>
          <w:b/>
          <w:bCs/>
        </w:rPr>
        <w:t>技术</w:t>
      </w:r>
      <w:r>
        <w:rPr>
          <w:rFonts w:hint="eastAsia" w:ascii="宋体" w:hAnsi="宋体" w:cs="仿宋"/>
          <w:b/>
          <w:bCs/>
          <w:lang w:eastAsia="zh-CN"/>
        </w:rPr>
        <w:t>、</w:t>
      </w:r>
      <w:r>
        <w:rPr>
          <w:rFonts w:hint="eastAsia" w:ascii="宋体" w:hAnsi="宋体" w:cs="仿宋"/>
          <w:b/>
          <w:bCs/>
          <w:lang w:val="en-US" w:eastAsia="zh-CN"/>
        </w:rPr>
        <w:t>商务</w:t>
      </w:r>
      <w:r>
        <w:rPr>
          <w:rFonts w:ascii="宋体" w:hAnsi="宋体" w:cs="仿宋"/>
          <w:b/>
          <w:bCs/>
        </w:rPr>
        <w:t>参数响应情况</w:t>
      </w:r>
    </w:p>
    <w:tbl>
      <w:tblPr>
        <w:tblStyle w:val="20"/>
        <w:tblW w:w="96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
        <w:gridCol w:w="2064"/>
        <w:gridCol w:w="3196"/>
        <w:gridCol w:w="2080"/>
        <w:gridCol w:w="1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b/>
                <w:bCs/>
              </w:rPr>
            </w:pPr>
            <w:r>
              <w:rPr>
                <w:rFonts w:hint="eastAsia" w:ascii="宋体" w:hAnsi="宋体" w:cs="宋体"/>
                <w:b/>
                <w:bCs/>
              </w:rPr>
              <w:t>序号</w:t>
            </w:r>
          </w:p>
        </w:tc>
        <w:tc>
          <w:tcPr>
            <w:tcW w:w="2064" w:type="dxa"/>
            <w:vAlign w:val="center"/>
          </w:tcPr>
          <w:p>
            <w:pPr>
              <w:jc w:val="center"/>
              <w:rPr>
                <w:rFonts w:ascii="宋体" w:hAnsi="宋体" w:cs="宋体"/>
                <w:b/>
                <w:bCs/>
              </w:rPr>
            </w:pPr>
            <w:r>
              <w:rPr>
                <w:rFonts w:hint="eastAsia" w:ascii="宋体" w:hAnsi="宋体" w:cs="宋体"/>
                <w:b/>
                <w:bCs/>
              </w:rPr>
              <w:t>招标规格/要求</w:t>
            </w:r>
          </w:p>
        </w:tc>
        <w:tc>
          <w:tcPr>
            <w:tcW w:w="3196" w:type="dxa"/>
            <w:vAlign w:val="center"/>
          </w:tcPr>
          <w:p>
            <w:pPr>
              <w:jc w:val="center"/>
              <w:rPr>
                <w:rFonts w:ascii="宋体" w:hAnsi="宋体" w:cs="宋体"/>
                <w:b/>
                <w:bCs/>
              </w:rPr>
            </w:pPr>
            <w:r>
              <w:rPr>
                <w:rFonts w:hint="eastAsia" w:ascii="宋体" w:hAnsi="宋体" w:cs="宋体"/>
                <w:b/>
                <w:bCs/>
              </w:rPr>
              <w:t>投标实际参数</w:t>
            </w:r>
          </w:p>
          <w:p>
            <w:pPr>
              <w:jc w:val="left"/>
              <w:rPr>
                <w:rFonts w:ascii="宋体" w:hAnsi="宋体" w:cs="宋体"/>
                <w:b/>
                <w:bCs/>
              </w:rPr>
            </w:pPr>
            <w:r>
              <w:rPr>
                <w:rFonts w:hint="eastAsia" w:ascii="宋体" w:hAnsi="宋体" w:cs="宋体"/>
                <w:b/>
                <w:bCs/>
              </w:rPr>
              <w:t>(投标人应按投标货物/服务实际数据填写)</w:t>
            </w:r>
          </w:p>
        </w:tc>
        <w:tc>
          <w:tcPr>
            <w:tcW w:w="2080" w:type="dxa"/>
            <w:vAlign w:val="center"/>
          </w:tcPr>
          <w:p>
            <w:pPr>
              <w:jc w:val="center"/>
              <w:rPr>
                <w:rFonts w:ascii="宋体" w:hAnsi="宋体" w:cs="宋体"/>
                <w:b/>
                <w:bCs/>
              </w:rPr>
            </w:pPr>
            <w:r>
              <w:rPr>
                <w:rFonts w:hint="eastAsia" w:ascii="宋体" w:hAnsi="宋体" w:cs="宋体"/>
                <w:b/>
                <w:bCs/>
              </w:rPr>
              <w:t>是否偏离（无偏离/正偏离/负偏离）</w:t>
            </w:r>
          </w:p>
        </w:tc>
        <w:tc>
          <w:tcPr>
            <w:tcW w:w="1378" w:type="dxa"/>
            <w:vAlign w:val="center"/>
          </w:tcPr>
          <w:p>
            <w:pPr>
              <w:jc w:val="center"/>
              <w:rPr>
                <w:rFonts w:ascii="宋体" w:hAnsi="宋体" w:cs="宋体"/>
                <w:b/>
                <w:bCs/>
              </w:rPr>
            </w:pPr>
            <w:r>
              <w:rPr>
                <w:rFonts w:hint="eastAsia" w:ascii="宋体" w:hAnsi="宋体" w:cs="宋体"/>
                <w:b/>
                <w:bCs/>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1</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2</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3</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0" w:type="dxa"/>
            <w:vAlign w:val="center"/>
          </w:tcPr>
          <w:p>
            <w:pPr>
              <w:jc w:val="center"/>
              <w:rPr>
                <w:rFonts w:ascii="宋体" w:hAnsi="宋体" w:cs="宋体"/>
                <w:szCs w:val="21"/>
              </w:rPr>
            </w:pPr>
            <w:r>
              <w:rPr>
                <w:rFonts w:hint="eastAsia" w:ascii="宋体" w:hAnsi="宋体" w:cs="宋体"/>
                <w:szCs w:val="21"/>
              </w:rPr>
              <w:t>4</w:t>
            </w:r>
          </w:p>
        </w:tc>
        <w:tc>
          <w:tcPr>
            <w:tcW w:w="2064" w:type="dxa"/>
            <w:vAlign w:val="center"/>
          </w:tcPr>
          <w:p>
            <w:pPr>
              <w:ind w:firstLine="480"/>
              <w:jc w:val="center"/>
              <w:rPr>
                <w:rFonts w:ascii="宋体" w:hAnsi="宋体" w:cs="宋体"/>
                <w:szCs w:val="21"/>
              </w:rPr>
            </w:pPr>
          </w:p>
        </w:tc>
        <w:tc>
          <w:tcPr>
            <w:tcW w:w="3196" w:type="dxa"/>
            <w:vAlign w:val="center"/>
          </w:tcPr>
          <w:p>
            <w:pPr>
              <w:ind w:firstLine="480"/>
              <w:rPr>
                <w:rFonts w:ascii="宋体" w:hAnsi="宋体" w:cs="宋体"/>
                <w:szCs w:val="21"/>
              </w:rPr>
            </w:pPr>
          </w:p>
        </w:tc>
        <w:tc>
          <w:tcPr>
            <w:tcW w:w="2080" w:type="dxa"/>
            <w:vAlign w:val="center"/>
          </w:tcPr>
          <w:p>
            <w:pPr>
              <w:ind w:firstLine="480"/>
              <w:rPr>
                <w:rFonts w:ascii="宋体" w:hAnsi="宋体" w:cs="宋体"/>
                <w:szCs w:val="21"/>
              </w:rPr>
            </w:pPr>
          </w:p>
        </w:tc>
        <w:tc>
          <w:tcPr>
            <w:tcW w:w="1378" w:type="dxa"/>
            <w:vAlign w:val="center"/>
          </w:tcPr>
          <w:p>
            <w:pPr>
              <w:ind w:firstLine="480"/>
              <w:rPr>
                <w:rFonts w:ascii="宋体" w:hAnsi="宋体" w:cs="宋体"/>
                <w:szCs w:val="21"/>
              </w:rPr>
            </w:pPr>
          </w:p>
        </w:tc>
      </w:tr>
    </w:tbl>
    <w:p>
      <w:pPr>
        <w:jc w:val="left"/>
        <w:outlineLvl w:val="1"/>
        <w:rPr>
          <w:rFonts w:ascii="宋体" w:hAnsi="宋体" w:cs="仿宋"/>
          <w:b/>
        </w:rPr>
      </w:pPr>
    </w:p>
    <w:p>
      <w:pPr>
        <w:widowControl/>
        <w:jc w:val="left"/>
        <w:rPr>
          <w:rFonts w:ascii="宋体" w:hAnsi="宋体" w:cs="仿宋"/>
          <w:b/>
          <w:spacing w:val="0"/>
          <w:kern w:val="2"/>
        </w:rPr>
      </w:pPr>
      <w:r>
        <w:rPr>
          <w:rFonts w:ascii="宋体" w:hAnsi="宋体" w:cs="仿宋"/>
          <w:b/>
        </w:rPr>
        <w:br w:type="page"/>
      </w:r>
    </w:p>
    <w:p>
      <w:pPr>
        <w:pStyle w:val="39"/>
        <w:ind w:firstLine="0" w:firstLineChars="0"/>
        <w:rPr>
          <w:rFonts w:ascii="宋体" w:hAnsi="宋体" w:cs="仿宋"/>
          <w:b/>
          <w:spacing w:val="0"/>
          <w:kern w:val="2"/>
        </w:rPr>
      </w:pPr>
      <w:r>
        <w:rPr>
          <w:rFonts w:hint="eastAsia" w:ascii="宋体" w:hAnsi="宋体" w:cs="仿宋"/>
          <w:b/>
          <w:spacing w:val="0"/>
          <w:kern w:val="2"/>
          <w:lang w:val="en-US" w:eastAsia="zh-CN"/>
        </w:rPr>
        <w:t>五、</w:t>
      </w:r>
      <w:r>
        <w:rPr>
          <w:rFonts w:hint="eastAsia" w:ascii="宋体" w:hAnsi="宋体" w:cs="仿宋"/>
          <w:b/>
          <w:spacing w:val="0"/>
          <w:kern w:val="2"/>
        </w:rPr>
        <w:t>同类项目业绩介绍</w:t>
      </w:r>
    </w:p>
    <w:tbl>
      <w:tblPr>
        <w:tblStyle w:val="20"/>
        <w:tblW w:w="996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2510"/>
        <w:gridCol w:w="2819"/>
        <w:gridCol w:w="1236"/>
        <w:gridCol w:w="2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2" w:hRule="atLeast"/>
          <w:jc w:val="center"/>
        </w:trPr>
        <w:tc>
          <w:tcPr>
            <w:tcW w:w="1166" w:type="dxa"/>
            <w:shd w:val="clear" w:color="auto" w:fill="F3F3F3"/>
            <w:vAlign w:val="center"/>
          </w:tcPr>
          <w:p>
            <w:pPr>
              <w:jc w:val="center"/>
              <w:rPr>
                <w:rFonts w:ascii="宋体" w:hAnsi="宋体" w:cs="仿宋"/>
                <w:b/>
                <w:bCs/>
                <w:szCs w:val="21"/>
              </w:rPr>
            </w:pPr>
            <w:r>
              <w:rPr>
                <w:rFonts w:hint="eastAsia" w:ascii="宋体" w:hAnsi="宋体" w:cs="仿宋"/>
                <w:b/>
                <w:bCs/>
                <w:szCs w:val="21"/>
              </w:rPr>
              <w:t>序号</w:t>
            </w:r>
          </w:p>
        </w:tc>
        <w:tc>
          <w:tcPr>
            <w:tcW w:w="2510" w:type="dxa"/>
            <w:shd w:val="clear" w:color="auto" w:fill="F3F3F3"/>
            <w:vAlign w:val="center"/>
          </w:tcPr>
          <w:p>
            <w:pPr>
              <w:jc w:val="center"/>
              <w:rPr>
                <w:rFonts w:ascii="宋体" w:hAnsi="宋体" w:cs="仿宋"/>
                <w:b/>
                <w:bCs/>
                <w:szCs w:val="21"/>
              </w:rPr>
            </w:pPr>
            <w:r>
              <w:rPr>
                <w:rFonts w:hint="eastAsia" w:ascii="宋体" w:hAnsi="宋体" w:cs="仿宋"/>
                <w:b/>
                <w:bCs/>
                <w:szCs w:val="21"/>
              </w:rPr>
              <w:t>客户名称</w:t>
            </w:r>
          </w:p>
        </w:tc>
        <w:tc>
          <w:tcPr>
            <w:tcW w:w="2819" w:type="dxa"/>
            <w:shd w:val="clear" w:color="auto" w:fill="F3F3F3"/>
            <w:vAlign w:val="center"/>
          </w:tcPr>
          <w:p>
            <w:pPr>
              <w:jc w:val="center"/>
              <w:rPr>
                <w:rFonts w:ascii="宋体" w:hAnsi="宋体" w:cs="仿宋"/>
                <w:b/>
                <w:bCs/>
                <w:szCs w:val="21"/>
              </w:rPr>
            </w:pPr>
            <w:r>
              <w:rPr>
                <w:rFonts w:hint="eastAsia" w:ascii="宋体" w:hAnsi="宋体" w:cs="仿宋"/>
                <w:b/>
                <w:bCs/>
                <w:szCs w:val="21"/>
              </w:rPr>
              <w:t>项目名称及合同金额</w:t>
            </w:r>
          </w:p>
          <w:p>
            <w:pPr>
              <w:jc w:val="center"/>
              <w:rPr>
                <w:rFonts w:ascii="宋体" w:hAnsi="宋体" w:cs="仿宋"/>
                <w:b/>
                <w:bCs/>
                <w:szCs w:val="21"/>
              </w:rPr>
            </w:pPr>
            <w:r>
              <w:rPr>
                <w:rFonts w:hint="eastAsia" w:ascii="宋体" w:hAnsi="宋体" w:cs="仿宋"/>
                <w:b/>
                <w:bCs/>
                <w:szCs w:val="21"/>
              </w:rPr>
              <w:t>（万元）</w:t>
            </w:r>
          </w:p>
        </w:tc>
        <w:tc>
          <w:tcPr>
            <w:tcW w:w="1236" w:type="dxa"/>
            <w:shd w:val="clear" w:color="auto" w:fill="F3F3F3"/>
            <w:vAlign w:val="center"/>
          </w:tcPr>
          <w:p>
            <w:pPr>
              <w:jc w:val="center"/>
              <w:rPr>
                <w:rFonts w:ascii="宋体" w:hAnsi="宋体" w:cs="仿宋"/>
                <w:b/>
                <w:bCs/>
                <w:szCs w:val="21"/>
              </w:rPr>
            </w:pPr>
            <w:r>
              <w:rPr>
                <w:rFonts w:hint="eastAsia" w:ascii="宋体" w:hAnsi="宋体" w:cs="仿宋"/>
                <w:b/>
                <w:bCs/>
                <w:szCs w:val="21"/>
              </w:rPr>
              <w:t>竣工时间</w:t>
            </w:r>
          </w:p>
        </w:tc>
        <w:tc>
          <w:tcPr>
            <w:tcW w:w="2237" w:type="dxa"/>
            <w:shd w:val="clear" w:color="auto" w:fill="F3F3F3"/>
            <w:vAlign w:val="center"/>
          </w:tcPr>
          <w:p>
            <w:pPr>
              <w:jc w:val="center"/>
              <w:rPr>
                <w:rFonts w:ascii="宋体" w:hAnsi="宋体" w:cs="仿宋"/>
                <w:b/>
                <w:bCs/>
                <w:szCs w:val="21"/>
              </w:rPr>
            </w:pPr>
            <w:r>
              <w:rPr>
                <w:rFonts w:hint="eastAsia" w:ascii="宋体" w:hAnsi="宋体" w:cs="仿宋"/>
                <w:b/>
                <w:bCs/>
                <w:szCs w:val="21"/>
              </w:rPr>
              <w:t>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1</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2</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pStyle w:val="38"/>
              <w:ind w:left="-134" w:firstLine="482"/>
              <w:rPr>
                <w:rFonts w:ascii="宋体" w:hAnsi="宋体" w:cs="仿宋"/>
                <w:color w:val="auto"/>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3</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1166" w:type="dxa"/>
            <w:vAlign w:val="center"/>
          </w:tcPr>
          <w:p>
            <w:pPr>
              <w:jc w:val="center"/>
              <w:rPr>
                <w:rFonts w:ascii="宋体" w:hAnsi="宋体" w:cs="仿宋"/>
                <w:szCs w:val="21"/>
              </w:rPr>
            </w:pPr>
            <w:r>
              <w:rPr>
                <w:rFonts w:hint="eastAsia" w:ascii="宋体" w:hAnsi="宋体" w:cs="仿宋"/>
                <w:szCs w:val="21"/>
              </w:rPr>
              <w:t>…</w:t>
            </w:r>
          </w:p>
        </w:tc>
        <w:tc>
          <w:tcPr>
            <w:tcW w:w="2510" w:type="dxa"/>
            <w:vAlign w:val="center"/>
          </w:tcPr>
          <w:p>
            <w:pPr>
              <w:ind w:firstLine="480"/>
              <w:jc w:val="center"/>
              <w:rPr>
                <w:rFonts w:ascii="宋体" w:hAnsi="宋体" w:cs="仿宋"/>
                <w:szCs w:val="21"/>
              </w:rPr>
            </w:pPr>
          </w:p>
        </w:tc>
        <w:tc>
          <w:tcPr>
            <w:tcW w:w="2819" w:type="dxa"/>
            <w:vAlign w:val="center"/>
          </w:tcPr>
          <w:p>
            <w:pPr>
              <w:ind w:firstLine="480"/>
              <w:jc w:val="center"/>
              <w:rPr>
                <w:rFonts w:ascii="宋体" w:hAnsi="宋体" w:cs="仿宋"/>
                <w:szCs w:val="21"/>
              </w:rPr>
            </w:pPr>
          </w:p>
        </w:tc>
        <w:tc>
          <w:tcPr>
            <w:tcW w:w="1236" w:type="dxa"/>
            <w:vAlign w:val="center"/>
          </w:tcPr>
          <w:p>
            <w:pPr>
              <w:ind w:firstLine="480"/>
              <w:jc w:val="center"/>
              <w:rPr>
                <w:rFonts w:ascii="宋体" w:hAnsi="宋体" w:cs="仿宋"/>
                <w:szCs w:val="21"/>
              </w:rPr>
            </w:pPr>
          </w:p>
        </w:tc>
        <w:tc>
          <w:tcPr>
            <w:tcW w:w="2237" w:type="dxa"/>
            <w:vAlign w:val="center"/>
          </w:tcPr>
          <w:p>
            <w:pPr>
              <w:ind w:firstLine="480"/>
              <w:jc w:val="center"/>
              <w:rPr>
                <w:rFonts w:ascii="宋体" w:hAnsi="宋体" w:cs="仿宋"/>
                <w:szCs w:val="21"/>
              </w:rPr>
            </w:pPr>
          </w:p>
        </w:tc>
      </w:tr>
    </w:tbl>
    <w:p>
      <w:pPr>
        <w:ind w:firstLine="480"/>
        <w:rPr>
          <w:rFonts w:hint="eastAsia" w:ascii="宋体" w:hAnsi="宋体" w:cs="仿宋"/>
        </w:rPr>
      </w:pPr>
      <w:r>
        <w:rPr>
          <w:rFonts w:hint="eastAsia" w:ascii="宋体" w:hAnsi="宋体" w:cs="仿宋"/>
        </w:rPr>
        <w:t>注：业绩是必须以响应供应商名义完成并已验收的项目。报价人/响应供应商必须提供合同关键页复印件及验收报告。</w:t>
      </w:r>
    </w:p>
    <w:p>
      <w:pPr>
        <w:jc w:val="left"/>
        <w:outlineLvl w:val="1"/>
        <w:rPr>
          <w:rFonts w:ascii="宋体" w:hAnsi="宋体" w:cs="仿宋"/>
          <w:b/>
        </w:rPr>
      </w:pPr>
    </w:p>
    <w:p>
      <w:pPr>
        <w:jc w:val="left"/>
        <w:outlineLvl w:val="1"/>
        <w:rPr>
          <w:rFonts w:ascii="宋体" w:hAnsi="宋体" w:cs="仿宋"/>
          <w:b/>
        </w:rPr>
      </w:pPr>
    </w:p>
    <w:p>
      <w:pPr>
        <w:widowControl/>
        <w:jc w:val="left"/>
        <w:rPr>
          <w:rFonts w:ascii="宋体" w:hAnsi="宋体" w:cs="仿宋"/>
          <w:b/>
        </w:rPr>
      </w:pPr>
      <w:r>
        <w:rPr>
          <w:rFonts w:ascii="宋体" w:hAnsi="宋体" w:cs="仿宋"/>
          <w:b/>
        </w:rPr>
        <w:br w:type="page"/>
      </w:r>
    </w:p>
    <w:bookmarkEnd w:id="9"/>
    <w:p>
      <w:pPr>
        <w:jc w:val="both"/>
        <w:outlineLvl w:val="1"/>
        <w:rPr>
          <w:rFonts w:ascii="宋体" w:hAnsi="宋体" w:cs="仿宋"/>
          <w:b/>
        </w:rPr>
      </w:pPr>
      <w:r>
        <w:rPr>
          <w:rFonts w:hint="eastAsia" w:ascii="宋体" w:hAnsi="宋体" w:cs="仿宋"/>
          <w:b/>
          <w:lang w:val="en-US" w:eastAsia="zh-CN"/>
        </w:rPr>
        <w:t>六</w:t>
      </w:r>
      <w:r>
        <w:rPr>
          <w:rFonts w:hint="eastAsia" w:ascii="宋体" w:hAnsi="宋体" w:cs="仿宋"/>
          <w:b/>
        </w:rPr>
        <w:t>、价格部分</w:t>
      </w:r>
    </w:p>
    <w:p>
      <w:pPr>
        <w:jc w:val="center"/>
        <w:rPr>
          <w:rFonts w:ascii="宋体" w:hAnsi="宋体" w:cs="仿宋"/>
          <w:b/>
          <w:bCs/>
        </w:rPr>
      </w:pPr>
      <w:r>
        <w:rPr>
          <w:rFonts w:hint="eastAsia" w:ascii="宋体" w:hAnsi="宋体" w:cs="仿宋"/>
          <w:b/>
          <w:bCs/>
        </w:rPr>
        <w:t>报价一览表</w:t>
      </w:r>
    </w:p>
    <w:tbl>
      <w:tblPr>
        <w:tblStyle w:val="20"/>
        <w:tblW w:w="93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项目名称</w:t>
            </w:r>
          </w:p>
        </w:tc>
        <w:tc>
          <w:tcPr>
            <w:tcW w:w="7632" w:type="dxa"/>
            <w:tcBorders>
              <w:bottom w:val="single" w:color="auto" w:sz="4" w:space="0"/>
            </w:tcBorders>
            <w:vAlign w:val="center"/>
          </w:tcPr>
          <w:p>
            <w:pPr>
              <w:jc w:val="center"/>
              <w:rPr>
                <w:rFonts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06" w:hRule="atLeast"/>
        </w:trPr>
        <w:tc>
          <w:tcPr>
            <w:tcW w:w="1728" w:type="dxa"/>
            <w:tcBorders>
              <w:bottom w:val="single" w:color="auto" w:sz="4" w:space="0"/>
            </w:tcBorders>
            <w:vAlign w:val="center"/>
          </w:tcPr>
          <w:p>
            <w:pPr>
              <w:jc w:val="center"/>
              <w:rPr>
                <w:rFonts w:ascii="宋体" w:hAnsi="宋体" w:cs="仿宋"/>
              </w:rPr>
            </w:pPr>
            <w:r>
              <w:rPr>
                <w:rFonts w:hint="eastAsia" w:ascii="宋体" w:hAnsi="宋体" w:cs="仿宋"/>
              </w:rPr>
              <w:t>响应供应商</w:t>
            </w:r>
          </w:p>
        </w:tc>
        <w:tc>
          <w:tcPr>
            <w:tcW w:w="7632" w:type="dxa"/>
            <w:tcBorders>
              <w:bottom w:val="single" w:color="auto" w:sz="4" w:space="0"/>
            </w:tcBorders>
            <w:vAlign w:val="center"/>
          </w:tcPr>
          <w:p>
            <w:pPr>
              <w:jc w:val="center"/>
              <w:rPr>
                <w:rFonts w:ascii="宋体" w:hAnsi="宋体" w:cs="仿宋"/>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91" w:hRule="atLeast"/>
        </w:trPr>
        <w:tc>
          <w:tcPr>
            <w:tcW w:w="1728" w:type="dxa"/>
            <w:tcBorders>
              <w:bottom w:val="single" w:color="auto" w:sz="2" w:space="0"/>
            </w:tcBorders>
            <w:vAlign w:val="center"/>
          </w:tcPr>
          <w:p>
            <w:pPr>
              <w:jc w:val="center"/>
              <w:rPr>
                <w:rFonts w:ascii="宋体" w:hAnsi="宋体" w:cs="仿宋"/>
              </w:rPr>
            </w:pPr>
            <w:r>
              <w:rPr>
                <w:rFonts w:hint="eastAsia" w:ascii="宋体" w:hAnsi="宋体" w:cs="仿宋"/>
              </w:rPr>
              <w:t>总报价</w:t>
            </w:r>
          </w:p>
        </w:tc>
        <w:tc>
          <w:tcPr>
            <w:tcW w:w="7632" w:type="dxa"/>
            <w:tcBorders>
              <w:bottom w:val="single" w:color="auto" w:sz="2" w:space="0"/>
            </w:tcBorders>
            <w:vAlign w:val="center"/>
          </w:tcPr>
          <w:p>
            <w:pPr>
              <w:rPr>
                <w:rFonts w:ascii="宋体" w:hAnsi="宋体" w:cs="仿宋"/>
              </w:rPr>
            </w:pPr>
            <w:r>
              <w:rPr>
                <w:rFonts w:hint="eastAsia" w:ascii="宋体" w:hAnsi="宋体" w:cs="仿宋"/>
              </w:rPr>
              <w:t>（大写）人民币                     元整（￥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1728" w:type="dxa"/>
            <w:vAlign w:val="center"/>
          </w:tcPr>
          <w:p>
            <w:pPr>
              <w:jc w:val="center"/>
              <w:rPr>
                <w:rFonts w:hint="default" w:ascii="宋体" w:hAnsi="宋体" w:eastAsia="宋体" w:cs="仿宋"/>
                <w:lang w:val="en-US" w:eastAsia="zh-CN"/>
              </w:rPr>
            </w:pPr>
            <w:r>
              <w:rPr>
                <w:rFonts w:hint="eastAsia" w:ascii="宋体" w:hAnsi="宋体" w:cs="仿宋"/>
                <w:lang w:val="en-US" w:eastAsia="zh-CN"/>
              </w:rPr>
              <w:t>质保期外维保服务报价（年）</w:t>
            </w:r>
          </w:p>
        </w:tc>
        <w:tc>
          <w:tcPr>
            <w:tcW w:w="7632" w:type="dxa"/>
            <w:vAlign w:val="center"/>
          </w:tcPr>
          <w:p>
            <w:pPr>
              <w:jc w:val="center"/>
              <w:rPr>
                <w:rFonts w:hint="eastAsia" w:ascii="宋体" w:hAnsi="宋体"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54" w:hRule="atLeast"/>
        </w:trPr>
        <w:tc>
          <w:tcPr>
            <w:tcW w:w="9360" w:type="dxa"/>
            <w:gridSpan w:val="2"/>
            <w:vAlign w:val="center"/>
          </w:tcPr>
          <w:p>
            <w:pPr>
              <w:jc w:val="center"/>
              <w:rPr>
                <w:rFonts w:ascii="宋体" w:hAnsi="宋体" w:cs="仿宋"/>
              </w:rPr>
            </w:pPr>
            <w:r>
              <w:rPr>
                <w:rFonts w:hint="eastAsia" w:ascii="宋体" w:hAnsi="宋体" w:cs="仿宋"/>
              </w:rPr>
              <w:t>备注：详细内容见《报价明细报价表》。</w:t>
            </w:r>
          </w:p>
        </w:tc>
      </w:tr>
    </w:tbl>
    <w:p>
      <w:pPr>
        <w:rPr>
          <w:rFonts w:ascii="宋体" w:hAnsi="宋体" w:cs="仿宋"/>
          <w:b/>
          <w:bCs/>
        </w:rPr>
      </w:pPr>
      <w:r>
        <w:rPr>
          <w:rFonts w:hint="eastAsia" w:ascii="宋体" w:hAnsi="宋体" w:cs="仿宋"/>
          <w:b/>
          <w:bCs/>
        </w:rPr>
        <w:t>注：</w:t>
      </w:r>
    </w:p>
    <w:p>
      <w:pPr>
        <w:ind w:firstLine="480"/>
        <w:rPr>
          <w:rFonts w:ascii="宋体" w:hAnsi="宋体" w:cs="仿宋"/>
        </w:rPr>
      </w:pPr>
      <w:r>
        <w:rPr>
          <w:rFonts w:hint="eastAsia" w:ascii="宋体" w:hAnsi="宋体" w:cs="仿宋"/>
        </w:rPr>
        <w:t>1.响应供应商须按要求填写所有信息，不得随意更改本表格式。</w:t>
      </w:r>
    </w:p>
    <w:p>
      <w:pPr>
        <w:ind w:firstLine="480"/>
        <w:rPr>
          <w:rFonts w:ascii="宋体" w:hAnsi="宋体" w:cs="仿宋"/>
        </w:rPr>
      </w:pPr>
      <w:r>
        <w:rPr>
          <w:rFonts w:hint="eastAsia" w:ascii="宋体" w:hAnsi="宋体" w:cs="仿宋"/>
        </w:rPr>
        <w:t>2.报价中必须包含货物及零配件的购置和安装、运输保险、装卸、培训辅导、质保期售后服务、全额含税发票、雇员费用、合同实施过程中应预见和不可预见费用等。所有价格均应以人民币报价，金额单位为元。</w:t>
      </w:r>
    </w:p>
    <w:p>
      <w:pPr>
        <w:ind w:firstLine="480"/>
        <w:rPr>
          <w:rFonts w:ascii="宋体" w:hAnsi="宋体" w:cs="仿宋"/>
        </w:rPr>
      </w:pPr>
    </w:p>
    <w:p>
      <w:pPr>
        <w:pStyle w:val="22"/>
        <w:rPr>
          <w:rFonts w:ascii="宋体" w:hAnsi="宋体" w:cs="仿宋"/>
        </w:rPr>
      </w:pPr>
    </w:p>
    <w:p>
      <w:pPr>
        <w:pStyle w:val="22"/>
        <w:rPr>
          <w:rFonts w:ascii="宋体" w:hAnsi="宋体" w:cs="仿宋"/>
        </w:rPr>
      </w:pPr>
    </w:p>
    <w:p>
      <w:pPr>
        <w:pStyle w:val="22"/>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p>
    <w:p>
      <w:pPr>
        <w:ind w:firstLine="480"/>
        <w:rPr>
          <w:rFonts w:ascii="宋体" w:hAnsi="宋体" w:cs="仿宋"/>
        </w:rPr>
      </w:pPr>
      <w:r>
        <w:rPr>
          <w:rFonts w:hint="eastAsia" w:ascii="宋体" w:hAnsi="宋体" w:cs="仿宋"/>
        </w:rPr>
        <w:t>响应供应商法定代表人（或法定代表人授权代表）签字：</w:t>
      </w:r>
      <w:r>
        <w:rPr>
          <w:rFonts w:hint="eastAsia" w:ascii="宋体" w:hAnsi="宋体" w:cs="仿宋"/>
          <w:u w:val="single"/>
        </w:rPr>
        <w:t xml:space="preserve">                </w:t>
      </w:r>
      <w:r>
        <w:rPr>
          <w:rFonts w:hint="eastAsia" w:ascii="宋体" w:hAnsi="宋体" w:cs="仿宋"/>
        </w:rPr>
        <w:t xml:space="preserve">   </w:t>
      </w:r>
    </w:p>
    <w:p>
      <w:pPr>
        <w:ind w:firstLine="480"/>
        <w:rPr>
          <w:rFonts w:ascii="宋体" w:hAnsi="宋体" w:cs="仿宋"/>
          <w:u w:val="single"/>
        </w:rPr>
      </w:pPr>
      <w:r>
        <w:rPr>
          <w:rFonts w:hint="eastAsia" w:ascii="宋体" w:hAnsi="宋体" w:cs="仿宋"/>
        </w:rPr>
        <w:t>响应供应商名称（签章）：</w:t>
      </w:r>
      <w:r>
        <w:rPr>
          <w:rFonts w:hint="eastAsia" w:ascii="宋体" w:hAnsi="宋体" w:cs="仿宋"/>
          <w:u w:val="single"/>
        </w:rPr>
        <w:t xml:space="preserve">                        </w:t>
      </w:r>
    </w:p>
    <w:p>
      <w:pPr>
        <w:ind w:firstLine="480"/>
        <w:rPr>
          <w:rFonts w:ascii="宋体" w:hAnsi="宋体" w:cs="仿宋"/>
        </w:rPr>
      </w:pPr>
      <w:r>
        <w:rPr>
          <w:rFonts w:hint="eastAsia" w:ascii="宋体" w:hAnsi="宋体" w:cs="仿宋"/>
        </w:rPr>
        <w:t>日期：   年   月   日</w:t>
      </w:r>
    </w:p>
    <w:p>
      <w:pPr>
        <w:rPr>
          <w:rFonts w:ascii="宋体" w:hAnsi="宋体"/>
        </w:rPr>
      </w:pPr>
    </w:p>
    <w:p>
      <w:pPr>
        <w:widowControl/>
        <w:jc w:val="left"/>
        <w:rPr>
          <w:rFonts w:ascii="宋体" w:hAnsi="宋体"/>
        </w:rPr>
      </w:pPr>
    </w:p>
    <w:p>
      <w:pPr>
        <w:widowControl/>
        <w:jc w:val="center"/>
        <w:rPr>
          <w:rFonts w:ascii="宋体" w:hAnsi="宋体" w:cs="宋体"/>
          <w:b/>
          <w:sz w:val="28"/>
          <w:szCs w:val="28"/>
        </w:rPr>
      </w:pPr>
      <w:r>
        <w:rPr>
          <w:rFonts w:ascii="宋体" w:hAnsi="宋体"/>
        </w:rPr>
        <w:br w:type="page"/>
      </w:r>
      <w:r>
        <w:rPr>
          <w:rFonts w:hint="eastAsia" w:ascii="宋体" w:hAnsi="宋体" w:cs="宋体"/>
          <w:b/>
          <w:sz w:val="28"/>
          <w:szCs w:val="28"/>
        </w:rPr>
        <w:t>报价明细报价表</w:t>
      </w:r>
    </w:p>
    <w:tbl>
      <w:tblPr>
        <w:tblStyle w:val="20"/>
        <w:tblW w:w="8820" w:type="dxa"/>
        <w:jc w:val="center"/>
        <w:tblInd w:w="0" w:type="dxa"/>
        <w:tblLayout w:type="fixed"/>
        <w:tblCellMar>
          <w:top w:w="0" w:type="dxa"/>
          <w:left w:w="108" w:type="dxa"/>
          <w:bottom w:w="0" w:type="dxa"/>
          <w:right w:w="108" w:type="dxa"/>
        </w:tblCellMar>
      </w:tblPr>
      <w:tblGrid>
        <w:gridCol w:w="1242"/>
        <w:gridCol w:w="2674"/>
        <w:gridCol w:w="946"/>
        <w:gridCol w:w="945"/>
        <w:gridCol w:w="1313"/>
        <w:gridCol w:w="1700"/>
      </w:tblGrid>
      <w:tr>
        <w:tblPrEx>
          <w:tblLayout w:type="fixed"/>
          <w:tblCellMar>
            <w:top w:w="0" w:type="dxa"/>
            <w:left w:w="108" w:type="dxa"/>
            <w:bottom w:w="0" w:type="dxa"/>
            <w:right w:w="108" w:type="dxa"/>
          </w:tblCellMar>
        </w:tblPrEx>
        <w:trPr>
          <w:trHeight w:val="898"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序号</w:t>
            </w:r>
          </w:p>
        </w:tc>
        <w:tc>
          <w:tcPr>
            <w:tcW w:w="2674" w:type="dxa"/>
            <w:tcBorders>
              <w:top w:val="single" w:color="auto" w:sz="6" w:space="0"/>
              <w:left w:val="single" w:color="auto" w:sz="6" w:space="0"/>
              <w:bottom w:val="single" w:color="auto" w:sz="6" w:space="0"/>
              <w:right w:val="single" w:color="auto" w:sz="4" w:space="0"/>
            </w:tcBorders>
            <w:vAlign w:val="center"/>
          </w:tcPr>
          <w:p>
            <w:pPr>
              <w:jc w:val="center"/>
              <w:rPr>
                <w:rFonts w:ascii="宋体" w:hAnsi="宋体" w:cs="宋体"/>
                <w:b/>
                <w:szCs w:val="21"/>
              </w:rPr>
            </w:pPr>
            <w:r>
              <w:rPr>
                <w:rFonts w:hint="eastAsia" w:ascii="宋体" w:hAnsi="宋体" w:cs="宋体"/>
                <w:b/>
                <w:szCs w:val="21"/>
              </w:rPr>
              <w:t>项目名称</w:t>
            </w:r>
          </w:p>
        </w:tc>
        <w:tc>
          <w:tcPr>
            <w:tcW w:w="946"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单位</w:t>
            </w:r>
          </w:p>
        </w:tc>
        <w:tc>
          <w:tcPr>
            <w:tcW w:w="945"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数量</w:t>
            </w:r>
          </w:p>
        </w:tc>
        <w:tc>
          <w:tcPr>
            <w:tcW w:w="131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单价</w:t>
            </w:r>
          </w:p>
        </w:tc>
        <w:tc>
          <w:tcPr>
            <w:tcW w:w="170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宋体"/>
                <w:b/>
                <w:szCs w:val="21"/>
              </w:rPr>
            </w:pPr>
            <w:r>
              <w:rPr>
                <w:rFonts w:hint="eastAsia" w:ascii="宋体" w:hAnsi="宋体" w:cs="宋体"/>
                <w:b/>
                <w:szCs w:val="21"/>
              </w:rPr>
              <w:t>总价</w:t>
            </w: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ind w:firstLine="420"/>
              <w:jc w:val="center"/>
              <w:rPr>
                <w:rFonts w:ascii="宋体" w:hAnsi="宋体" w:cs="宋体"/>
                <w:szCs w:val="21"/>
              </w:rPr>
            </w:pP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r>
        <w:tblPrEx>
          <w:tblLayout w:type="fixed"/>
          <w:tblCellMar>
            <w:top w:w="0" w:type="dxa"/>
            <w:left w:w="108" w:type="dxa"/>
            <w:bottom w:w="0" w:type="dxa"/>
            <w:right w:w="108" w:type="dxa"/>
          </w:tblCellMar>
        </w:tblPrEx>
        <w:trPr>
          <w:trHeight w:val="572" w:hRule="atLeast"/>
          <w:jc w:val="center"/>
        </w:trPr>
        <w:tc>
          <w:tcPr>
            <w:tcW w:w="1242"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2674" w:type="dxa"/>
            <w:tcBorders>
              <w:top w:val="single" w:color="auto" w:sz="6" w:space="0"/>
              <w:left w:val="single" w:color="auto" w:sz="4" w:space="0"/>
              <w:bottom w:val="single" w:color="auto" w:sz="6" w:space="0"/>
              <w:right w:val="single" w:color="auto" w:sz="4" w:space="0"/>
            </w:tcBorders>
            <w:vAlign w:val="center"/>
          </w:tcPr>
          <w:p>
            <w:pPr>
              <w:spacing w:before="156" w:beforeLines="50" w:after="156" w:afterLines="50" w:line="360" w:lineRule="exact"/>
              <w:jc w:val="center"/>
              <w:rPr>
                <w:rFonts w:ascii="宋体" w:hAnsi="宋体" w:cs="宋体"/>
                <w:szCs w:val="21"/>
              </w:rPr>
            </w:pPr>
            <w:r>
              <w:rPr>
                <w:rFonts w:hint="eastAsia" w:ascii="宋体" w:hAnsi="宋体" w:cs="宋体"/>
                <w:szCs w:val="21"/>
              </w:rPr>
              <w:t>合计</w:t>
            </w:r>
          </w:p>
        </w:tc>
        <w:tc>
          <w:tcPr>
            <w:tcW w:w="946"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945"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313"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c>
          <w:tcPr>
            <w:tcW w:w="1700" w:type="dxa"/>
            <w:tcBorders>
              <w:top w:val="single" w:color="auto" w:sz="6" w:space="0"/>
              <w:left w:val="single" w:color="auto" w:sz="6" w:space="0"/>
              <w:bottom w:val="single" w:color="auto" w:sz="6" w:space="0"/>
              <w:right w:val="single" w:color="auto" w:sz="6" w:space="0"/>
            </w:tcBorders>
            <w:vAlign w:val="center"/>
          </w:tcPr>
          <w:p>
            <w:pPr>
              <w:spacing w:before="156" w:beforeLines="50" w:after="156" w:afterLines="50" w:line="360" w:lineRule="exact"/>
              <w:ind w:firstLine="420"/>
              <w:jc w:val="center"/>
              <w:rPr>
                <w:rFonts w:ascii="宋体" w:hAnsi="宋体" w:cs="宋体"/>
                <w:szCs w:val="21"/>
              </w:rPr>
            </w:pPr>
          </w:p>
        </w:tc>
      </w:tr>
    </w:tbl>
    <w:p>
      <w:pPr>
        <w:widowControl/>
        <w:jc w:val="center"/>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widowControl/>
        <w:jc w:val="left"/>
        <w:rPr>
          <w:rFonts w:ascii="宋体" w:hAnsi="宋体"/>
        </w:rPr>
      </w:pPr>
    </w:p>
    <w:p>
      <w:pPr>
        <w:jc w:val="both"/>
        <w:rPr>
          <w:b/>
          <w:sz w:val="21"/>
          <w:szCs w:val="21"/>
        </w:rPr>
      </w:pPr>
      <w:r>
        <w:rPr>
          <w:rFonts w:hint="eastAsia"/>
          <w:b/>
          <w:sz w:val="21"/>
          <w:szCs w:val="21"/>
          <w:lang w:val="en-US" w:eastAsia="zh-CN"/>
        </w:rPr>
        <w:t>七、</w:t>
      </w:r>
      <w:r>
        <w:rPr>
          <w:rFonts w:hint="eastAsia"/>
          <w:b/>
          <w:sz w:val="21"/>
          <w:szCs w:val="21"/>
        </w:rPr>
        <w:t>采购需求的“负面清单”</w:t>
      </w:r>
    </w:p>
    <w:p>
      <w:pPr>
        <w:spacing w:line="240" w:lineRule="auto"/>
        <w:ind w:firstLine="420" w:firstLineChars="200"/>
        <w:jc w:val="left"/>
        <w:rPr>
          <w:sz w:val="21"/>
          <w:szCs w:val="21"/>
        </w:rPr>
      </w:pPr>
      <w:r>
        <w:rPr>
          <w:rFonts w:hint="eastAsia"/>
          <w:sz w:val="21"/>
          <w:szCs w:val="21"/>
        </w:rPr>
        <w:t>为有利于后期项目的合理竞争，请供应商提供如下“负面清单”，并注意以下事项：</w:t>
      </w:r>
    </w:p>
    <w:p>
      <w:pPr>
        <w:spacing w:line="240" w:lineRule="auto"/>
        <w:ind w:firstLine="420" w:firstLineChars="200"/>
        <w:jc w:val="left"/>
        <w:rPr>
          <w:sz w:val="21"/>
          <w:szCs w:val="21"/>
        </w:rPr>
      </w:pPr>
      <w:r>
        <w:rPr>
          <w:rFonts w:hint="eastAsia"/>
          <w:sz w:val="21"/>
          <w:szCs w:val="21"/>
        </w:rPr>
        <w:t>1.供应商完成该项目不需要额外具备的供应商资格条件。</w:t>
      </w:r>
    </w:p>
    <w:p>
      <w:pPr>
        <w:spacing w:line="240" w:lineRule="auto"/>
        <w:ind w:firstLine="420" w:firstLineChars="200"/>
        <w:jc w:val="left"/>
        <w:rPr>
          <w:sz w:val="21"/>
          <w:szCs w:val="21"/>
        </w:rPr>
      </w:pPr>
      <w:r>
        <w:rPr>
          <w:rFonts w:hint="eastAsia"/>
          <w:sz w:val="21"/>
          <w:szCs w:val="21"/>
        </w:rPr>
        <w:t>2.供应商认为《</w:t>
      </w:r>
      <w:r>
        <w:rPr>
          <w:rFonts w:hint="eastAsia"/>
          <w:sz w:val="21"/>
          <w:szCs w:val="21"/>
          <w:lang w:val="en-US" w:eastAsia="zh-CN"/>
        </w:rPr>
        <w:t>用户需求书</w:t>
      </w:r>
      <w:r>
        <w:rPr>
          <w:rFonts w:hint="eastAsia"/>
          <w:sz w:val="21"/>
          <w:szCs w:val="21"/>
        </w:rPr>
        <w:t>》信息中的内容，哪些可能会对采购项目的采购预算或者最高限价的合理设定，带来不利影响的内容。</w:t>
      </w:r>
    </w:p>
    <w:p>
      <w:pPr>
        <w:spacing w:line="240" w:lineRule="auto"/>
        <w:ind w:firstLine="420" w:firstLineChars="200"/>
        <w:jc w:val="left"/>
        <w:rPr>
          <w:sz w:val="21"/>
          <w:szCs w:val="21"/>
        </w:rPr>
      </w:pPr>
      <w:r>
        <w:rPr>
          <w:rFonts w:hint="eastAsia"/>
          <w:sz w:val="21"/>
          <w:szCs w:val="21"/>
        </w:rPr>
        <w:t>3.后期采购项目的评审规则制定过程中，供应商认为可能涉及作为评审因素的技术或商务评审中，哪些指标的不合理设置，容易造成以不合理的条件对供应商实行差别待遇或者歧视待遇情形的。</w:t>
      </w:r>
    </w:p>
    <w:p>
      <w:pPr>
        <w:spacing w:line="240" w:lineRule="auto"/>
        <w:ind w:firstLine="420" w:firstLineChars="200"/>
        <w:jc w:val="left"/>
        <w:rPr>
          <w:sz w:val="21"/>
          <w:szCs w:val="21"/>
        </w:rPr>
      </w:pPr>
      <w:r>
        <w:rPr>
          <w:rFonts w:hint="eastAsia"/>
          <w:sz w:val="21"/>
          <w:szCs w:val="21"/>
        </w:rPr>
        <w:t>4.合同后期履行过程中，可能不利于采购人的情形（包括供货期、质保要求等等，主要是避免个别供应商协助采购人制定的采购方案中存在不利于采购人，而采购人却未能发现的）。</w:t>
      </w:r>
    </w:p>
    <w:p>
      <w:pPr>
        <w:spacing w:line="240" w:lineRule="auto"/>
        <w:ind w:firstLine="420" w:firstLineChars="200"/>
        <w:jc w:val="left"/>
        <w:rPr>
          <w:sz w:val="21"/>
          <w:szCs w:val="21"/>
        </w:rPr>
      </w:pPr>
      <w:r>
        <w:rPr>
          <w:rFonts w:hint="eastAsia"/>
          <w:sz w:val="21"/>
          <w:szCs w:val="21"/>
        </w:rPr>
        <w:t>5.具体参考的标准</w:t>
      </w:r>
    </w:p>
    <w:tbl>
      <w:tblPr>
        <w:tblStyle w:val="21"/>
        <w:tblW w:w="97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143"/>
        <w:gridCol w:w="2401"/>
        <w:gridCol w:w="3402"/>
        <w:gridCol w:w="2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tcPr>
          <w:p>
            <w:pPr>
              <w:jc w:val="center"/>
              <w:rPr>
                <w:b/>
                <w:sz w:val="21"/>
                <w:szCs w:val="21"/>
              </w:rPr>
            </w:pPr>
            <w:r>
              <w:rPr>
                <w:rFonts w:hint="eastAsia"/>
                <w:b/>
                <w:sz w:val="21"/>
                <w:szCs w:val="21"/>
              </w:rPr>
              <w:t>序号</w:t>
            </w:r>
          </w:p>
        </w:tc>
        <w:tc>
          <w:tcPr>
            <w:tcW w:w="1143" w:type="dxa"/>
          </w:tcPr>
          <w:p>
            <w:pPr>
              <w:jc w:val="center"/>
              <w:rPr>
                <w:b/>
                <w:sz w:val="21"/>
                <w:szCs w:val="21"/>
              </w:rPr>
            </w:pPr>
            <w:r>
              <w:rPr>
                <w:rFonts w:hint="eastAsia"/>
                <w:b/>
                <w:sz w:val="21"/>
                <w:szCs w:val="21"/>
              </w:rPr>
              <w:t>内容</w:t>
            </w:r>
          </w:p>
        </w:tc>
        <w:tc>
          <w:tcPr>
            <w:tcW w:w="2401" w:type="dxa"/>
          </w:tcPr>
          <w:p>
            <w:pPr>
              <w:jc w:val="center"/>
              <w:rPr>
                <w:b/>
                <w:sz w:val="21"/>
                <w:szCs w:val="21"/>
              </w:rPr>
            </w:pPr>
            <w:r>
              <w:rPr>
                <w:rFonts w:hint="eastAsia"/>
                <w:b/>
                <w:sz w:val="21"/>
                <w:szCs w:val="21"/>
              </w:rPr>
              <w:t>具体事项</w:t>
            </w:r>
          </w:p>
        </w:tc>
        <w:tc>
          <w:tcPr>
            <w:tcW w:w="3402" w:type="dxa"/>
          </w:tcPr>
          <w:p>
            <w:pPr>
              <w:jc w:val="center"/>
              <w:rPr>
                <w:b/>
                <w:sz w:val="21"/>
                <w:szCs w:val="21"/>
              </w:rPr>
            </w:pPr>
            <w:r>
              <w:rPr>
                <w:rFonts w:hint="eastAsia"/>
                <w:b/>
                <w:sz w:val="21"/>
                <w:szCs w:val="21"/>
              </w:rPr>
              <w:t>具体填写说明</w:t>
            </w:r>
          </w:p>
        </w:tc>
        <w:tc>
          <w:tcPr>
            <w:tcW w:w="2101" w:type="dxa"/>
          </w:tcPr>
          <w:p>
            <w:pPr>
              <w:jc w:val="center"/>
              <w:rPr>
                <w:b/>
                <w:sz w:val="21"/>
                <w:szCs w:val="21"/>
              </w:rPr>
            </w:pPr>
            <w:r>
              <w:rPr>
                <w:rFonts w:hint="eastAsia"/>
                <w:b/>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1</w:t>
            </w:r>
          </w:p>
        </w:tc>
        <w:tc>
          <w:tcPr>
            <w:tcW w:w="1143" w:type="dxa"/>
            <w:vMerge w:val="restart"/>
            <w:vAlign w:val="center"/>
          </w:tcPr>
          <w:p>
            <w:pPr>
              <w:rPr>
                <w:sz w:val="21"/>
                <w:szCs w:val="21"/>
              </w:rPr>
            </w:pPr>
            <w:r>
              <w:rPr>
                <w:rFonts w:hint="eastAsia"/>
                <w:sz w:val="21"/>
                <w:szCs w:val="21"/>
              </w:rPr>
              <w:t>资格条件</w:t>
            </w:r>
          </w:p>
        </w:tc>
        <w:tc>
          <w:tcPr>
            <w:tcW w:w="2401" w:type="dxa"/>
          </w:tcPr>
          <w:p>
            <w:pPr>
              <w:rPr>
                <w:sz w:val="21"/>
                <w:szCs w:val="21"/>
              </w:rPr>
            </w:pPr>
            <w:r>
              <w:rPr>
                <w:rFonts w:hint="eastAsia"/>
                <w:sz w:val="21"/>
                <w:szCs w:val="21"/>
              </w:rPr>
              <w:t>本项目应当具备的供应商资格条件</w:t>
            </w:r>
          </w:p>
        </w:tc>
        <w:tc>
          <w:tcPr>
            <w:tcW w:w="3402" w:type="dxa"/>
          </w:tcPr>
          <w:p>
            <w:pPr>
              <w:pStyle w:val="27"/>
              <w:numPr>
                <w:ilvl w:val="0"/>
                <w:numId w:val="4"/>
              </w:numPr>
              <w:ind w:firstLineChars="0"/>
              <w:rPr>
                <w:sz w:val="21"/>
                <w:szCs w:val="21"/>
              </w:rPr>
            </w:pPr>
            <w:r>
              <w:rPr>
                <w:rFonts w:hint="eastAsia"/>
                <w:sz w:val="21"/>
                <w:szCs w:val="21"/>
              </w:rPr>
              <w:t>政府采购法第22条；</w:t>
            </w:r>
          </w:p>
          <w:p>
            <w:pPr>
              <w:pStyle w:val="27"/>
              <w:numPr>
                <w:ilvl w:val="0"/>
                <w:numId w:val="4"/>
              </w:numPr>
              <w:ind w:firstLineChars="0"/>
              <w:rPr>
                <w:sz w:val="21"/>
                <w:szCs w:val="21"/>
              </w:rPr>
            </w:pPr>
            <w:r>
              <w:rPr>
                <w:rFonts w:hint="eastAsia"/>
                <w:sz w:val="21"/>
                <w:szCs w:val="21"/>
              </w:rPr>
              <w:t>采购项目对供应商的特定要求。</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tcPr>
          <w:p>
            <w:pPr>
              <w:rPr>
                <w:sz w:val="21"/>
                <w:szCs w:val="21"/>
              </w:rPr>
            </w:pPr>
            <w:r>
              <w:rPr>
                <w:rFonts w:hint="eastAsia"/>
                <w:sz w:val="21"/>
                <w:szCs w:val="21"/>
              </w:rPr>
              <w:t>本项目不应当包含在内的供应商资格条件</w:t>
            </w:r>
          </w:p>
        </w:tc>
        <w:tc>
          <w:tcPr>
            <w:tcW w:w="3402" w:type="dxa"/>
          </w:tcPr>
          <w:p>
            <w:pPr>
              <w:pStyle w:val="27"/>
              <w:numPr>
                <w:ilvl w:val="0"/>
                <w:numId w:val="5"/>
              </w:numPr>
              <w:ind w:firstLineChars="0"/>
              <w:rPr>
                <w:sz w:val="21"/>
                <w:szCs w:val="21"/>
              </w:rPr>
            </w:pPr>
            <w:r>
              <w:rPr>
                <w:rFonts w:hint="eastAsia"/>
                <w:sz w:val="21"/>
                <w:szCs w:val="21"/>
              </w:rPr>
              <w:t>供应商后期履行本项目不需要包含的资格条件。</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2</w:t>
            </w:r>
          </w:p>
        </w:tc>
        <w:tc>
          <w:tcPr>
            <w:tcW w:w="1143" w:type="dxa"/>
            <w:vMerge w:val="restart"/>
            <w:vAlign w:val="center"/>
          </w:tcPr>
          <w:p>
            <w:pPr>
              <w:rPr>
                <w:sz w:val="21"/>
                <w:szCs w:val="21"/>
              </w:rPr>
            </w:pPr>
            <w:r>
              <w:rPr>
                <w:rFonts w:hint="eastAsia"/>
                <w:sz w:val="21"/>
                <w:szCs w:val="21"/>
              </w:rPr>
              <w:t>技术需求</w:t>
            </w:r>
          </w:p>
        </w:tc>
        <w:tc>
          <w:tcPr>
            <w:tcW w:w="2401" w:type="dxa"/>
            <w:vMerge w:val="restart"/>
            <w:vAlign w:val="center"/>
          </w:tcPr>
          <w:p>
            <w:pPr>
              <w:rPr>
                <w:sz w:val="21"/>
                <w:szCs w:val="21"/>
              </w:rPr>
            </w:pPr>
            <w:r>
              <w:rPr>
                <w:rFonts w:hint="eastAsia"/>
                <w:sz w:val="21"/>
                <w:szCs w:val="21"/>
              </w:rPr>
              <w:t>根据本项目需要达到的绩效，后期采购时包含的技术需求</w:t>
            </w:r>
          </w:p>
        </w:tc>
        <w:tc>
          <w:tcPr>
            <w:tcW w:w="3402" w:type="dxa"/>
          </w:tcPr>
          <w:p>
            <w:pPr>
              <w:pStyle w:val="27"/>
              <w:numPr>
                <w:ilvl w:val="0"/>
                <w:numId w:val="6"/>
              </w:numPr>
              <w:ind w:firstLineChars="0"/>
              <w:rPr>
                <w:sz w:val="21"/>
                <w:szCs w:val="21"/>
              </w:rPr>
            </w:pPr>
            <w:r>
              <w:rPr>
                <w:rFonts w:hint="eastAsia"/>
                <w:sz w:val="21"/>
                <w:szCs w:val="21"/>
              </w:rPr>
              <w:t>从有利于采购人角度出发，供应商认为本次采购项目应当包含的基本技术参数。</w:t>
            </w:r>
          </w:p>
        </w:tc>
        <w:tc>
          <w:tcPr>
            <w:tcW w:w="2101" w:type="dxa"/>
          </w:tcPr>
          <w:p>
            <w:pPr>
              <w:rPr>
                <w:sz w:val="21"/>
                <w:szCs w:val="21"/>
              </w:rPr>
            </w:pPr>
            <w:r>
              <w:rPr>
                <w:rFonts w:hint="eastAsia"/>
                <w:sz w:val="21"/>
                <w:szCs w:val="21"/>
              </w:rPr>
              <w:t>不应将自身具有核心竞争力的技术参数填入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7"/>
              </w:numPr>
              <w:ind w:firstLineChars="0"/>
              <w:rPr>
                <w:sz w:val="21"/>
                <w:szCs w:val="21"/>
              </w:rPr>
            </w:pPr>
            <w:r>
              <w:rPr>
                <w:rFonts w:hint="eastAsia"/>
                <w:sz w:val="21"/>
                <w:szCs w:val="21"/>
              </w:rPr>
              <w:t>拟参与后期竞争时，供应商认为其提供的货物（服务）具备核心竞争力的技术参数；</w:t>
            </w:r>
          </w:p>
        </w:tc>
        <w:tc>
          <w:tcPr>
            <w:tcW w:w="2101" w:type="dxa"/>
          </w:tcPr>
          <w:p>
            <w:pPr>
              <w:rPr>
                <w:sz w:val="21"/>
                <w:szCs w:val="21"/>
              </w:rPr>
            </w:pPr>
            <w:r>
              <w:rPr>
                <w:rFonts w:hint="eastAsia"/>
                <w:sz w:val="21"/>
                <w:szCs w:val="21"/>
              </w:rPr>
              <w:t>即后期认为应当作为实质性要求的技术参数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根据本项目需要达到的绩效，后期采购时可以不需要包含的技术需求</w:t>
            </w:r>
          </w:p>
        </w:tc>
        <w:tc>
          <w:tcPr>
            <w:tcW w:w="3402" w:type="dxa"/>
          </w:tcPr>
          <w:p>
            <w:pPr>
              <w:pStyle w:val="27"/>
              <w:numPr>
                <w:ilvl w:val="0"/>
                <w:numId w:val="8"/>
              </w:numPr>
              <w:ind w:firstLineChars="0"/>
              <w:rPr>
                <w:sz w:val="21"/>
                <w:szCs w:val="21"/>
              </w:rPr>
            </w:pPr>
            <w:r>
              <w:rPr>
                <w:rFonts w:hint="eastAsia"/>
                <w:sz w:val="21"/>
                <w:szCs w:val="21"/>
              </w:rPr>
              <w:t>供应商以列举的方式，认为其他供应商在技术需求制定过程中会作为实质性要求的技术参数。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9"/>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restart"/>
            <w:vAlign w:val="center"/>
          </w:tcPr>
          <w:p>
            <w:pPr>
              <w:rPr>
                <w:sz w:val="21"/>
                <w:szCs w:val="21"/>
              </w:rPr>
            </w:pPr>
            <w:r>
              <w:rPr>
                <w:rFonts w:hint="eastAsia"/>
                <w:sz w:val="21"/>
                <w:szCs w:val="21"/>
              </w:rPr>
              <w:t>征集基本需求中的技术参数是否具有倾向性、排他性情况</w:t>
            </w:r>
          </w:p>
        </w:tc>
        <w:tc>
          <w:tcPr>
            <w:tcW w:w="3402" w:type="dxa"/>
          </w:tcPr>
          <w:p>
            <w:pPr>
              <w:pStyle w:val="27"/>
              <w:numPr>
                <w:ilvl w:val="0"/>
                <w:numId w:val="10"/>
              </w:numPr>
              <w:ind w:firstLineChars="0"/>
              <w:rPr>
                <w:sz w:val="21"/>
                <w:szCs w:val="21"/>
              </w:rPr>
            </w:pPr>
            <w:r>
              <w:rPr>
                <w:rFonts w:hint="eastAsia"/>
                <w:sz w:val="21"/>
                <w:szCs w:val="21"/>
              </w:rPr>
              <w:t>采购人在本项目提供的征集基本需求中，是否存在倾向于某一个品牌或某一个供应商的情形？或者存在排他技术参数的情形？</w:t>
            </w:r>
          </w:p>
        </w:tc>
        <w:tc>
          <w:tcPr>
            <w:tcW w:w="2101" w:type="dxa"/>
          </w:tcPr>
          <w:p>
            <w:pPr>
              <w:rPr>
                <w:sz w:val="21"/>
                <w:szCs w:val="21"/>
              </w:rPr>
            </w:pPr>
            <w:r>
              <w:rPr>
                <w:rFonts w:hint="eastAsia"/>
                <w:sz w:val="21"/>
                <w:szCs w:val="21"/>
              </w:rPr>
              <w:t>供应商可以逐项列举，从本项目采购技术需求必要性的角度，进行说明，并提供相关证明材料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11"/>
              </w:numPr>
              <w:ind w:firstLineChars="0"/>
              <w:rPr>
                <w:sz w:val="21"/>
                <w:szCs w:val="21"/>
              </w:rPr>
            </w:pPr>
            <w:r>
              <w:rPr>
                <w:rFonts w:hint="eastAsia"/>
                <w:sz w:val="21"/>
                <w:szCs w:val="21"/>
              </w:rPr>
              <w:t>针对征集基本需求中的技术参数，供应商建议应当如何设定较为合理。</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tcPr>
          <w:p>
            <w:pPr>
              <w:rPr>
                <w:sz w:val="21"/>
                <w:szCs w:val="21"/>
              </w:rPr>
            </w:pPr>
            <w:r>
              <w:rPr>
                <w:rFonts w:hint="eastAsia"/>
                <w:sz w:val="21"/>
                <w:szCs w:val="21"/>
              </w:rPr>
              <w:t>3</w:t>
            </w:r>
          </w:p>
        </w:tc>
        <w:tc>
          <w:tcPr>
            <w:tcW w:w="1143" w:type="dxa"/>
            <w:vMerge w:val="restart"/>
          </w:tcPr>
          <w:p>
            <w:pPr>
              <w:rPr>
                <w:sz w:val="21"/>
                <w:szCs w:val="21"/>
              </w:rPr>
            </w:pPr>
            <w:r>
              <w:rPr>
                <w:rFonts w:hint="eastAsia"/>
                <w:sz w:val="21"/>
                <w:szCs w:val="21"/>
              </w:rPr>
              <w:t>商务需求</w:t>
            </w:r>
          </w:p>
        </w:tc>
        <w:tc>
          <w:tcPr>
            <w:tcW w:w="2401" w:type="dxa"/>
            <w:vMerge w:val="restart"/>
          </w:tcPr>
          <w:p>
            <w:pPr>
              <w:rPr>
                <w:sz w:val="21"/>
                <w:szCs w:val="21"/>
              </w:rPr>
            </w:pPr>
            <w:r>
              <w:rPr>
                <w:rFonts w:hint="eastAsia"/>
                <w:sz w:val="21"/>
                <w:szCs w:val="21"/>
              </w:rPr>
              <w:t>根据本项目需要达到的绩效，后期采购时包含的商务需求</w:t>
            </w:r>
          </w:p>
        </w:tc>
        <w:tc>
          <w:tcPr>
            <w:tcW w:w="3402" w:type="dxa"/>
          </w:tcPr>
          <w:p>
            <w:pPr>
              <w:pStyle w:val="27"/>
              <w:numPr>
                <w:ilvl w:val="0"/>
                <w:numId w:val="12"/>
              </w:numPr>
              <w:ind w:firstLineChars="0"/>
              <w:rPr>
                <w:sz w:val="21"/>
                <w:szCs w:val="21"/>
              </w:rPr>
            </w:pPr>
            <w:r>
              <w:rPr>
                <w:rFonts w:hint="eastAsia"/>
                <w:sz w:val="21"/>
                <w:szCs w:val="21"/>
              </w:rPr>
              <w:t>从有利于采购人角度出发，供应商认为本次采购项目应当包含的基本商务参数；</w:t>
            </w:r>
          </w:p>
        </w:tc>
        <w:tc>
          <w:tcPr>
            <w:tcW w:w="2101" w:type="dxa"/>
          </w:tcPr>
          <w:p>
            <w:pPr>
              <w:rPr>
                <w:sz w:val="21"/>
                <w:szCs w:val="21"/>
              </w:rPr>
            </w:pPr>
            <w:r>
              <w:rPr>
                <w:rFonts w:hint="eastAsia"/>
                <w:sz w:val="21"/>
                <w:szCs w:val="21"/>
              </w:rPr>
              <w:t>不应将自身具有核心竞争力的商务参数填入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7"/>
              <w:numPr>
                <w:ilvl w:val="0"/>
                <w:numId w:val="13"/>
              </w:numPr>
              <w:ind w:firstLineChars="0"/>
              <w:rPr>
                <w:sz w:val="21"/>
                <w:szCs w:val="21"/>
              </w:rPr>
            </w:pPr>
            <w:r>
              <w:rPr>
                <w:rFonts w:hint="eastAsia"/>
                <w:sz w:val="21"/>
                <w:szCs w:val="21"/>
              </w:rPr>
              <w:t>拟参与后期竞争时，供应商认为其提供的货物（服务）具备核心竞争力的商务参数；</w:t>
            </w:r>
          </w:p>
        </w:tc>
        <w:tc>
          <w:tcPr>
            <w:tcW w:w="2101" w:type="dxa"/>
          </w:tcPr>
          <w:p>
            <w:pPr>
              <w:rPr>
                <w:sz w:val="21"/>
                <w:szCs w:val="21"/>
              </w:rPr>
            </w:pPr>
            <w:r>
              <w:rPr>
                <w:rFonts w:hint="eastAsia"/>
                <w:sz w:val="21"/>
                <w:szCs w:val="21"/>
              </w:rPr>
              <w:t>即后期认为应当作为实质性要求的商务参数，货物项目包括保修年限、耗材提供等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restart"/>
          </w:tcPr>
          <w:p>
            <w:pPr>
              <w:rPr>
                <w:sz w:val="21"/>
                <w:szCs w:val="21"/>
              </w:rPr>
            </w:pPr>
            <w:r>
              <w:rPr>
                <w:rFonts w:hint="eastAsia"/>
                <w:sz w:val="21"/>
                <w:szCs w:val="21"/>
              </w:rPr>
              <w:t>根据本项目需要达到的绩效，后期采购时可以不需要包含的商务需求</w:t>
            </w:r>
          </w:p>
        </w:tc>
        <w:tc>
          <w:tcPr>
            <w:tcW w:w="3402" w:type="dxa"/>
          </w:tcPr>
          <w:p>
            <w:pPr>
              <w:pStyle w:val="27"/>
              <w:numPr>
                <w:ilvl w:val="0"/>
                <w:numId w:val="14"/>
              </w:numPr>
              <w:ind w:firstLineChars="0"/>
              <w:rPr>
                <w:sz w:val="21"/>
                <w:szCs w:val="21"/>
              </w:rPr>
            </w:pPr>
            <w:r>
              <w:rPr>
                <w:rFonts w:hint="eastAsia"/>
                <w:sz w:val="21"/>
                <w:szCs w:val="21"/>
              </w:rPr>
              <w:t>供应商以列举的方式，认为其他供应商在商务需求制定过程中会作为实质性要求的商务参数。</w:t>
            </w:r>
          </w:p>
        </w:tc>
        <w:tc>
          <w:tcPr>
            <w:tcW w:w="2101" w:type="dxa"/>
          </w:tcPr>
          <w:p>
            <w:pPr>
              <w:rPr>
                <w:sz w:val="21"/>
                <w:szCs w:val="21"/>
              </w:rPr>
            </w:pPr>
            <w:r>
              <w:rPr>
                <w:rFonts w:hint="eastAsia"/>
                <w:sz w:val="21"/>
                <w:szCs w:val="21"/>
              </w:rPr>
              <w:t>货物项目可以按照不同的品牌，分开逐项列举，并提供相关说明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tcPr>
          <w:p>
            <w:pPr>
              <w:rPr>
                <w:sz w:val="21"/>
                <w:szCs w:val="21"/>
              </w:rPr>
            </w:pPr>
          </w:p>
        </w:tc>
        <w:tc>
          <w:tcPr>
            <w:tcW w:w="1143" w:type="dxa"/>
            <w:vMerge w:val="continue"/>
          </w:tcPr>
          <w:p>
            <w:pPr>
              <w:rPr>
                <w:sz w:val="21"/>
                <w:szCs w:val="21"/>
              </w:rPr>
            </w:pPr>
          </w:p>
        </w:tc>
        <w:tc>
          <w:tcPr>
            <w:tcW w:w="2401" w:type="dxa"/>
            <w:vMerge w:val="continue"/>
          </w:tcPr>
          <w:p>
            <w:pPr>
              <w:rPr>
                <w:sz w:val="21"/>
                <w:szCs w:val="21"/>
              </w:rPr>
            </w:pPr>
          </w:p>
        </w:tc>
        <w:tc>
          <w:tcPr>
            <w:tcW w:w="3402" w:type="dxa"/>
          </w:tcPr>
          <w:p>
            <w:pPr>
              <w:pStyle w:val="27"/>
              <w:numPr>
                <w:ilvl w:val="0"/>
                <w:numId w:val="15"/>
              </w:numPr>
              <w:ind w:firstLineChars="0"/>
              <w:rPr>
                <w:sz w:val="21"/>
                <w:szCs w:val="21"/>
              </w:rPr>
            </w:pPr>
            <w:r>
              <w:rPr>
                <w:rFonts w:hint="eastAsia"/>
                <w:sz w:val="21"/>
                <w:szCs w:val="21"/>
              </w:rPr>
              <w:t>供应商认为需要特别说明的内容。</w:t>
            </w:r>
          </w:p>
        </w:tc>
        <w:tc>
          <w:tcPr>
            <w:tcW w:w="2101" w:type="dxa"/>
          </w:tcPr>
          <w:p>
            <w:pPr>
              <w:rPr>
                <w:sz w:val="21"/>
                <w:szCs w:val="21"/>
              </w:rPr>
            </w:pPr>
            <w:r>
              <w:rPr>
                <w:rFonts w:hint="eastAsia"/>
                <w:sz w:val="21"/>
                <w:szCs w:val="21"/>
              </w:rPr>
              <w:t>从有利于采购人的角度，对采购项目对采购人提出的建议和意见。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restart"/>
            <w:vAlign w:val="center"/>
          </w:tcPr>
          <w:p>
            <w:pPr>
              <w:rPr>
                <w:sz w:val="21"/>
                <w:szCs w:val="21"/>
              </w:rPr>
            </w:pPr>
            <w:r>
              <w:rPr>
                <w:rFonts w:hint="eastAsia"/>
                <w:sz w:val="21"/>
                <w:szCs w:val="21"/>
              </w:rPr>
              <w:t>4</w:t>
            </w:r>
          </w:p>
        </w:tc>
        <w:tc>
          <w:tcPr>
            <w:tcW w:w="1143" w:type="dxa"/>
            <w:vMerge w:val="restart"/>
            <w:vAlign w:val="center"/>
          </w:tcPr>
          <w:p>
            <w:pPr>
              <w:rPr>
                <w:sz w:val="21"/>
                <w:szCs w:val="21"/>
              </w:rPr>
            </w:pPr>
            <w:r>
              <w:rPr>
                <w:rFonts w:hint="eastAsia"/>
                <w:sz w:val="21"/>
                <w:szCs w:val="21"/>
              </w:rPr>
              <w:t>评审因素</w:t>
            </w:r>
          </w:p>
        </w:tc>
        <w:tc>
          <w:tcPr>
            <w:tcW w:w="2401" w:type="dxa"/>
            <w:vMerge w:val="restart"/>
            <w:vAlign w:val="center"/>
          </w:tcPr>
          <w:p>
            <w:pPr>
              <w:rPr>
                <w:sz w:val="21"/>
                <w:szCs w:val="21"/>
              </w:rPr>
            </w:pPr>
            <w:r>
              <w:rPr>
                <w:rFonts w:hint="eastAsia"/>
                <w:sz w:val="21"/>
                <w:szCs w:val="21"/>
              </w:rPr>
              <w:t>供应商根据过往参与的同类采购项目，对评审因素的设定提出建议和意见</w:t>
            </w:r>
          </w:p>
        </w:tc>
        <w:tc>
          <w:tcPr>
            <w:tcW w:w="3402" w:type="dxa"/>
          </w:tcPr>
          <w:p>
            <w:pPr>
              <w:pStyle w:val="27"/>
              <w:numPr>
                <w:ilvl w:val="0"/>
                <w:numId w:val="16"/>
              </w:numPr>
              <w:ind w:firstLineChars="0"/>
              <w:rPr>
                <w:sz w:val="21"/>
                <w:szCs w:val="21"/>
              </w:rPr>
            </w:pPr>
            <w:r>
              <w:rPr>
                <w:rFonts w:hint="eastAsia"/>
                <w:sz w:val="21"/>
                <w:szCs w:val="21"/>
              </w:rPr>
              <w:t>本项目在后期评审因素制定时，哪些因素应当重点考虑？</w:t>
            </w:r>
          </w:p>
        </w:tc>
        <w:tc>
          <w:tcPr>
            <w:tcW w:w="2101"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75" w:type="dxa"/>
            <w:vMerge w:val="continue"/>
            <w:vAlign w:val="center"/>
          </w:tcPr>
          <w:p>
            <w:pPr>
              <w:rPr>
                <w:sz w:val="21"/>
                <w:szCs w:val="21"/>
              </w:rPr>
            </w:pPr>
          </w:p>
        </w:tc>
        <w:tc>
          <w:tcPr>
            <w:tcW w:w="1143" w:type="dxa"/>
            <w:vMerge w:val="continue"/>
            <w:vAlign w:val="center"/>
          </w:tcPr>
          <w:p>
            <w:pPr>
              <w:rPr>
                <w:sz w:val="21"/>
                <w:szCs w:val="21"/>
              </w:rPr>
            </w:pPr>
          </w:p>
        </w:tc>
        <w:tc>
          <w:tcPr>
            <w:tcW w:w="2401" w:type="dxa"/>
            <w:vMerge w:val="continue"/>
            <w:vAlign w:val="center"/>
          </w:tcPr>
          <w:p>
            <w:pPr>
              <w:rPr>
                <w:sz w:val="21"/>
                <w:szCs w:val="21"/>
              </w:rPr>
            </w:pPr>
          </w:p>
        </w:tc>
        <w:tc>
          <w:tcPr>
            <w:tcW w:w="3402" w:type="dxa"/>
          </w:tcPr>
          <w:p>
            <w:pPr>
              <w:pStyle w:val="27"/>
              <w:numPr>
                <w:ilvl w:val="0"/>
                <w:numId w:val="16"/>
              </w:numPr>
              <w:ind w:firstLineChars="0"/>
              <w:rPr>
                <w:sz w:val="21"/>
                <w:szCs w:val="21"/>
              </w:rPr>
            </w:pPr>
            <w:r>
              <w:rPr>
                <w:rFonts w:hint="eastAsia"/>
                <w:sz w:val="21"/>
                <w:szCs w:val="21"/>
              </w:rPr>
              <w:t>本项目在后期评审因素制定时，哪些因素不应当重点考虑？</w:t>
            </w:r>
          </w:p>
        </w:tc>
        <w:tc>
          <w:tcPr>
            <w:tcW w:w="2101" w:type="dxa"/>
          </w:tcPr>
          <w:p>
            <w:pPr>
              <w:rPr>
                <w:sz w:val="21"/>
                <w:szCs w:val="21"/>
              </w:rPr>
            </w:pPr>
            <w:r>
              <w:rPr>
                <w:rFonts w:hint="eastAsia"/>
                <w:sz w:val="21"/>
                <w:szCs w:val="21"/>
              </w:rPr>
              <w:t>供应商结合过往参与的同类采购项目存在的不合理情形，列举方式逐项列举。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7" w:hRule="atLeast"/>
          <w:jc w:val="center"/>
        </w:trPr>
        <w:tc>
          <w:tcPr>
            <w:tcW w:w="675" w:type="dxa"/>
            <w:vAlign w:val="center"/>
          </w:tcPr>
          <w:p>
            <w:pPr>
              <w:rPr>
                <w:sz w:val="21"/>
                <w:szCs w:val="21"/>
              </w:rPr>
            </w:pPr>
            <w:r>
              <w:rPr>
                <w:rFonts w:hint="eastAsia"/>
                <w:sz w:val="21"/>
                <w:szCs w:val="21"/>
              </w:rPr>
              <w:t>5</w:t>
            </w:r>
          </w:p>
        </w:tc>
        <w:tc>
          <w:tcPr>
            <w:tcW w:w="1143" w:type="dxa"/>
            <w:vAlign w:val="center"/>
          </w:tcPr>
          <w:p>
            <w:pPr>
              <w:rPr>
                <w:sz w:val="21"/>
                <w:szCs w:val="21"/>
              </w:rPr>
            </w:pPr>
            <w:r>
              <w:rPr>
                <w:rFonts w:hint="eastAsia"/>
                <w:sz w:val="21"/>
                <w:szCs w:val="21"/>
              </w:rPr>
              <w:t>预算与最高限价</w:t>
            </w:r>
          </w:p>
        </w:tc>
        <w:tc>
          <w:tcPr>
            <w:tcW w:w="2401" w:type="dxa"/>
            <w:vAlign w:val="center"/>
          </w:tcPr>
          <w:p>
            <w:pPr>
              <w:rPr>
                <w:sz w:val="21"/>
                <w:szCs w:val="21"/>
              </w:rPr>
            </w:pPr>
            <w:r>
              <w:rPr>
                <w:rFonts w:hint="eastAsia"/>
                <w:sz w:val="21"/>
                <w:szCs w:val="21"/>
              </w:rPr>
              <w:t>根据本项目的预算提供相关的建议和意见</w:t>
            </w:r>
          </w:p>
        </w:tc>
        <w:tc>
          <w:tcPr>
            <w:tcW w:w="3402" w:type="dxa"/>
          </w:tcPr>
          <w:p>
            <w:pPr>
              <w:pStyle w:val="27"/>
              <w:numPr>
                <w:ilvl w:val="0"/>
                <w:numId w:val="17"/>
              </w:numPr>
              <w:ind w:firstLineChars="0"/>
              <w:rPr>
                <w:sz w:val="21"/>
                <w:szCs w:val="21"/>
              </w:rPr>
            </w:pPr>
            <w:r>
              <w:rPr>
                <w:rFonts w:hint="eastAsia"/>
                <w:sz w:val="21"/>
                <w:szCs w:val="21"/>
              </w:rPr>
              <w:t>本项目提供的征集需求中，技术参数、商务参数对应的最高限价应当设定为多少较为合理？</w:t>
            </w:r>
          </w:p>
        </w:tc>
        <w:tc>
          <w:tcPr>
            <w:tcW w:w="2101" w:type="dxa"/>
          </w:tcPr>
          <w:p>
            <w:pPr>
              <w:rPr>
                <w:sz w:val="21"/>
                <w:szCs w:val="21"/>
              </w:rPr>
            </w:pPr>
            <w:r>
              <w:rPr>
                <w:rFonts w:hint="eastAsia"/>
                <w:sz w:val="21"/>
                <w:szCs w:val="21"/>
              </w:rPr>
              <w:t>供应商在说明的同时，最好提供相关依据，包括过往合同、各地的政府采购网上的中标（成交）结果公告链接，或者合同。</w:t>
            </w:r>
          </w:p>
        </w:tc>
      </w:tr>
    </w:tbl>
    <w:p>
      <w:pPr>
        <w:rPr>
          <w:sz w:val="21"/>
          <w:szCs w:val="21"/>
        </w:rPr>
      </w:pPr>
    </w:p>
    <w:p>
      <w:pPr>
        <w:rPr>
          <w:sz w:val="21"/>
          <w:szCs w:val="21"/>
        </w:rPr>
      </w:pPr>
    </w:p>
    <w:p>
      <w:pPr>
        <w:rPr>
          <w:sz w:val="21"/>
          <w:szCs w:val="21"/>
        </w:rPr>
      </w:pPr>
      <w:r>
        <w:rPr>
          <w:rFonts w:hint="eastAsia"/>
          <w:sz w:val="21"/>
          <w:szCs w:val="21"/>
        </w:rPr>
        <w:t>6.“负面清单”制作参考格式（供应商可以自行调整）</w:t>
      </w:r>
    </w:p>
    <w:tbl>
      <w:tblPr>
        <w:tblStyle w:val="21"/>
        <w:tblW w:w="104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6"/>
        <w:gridCol w:w="813"/>
        <w:gridCol w:w="4826"/>
        <w:gridCol w:w="2361"/>
        <w:gridCol w:w="1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tcPr>
          <w:p>
            <w:pPr>
              <w:rPr>
                <w:sz w:val="21"/>
                <w:szCs w:val="21"/>
              </w:rPr>
            </w:pPr>
            <w:r>
              <w:rPr>
                <w:rFonts w:hint="eastAsia"/>
                <w:sz w:val="21"/>
                <w:szCs w:val="21"/>
              </w:rPr>
              <w:t>所属部分</w:t>
            </w:r>
          </w:p>
        </w:tc>
        <w:tc>
          <w:tcPr>
            <w:tcW w:w="813" w:type="dxa"/>
          </w:tcPr>
          <w:p>
            <w:pPr>
              <w:rPr>
                <w:sz w:val="21"/>
                <w:szCs w:val="21"/>
              </w:rPr>
            </w:pPr>
            <w:r>
              <w:rPr>
                <w:rFonts w:hint="eastAsia"/>
                <w:sz w:val="21"/>
                <w:szCs w:val="21"/>
              </w:rPr>
              <w:t>序号</w:t>
            </w:r>
          </w:p>
        </w:tc>
        <w:tc>
          <w:tcPr>
            <w:tcW w:w="4826" w:type="dxa"/>
          </w:tcPr>
          <w:p>
            <w:pPr>
              <w:rPr>
                <w:sz w:val="21"/>
                <w:szCs w:val="21"/>
              </w:rPr>
            </w:pPr>
            <w:r>
              <w:rPr>
                <w:rFonts w:hint="eastAsia"/>
                <w:color w:val="FF0000"/>
                <w:sz w:val="21"/>
                <w:szCs w:val="21"/>
                <w:highlight w:val="yellow"/>
              </w:rPr>
              <w:t>供应商结合过往经验，认为《基本要求》存在歧视、排他等条款，或者后期招标采购时不应作为技术、商务或评审因素的内容。</w:t>
            </w:r>
          </w:p>
        </w:tc>
        <w:tc>
          <w:tcPr>
            <w:tcW w:w="2361" w:type="dxa"/>
          </w:tcPr>
          <w:p>
            <w:pPr>
              <w:rPr>
                <w:sz w:val="21"/>
                <w:szCs w:val="21"/>
              </w:rPr>
            </w:pPr>
            <w:r>
              <w:rPr>
                <w:rFonts w:hint="eastAsia"/>
                <w:sz w:val="21"/>
                <w:szCs w:val="21"/>
              </w:rPr>
              <w:t>修改建议或意见</w:t>
            </w:r>
          </w:p>
        </w:tc>
        <w:tc>
          <w:tcPr>
            <w:tcW w:w="1034" w:type="dxa"/>
          </w:tcPr>
          <w:p>
            <w:pPr>
              <w:rPr>
                <w:sz w:val="21"/>
                <w:szCs w:val="21"/>
              </w:rPr>
            </w:pPr>
            <w:r>
              <w:rPr>
                <w:rFonts w:hint="eastAsia"/>
                <w:sz w:val="21"/>
                <w:szCs w:val="21"/>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资格条件</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技术要求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商务要求</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评审规则</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预算或最高限价制定</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合同条款</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restart"/>
          </w:tcPr>
          <w:p>
            <w:pPr>
              <w:rPr>
                <w:sz w:val="21"/>
                <w:szCs w:val="21"/>
              </w:rPr>
            </w:pPr>
            <w:r>
              <w:rPr>
                <w:rFonts w:hint="eastAsia"/>
                <w:sz w:val="21"/>
                <w:szCs w:val="21"/>
              </w:rPr>
              <w:t>其他（如有）</w:t>
            </w:r>
          </w:p>
        </w:tc>
        <w:tc>
          <w:tcPr>
            <w:tcW w:w="813" w:type="dxa"/>
          </w:tcPr>
          <w:p>
            <w:pPr>
              <w:rPr>
                <w:sz w:val="21"/>
                <w:szCs w:val="21"/>
              </w:rPr>
            </w:pPr>
            <w:r>
              <w:rPr>
                <w:rFonts w:hint="eastAsia"/>
                <w:sz w:val="21"/>
                <w:szCs w:val="21"/>
              </w:rPr>
              <w:t>1</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2</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3</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6" w:type="dxa"/>
            <w:vMerge w:val="continue"/>
          </w:tcPr>
          <w:p>
            <w:pPr>
              <w:rPr>
                <w:sz w:val="21"/>
                <w:szCs w:val="21"/>
              </w:rPr>
            </w:pPr>
          </w:p>
        </w:tc>
        <w:tc>
          <w:tcPr>
            <w:tcW w:w="813" w:type="dxa"/>
          </w:tcPr>
          <w:p>
            <w:pPr>
              <w:rPr>
                <w:sz w:val="21"/>
                <w:szCs w:val="21"/>
              </w:rPr>
            </w:pPr>
            <w:r>
              <w:rPr>
                <w:rFonts w:hint="eastAsia"/>
                <w:sz w:val="21"/>
                <w:szCs w:val="21"/>
              </w:rPr>
              <w:t>……</w:t>
            </w:r>
          </w:p>
        </w:tc>
        <w:tc>
          <w:tcPr>
            <w:tcW w:w="4826" w:type="dxa"/>
          </w:tcPr>
          <w:p>
            <w:pPr>
              <w:rPr>
                <w:sz w:val="21"/>
                <w:szCs w:val="21"/>
              </w:rPr>
            </w:pPr>
          </w:p>
        </w:tc>
        <w:tc>
          <w:tcPr>
            <w:tcW w:w="2361" w:type="dxa"/>
          </w:tcPr>
          <w:p>
            <w:pPr>
              <w:rPr>
                <w:sz w:val="21"/>
                <w:szCs w:val="21"/>
              </w:rPr>
            </w:pPr>
          </w:p>
        </w:tc>
        <w:tc>
          <w:tcPr>
            <w:tcW w:w="1034" w:type="dxa"/>
          </w:tcPr>
          <w:p>
            <w:pPr>
              <w:rPr>
                <w:sz w:val="21"/>
                <w:szCs w:val="21"/>
              </w:rPr>
            </w:pPr>
          </w:p>
        </w:tc>
      </w:tr>
    </w:tbl>
    <w:p>
      <w:pPr>
        <w:rPr>
          <w:sz w:val="21"/>
          <w:szCs w:val="21"/>
        </w:rPr>
      </w:pPr>
    </w:p>
    <w:p>
      <w:pPr>
        <w:rPr>
          <w:sz w:val="21"/>
          <w:szCs w:val="21"/>
        </w:rPr>
      </w:pPr>
    </w:p>
    <w:p>
      <w:pPr>
        <w:rPr>
          <w:sz w:val="21"/>
          <w:szCs w:val="21"/>
        </w:rPr>
      </w:pPr>
    </w:p>
    <w:p>
      <w:pPr>
        <w:jc w:val="right"/>
        <w:rPr>
          <w:sz w:val="21"/>
          <w:szCs w:val="21"/>
        </w:rPr>
      </w:pPr>
      <w:r>
        <w:rPr>
          <w:rFonts w:hint="eastAsia"/>
          <w:sz w:val="21"/>
          <w:szCs w:val="21"/>
        </w:rPr>
        <w:t>供应商（加盖公章）：</w:t>
      </w:r>
    </w:p>
    <w:p>
      <w:pPr>
        <w:jc w:val="right"/>
        <w:rPr>
          <w:sz w:val="21"/>
          <w:szCs w:val="21"/>
        </w:rPr>
      </w:pPr>
      <w:r>
        <w:rPr>
          <w:rFonts w:hint="eastAsia"/>
          <w:sz w:val="21"/>
          <w:szCs w:val="21"/>
        </w:rPr>
        <w:t>202</w:t>
      </w:r>
      <w:r>
        <w:rPr>
          <w:rFonts w:hint="eastAsia"/>
          <w:sz w:val="21"/>
          <w:szCs w:val="21"/>
          <w:lang w:val="en-US" w:eastAsia="zh-CN"/>
        </w:rPr>
        <w:t>3</w:t>
      </w:r>
      <w:r>
        <w:rPr>
          <w:rFonts w:hint="eastAsia"/>
          <w:sz w:val="21"/>
          <w:szCs w:val="21"/>
        </w:rPr>
        <w:t>年</w:t>
      </w:r>
      <w:r>
        <w:rPr>
          <w:rFonts w:hint="eastAsia"/>
          <w:sz w:val="21"/>
          <w:szCs w:val="21"/>
          <w:lang w:val="en-US" w:eastAsia="zh-CN"/>
        </w:rPr>
        <w:t xml:space="preserve">  </w:t>
      </w:r>
      <w:r>
        <w:rPr>
          <w:rFonts w:hint="eastAsia"/>
          <w:sz w:val="21"/>
          <w:szCs w:val="21"/>
        </w:rPr>
        <w:t>月</w:t>
      </w:r>
      <w:r>
        <w:rPr>
          <w:rFonts w:hint="eastAsia"/>
          <w:sz w:val="21"/>
          <w:szCs w:val="21"/>
          <w:lang w:val="en-US" w:eastAsia="zh-CN"/>
        </w:rPr>
        <w:t xml:space="preserve">  </w:t>
      </w:r>
      <w:r>
        <w:rPr>
          <w:rFonts w:hint="eastAsia"/>
          <w:sz w:val="21"/>
          <w:szCs w:val="21"/>
        </w:rPr>
        <w:t>日</w:t>
      </w:r>
    </w:p>
    <w:p>
      <w:pPr>
        <w:widowControl/>
        <w:jc w:val="left"/>
        <w:rPr>
          <w:rFonts w:ascii="宋体" w:hAnsi="宋体"/>
          <w:sz w:val="21"/>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6366"/>
    <w:multiLevelType w:val="multilevel"/>
    <w:tmpl w:val="00EB63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69E08EC"/>
    <w:multiLevelType w:val="multilevel"/>
    <w:tmpl w:val="069E08E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CF343D"/>
    <w:multiLevelType w:val="multilevel"/>
    <w:tmpl w:val="0FCF343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6F01F1"/>
    <w:multiLevelType w:val="multilevel"/>
    <w:tmpl w:val="116F01F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E3918CC"/>
    <w:multiLevelType w:val="multilevel"/>
    <w:tmpl w:val="1E3918C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2F285DBA"/>
    <w:multiLevelType w:val="multilevel"/>
    <w:tmpl w:val="2F285DBA"/>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3288C6B2"/>
    <w:multiLevelType w:val="singleLevel"/>
    <w:tmpl w:val="3288C6B2"/>
    <w:lvl w:ilvl="0" w:tentative="0">
      <w:start w:val="1"/>
      <w:numFmt w:val="chineseCounting"/>
      <w:suff w:val="nothing"/>
      <w:lvlText w:val="%1、"/>
      <w:lvlJc w:val="left"/>
      <w:rPr>
        <w:rFonts w:hint="eastAsia"/>
      </w:rPr>
    </w:lvl>
  </w:abstractNum>
  <w:abstractNum w:abstractNumId="7">
    <w:nsid w:val="347C3F08"/>
    <w:multiLevelType w:val="multilevel"/>
    <w:tmpl w:val="347C3F08"/>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35F243AD"/>
    <w:multiLevelType w:val="multilevel"/>
    <w:tmpl w:val="35F243A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37434685"/>
    <w:multiLevelType w:val="multilevel"/>
    <w:tmpl w:val="374346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44010B0F"/>
    <w:multiLevelType w:val="multilevel"/>
    <w:tmpl w:val="44010B0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4E793CB9"/>
    <w:multiLevelType w:val="multilevel"/>
    <w:tmpl w:val="4E793CB9"/>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555971DE"/>
    <w:multiLevelType w:val="multilevel"/>
    <w:tmpl w:val="555971D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63D35B53"/>
    <w:multiLevelType w:val="multilevel"/>
    <w:tmpl w:val="63D35B53"/>
    <w:lvl w:ilvl="0" w:tentative="0">
      <w:start w:val="1"/>
      <w:numFmt w:val="decimal"/>
      <w:pStyle w:val="49"/>
      <w:lvlText w:val="%1."/>
      <w:lvlJc w:val="left"/>
      <w:pPr>
        <w:ind w:left="440" w:hanging="440"/>
      </w:pPr>
      <w:rPr>
        <w:rFonts w:hint="eastAsia"/>
      </w:rPr>
    </w:lvl>
    <w:lvl w:ilvl="1" w:tentative="0">
      <w:start w:val="1"/>
      <w:numFmt w:val="decimal"/>
      <w:pStyle w:val="50"/>
      <w:isLgl/>
      <w:suff w:val="space"/>
      <w:lvlText w:val="%1.%2"/>
      <w:lvlJc w:val="left"/>
      <w:pPr>
        <w:ind w:left="0" w:firstLine="0"/>
      </w:pPr>
      <w:rPr>
        <w:sz w:val="30"/>
        <w:szCs w:val="30"/>
      </w:rPr>
    </w:lvl>
    <w:lvl w:ilvl="2" w:tentative="0">
      <w:start w:val="1"/>
      <w:numFmt w:val="decimal"/>
      <w:pStyle w:val="51"/>
      <w:isLgl/>
      <w:suff w:val="space"/>
      <w:lvlText w:val="%1.%2.%3"/>
      <w:lvlJc w:val="left"/>
      <w:pPr>
        <w:ind w:left="0" w:firstLine="0"/>
      </w:pPr>
    </w:lvl>
    <w:lvl w:ilvl="3" w:tentative="0">
      <w:start w:val="1"/>
      <w:numFmt w:val="decimal"/>
      <w:pStyle w:val="52"/>
      <w:isLgl/>
      <w:suff w:val="space"/>
      <w:lvlText w:val="%1.%2.%3.%4"/>
      <w:lvlJc w:val="left"/>
      <w:pPr>
        <w:ind w:left="0" w:firstLine="0"/>
      </w:pPr>
    </w:lvl>
    <w:lvl w:ilvl="4" w:tentative="0">
      <w:start w:val="1"/>
      <w:numFmt w:val="decimal"/>
      <w:isLgl/>
      <w:suff w:val="space"/>
      <w:lvlText w:val="%1.%2.%3.%4.%5"/>
      <w:lvlJc w:val="left"/>
      <w:pPr>
        <w:ind w:left="0" w:firstLine="0"/>
      </w:pPr>
    </w:lvl>
    <w:lvl w:ilvl="5" w:tentative="0">
      <w:start w:val="1"/>
      <w:numFmt w:val="decimal"/>
      <w:isLgl/>
      <w:suff w:val="space"/>
      <w:lvlText w:val="%1.%2.%3.%4.%5.%6"/>
      <w:lvlJc w:val="left"/>
      <w:pPr>
        <w:ind w:left="0" w:firstLine="0"/>
      </w:pPr>
    </w:lvl>
    <w:lvl w:ilvl="6" w:tentative="0">
      <w:start w:val="1"/>
      <w:numFmt w:val="decimal"/>
      <w:isLgl/>
      <w:suff w:val="space"/>
      <w:lvlText w:val="%1.%2.%3.%4.%5.%6.%7"/>
      <w:lvlJc w:val="left"/>
      <w:pPr>
        <w:ind w:left="0" w:firstLine="0"/>
      </w:pPr>
    </w:lvl>
    <w:lvl w:ilvl="7" w:tentative="0">
      <w:start w:val="1"/>
      <w:numFmt w:val="decimal"/>
      <w:isLgl/>
      <w:suff w:val="space"/>
      <w:lvlText w:val="%1.%2.%3.%4.%5.%6.%7.%8"/>
      <w:lvlJc w:val="left"/>
      <w:pPr>
        <w:ind w:left="0" w:firstLine="0"/>
      </w:pPr>
    </w:lvl>
    <w:lvl w:ilvl="8" w:tentative="0">
      <w:start w:val="1"/>
      <w:numFmt w:val="decimal"/>
      <w:suff w:val="nothing"/>
      <w:lvlText w:val="%1.%2.%3.%4.%5.%6.%7.%8.%9"/>
      <w:lvlJc w:val="left"/>
      <w:pPr>
        <w:ind w:left="0" w:firstLine="0"/>
      </w:pPr>
    </w:lvl>
  </w:abstractNum>
  <w:abstractNum w:abstractNumId="14">
    <w:nsid w:val="65AA0430"/>
    <w:multiLevelType w:val="multilevel"/>
    <w:tmpl w:val="65AA043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66CA0DCA"/>
    <w:multiLevelType w:val="multilevel"/>
    <w:tmpl w:val="66CA0DCA"/>
    <w:lvl w:ilvl="0" w:tentative="0">
      <w:start w:val="1"/>
      <w:numFmt w:val="bullet"/>
      <w:pStyle w:val="41"/>
      <w:lvlText w:val=""/>
      <w:lvlJc w:val="left"/>
      <w:pPr>
        <w:tabs>
          <w:tab w:val="left" w:pos="1260"/>
        </w:tabs>
        <w:ind w:left="1260" w:hanging="420"/>
      </w:pPr>
      <w:rPr>
        <w:rFonts w:hint="default" w:ascii="Wingdings" w:hAnsi="Wingdings"/>
      </w:rPr>
    </w:lvl>
    <w:lvl w:ilvl="1" w:tentative="0">
      <w:start w:val="1"/>
      <w:numFmt w:val="bullet"/>
      <w:lvlText w:val=""/>
      <w:lvlJc w:val="left"/>
      <w:pPr>
        <w:tabs>
          <w:tab w:val="left" w:pos="580"/>
        </w:tabs>
        <w:ind w:left="580" w:hanging="420"/>
      </w:pPr>
      <w:rPr>
        <w:rFonts w:hint="default" w:ascii="Wingdings" w:hAnsi="Wingdings"/>
      </w:rPr>
    </w:lvl>
    <w:lvl w:ilvl="2" w:tentative="0">
      <w:start w:val="1"/>
      <w:numFmt w:val="bullet"/>
      <w:lvlText w:val=""/>
      <w:lvlJc w:val="left"/>
      <w:pPr>
        <w:tabs>
          <w:tab w:val="left" w:pos="1000"/>
        </w:tabs>
        <w:ind w:left="1000" w:hanging="420"/>
      </w:pPr>
      <w:rPr>
        <w:rFonts w:hint="default" w:ascii="Wingdings" w:hAnsi="Wingdings"/>
      </w:rPr>
    </w:lvl>
    <w:lvl w:ilvl="3" w:tentative="0">
      <w:start w:val="1"/>
      <w:numFmt w:val="bullet"/>
      <w:lvlText w:val=""/>
      <w:lvlJc w:val="left"/>
      <w:pPr>
        <w:tabs>
          <w:tab w:val="left" w:pos="1420"/>
        </w:tabs>
        <w:ind w:left="1420" w:hanging="420"/>
      </w:pPr>
      <w:rPr>
        <w:rFonts w:hint="default" w:ascii="Wingdings" w:hAnsi="Wingdings"/>
      </w:rPr>
    </w:lvl>
    <w:lvl w:ilvl="4" w:tentative="0">
      <w:start w:val="1"/>
      <w:numFmt w:val="bullet"/>
      <w:lvlText w:val=""/>
      <w:lvlJc w:val="left"/>
      <w:pPr>
        <w:tabs>
          <w:tab w:val="left" w:pos="1840"/>
        </w:tabs>
        <w:ind w:left="1840" w:hanging="420"/>
      </w:pPr>
      <w:rPr>
        <w:rFonts w:hint="default" w:ascii="Wingdings" w:hAnsi="Wingdings"/>
      </w:rPr>
    </w:lvl>
    <w:lvl w:ilvl="5" w:tentative="0">
      <w:start w:val="1"/>
      <w:numFmt w:val="bullet"/>
      <w:lvlText w:val=""/>
      <w:lvlJc w:val="left"/>
      <w:pPr>
        <w:tabs>
          <w:tab w:val="left" w:pos="2260"/>
        </w:tabs>
        <w:ind w:left="2260" w:hanging="420"/>
      </w:pPr>
      <w:rPr>
        <w:rFonts w:hint="default" w:ascii="Wingdings" w:hAnsi="Wingdings"/>
      </w:rPr>
    </w:lvl>
    <w:lvl w:ilvl="6" w:tentative="0">
      <w:start w:val="1"/>
      <w:numFmt w:val="bullet"/>
      <w:lvlText w:val=""/>
      <w:lvlJc w:val="left"/>
      <w:pPr>
        <w:tabs>
          <w:tab w:val="left" w:pos="2680"/>
        </w:tabs>
        <w:ind w:left="2680" w:hanging="420"/>
      </w:pPr>
      <w:rPr>
        <w:rFonts w:hint="default" w:ascii="Wingdings" w:hAnsi="Wingdings"/>
      </w:rPr>
    </w:lvl>
    <w:lvl w:ilvl="7" w:tentative="0">
      <w:start w:val="1"/>
      <w:numFmt w:val="bullet"/>
      <w:lvlText w:val=""/>
      <w:lvlJc w:val="left"/>
      <w:pPr>
        <w:tabs>
          <w:tab w:val="left" w:pos="3100"/>
        </w:tabs>
        <w:ind w:left="3100" w:hanging="420"/>
      </w:pPr>
      <w:rPr>
        <w:rFonts w:hint="default" w:ascii="Wingdings" w:hAnsi="Wingdings"/>
      </w:rPr>
    </w:lvl>
    <w:lvl w:ilvl="8" w:tentative="0">
      <w:start w:val="1"/>
      <w:numFmt w:val="bullet"/>
      <w:lvlText w:val=""/>
      <w:lvlJc w:val="left"/>
      <w:pPr>
        <w:tabs>
          <w:tab w:val="left" w:pos="3520"/>
        </w:tabs>
        <w:ind w:left="3520" w:hanging="420"/>
      </w:pPr>
      <w:rPr>
        <w:rFonts w:hint="default" w:ascii="Wingdings" w:hAnsi="Wingdings"/>
      </w:rPr>
    </w:lvl>
  </w:abstractNum>
  <w:abstractNum w:abstractNumId="16">
    <w:nsid w:val="795C1F42"/>
    <w:multiLevelType w:val="multilevel"/>
    <w:tmpl w:val="795C1F4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5"/>
  </w:num>
  <w:num w:numId="2">
    <w:abstractNumId w:val="13"/>
  </w:num>
  <w:num w:numId="3">
    <w:abstractNumId w:val="6"/>
  </w:num>
  <w:num w:numId="4">
    <w:abstractNumId w:val="7"/>
  </w:num>
  <w:num w:numId="5">
    <w:abstractNumId w:val="10"/>
  </w:num>
  <w:num w:numId="6">
    <w:abstractNumId w:val="3"/>
  </w:num>
  <w:num w:numId="7">
    <w:abstractNumId w:val="1"/>
  </w:num>
  <w:num w:numId="8">
    <w:abstractNumId w:val="12"/>
  </w:num>
  <w:num w:numId="9">
    <w:abstractNumId w:val="9"/>
  </w:num>
  <w:num w:numId="10">
    <w:abstractNumId w:val="4"/>
  </w:num>
  <w:num w:numId="11">
    <w:abstractNumId w:val="16"/>
  </w:num>
  <w:num w:numId="12">
    <w:abstractNumId w:val="8"/>
  </w:num>
  <w:num w:numId="13">
    <w:abstractNumId w:val="5"/>
  </w:num>
  <w:num w:numId="14">
    <w:abstractNumId w:val="11"/>
  </w:num>
  <w:num w:numId="15">
    <w:abstractNumId w:val="0"/>
  </w:num>
  <w:num w:numId="16">
    <w:abstractNumId w:val="14"/>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zZmFjMmU2NDYyMTJiZDRjNzQ0NWRhNGZjOWE4NDkifQ=="/>
  </w:docVars>
  <w:rsids>
    <w:rsidRoot w:val="00FC41EF"/>
    <w:rsid w:val="00014317"/>
    <w:rsid w:val="000242A7"/>
    <w:rsid w:val="00026181"/>
    <w:rsid w:val="00053470"/>
    <w:rsid w:val="000573ED"/>
    <w:rsid w:val="00062E18"/>
    <w:rsid w:val="000632CD"/>
    <w:rsid w:val="000633CC"/>
    <w:rsid w:val="000660C3"/>
    <w:rsid w:val="000753DB"/>
    <w:rsid w:val="0007589E"/>
    <w:rsid w:val="00076F93"/>
    <w:rsid w:val="00077D18"/>
    <w:rsid w:val="00077E14"/>
    <w:rsid w:val="00077EEB"/>
    <w:rsid w:val="00084D1C"/>
    <w:rsid w:val="00086E62"/>
    <w:rsid w:val="000904D2"/>
    <w:rsid w:val="0009715C"/>
    <w:rsid w:val="000C60DC"/>
    <w:rsid w:val="000D3F9D"/>
    <w:rsid w:val="000D5179"/>
    <w:rsid w:val="000D683B"/>
    <w:rsid w:val="00105B19"/>
    <w:rsid w:val="001105DE"/>
    <w:rsid w:val="00112002"/>
    <w:rsid w:val="00116C13"/>
    <w:rsid w:val="00117DC7"/>
    <w:rsid w:val="00117E88"/>
    <w:rsid w:val="00151430"/>
    <w:rsid w:val="00152420"/>
    <w:rsid w:val="001544F2"/>
    <w:rsid w:val="00163EB3"/>
    <w:rsid w:val="001715DC"/>
    <w:rsid w:val="00172260"/>
    <w:rsid w:val="0017721F"/>
    <w:rsid w:val="00180FB3"/>
    <w:rsid w:val="0018423C"/>
    <w:rsid w:val="0018744D"/>
    <w:rsid w:val="00191AE9"/>
    <w:rsid w:val="00191DAD"/>
    <w:rsid w:val="0019370C"/>
    <w:rsid w:val="001A0AFE"/>
    <w:rsid w:val="001B0BD5"/>
    <w:rsid w:val="001B0D71"/>
    <w:rsid w:val="001B304D"/>
    <w:rsid w:val="001B3AED"/>
    <w:rsid w:val="001B55E6"/>
    <w:rsid w:val="001B5B8B"/>
    <w:rsid w:val="001B70A3"/>
    <w:rsid w:val="001E01D9"/>
    <w:rsid w:val="001E5484"/>
    <w:rsid w:val="001F040A"/>
    <w:rsid w:val="001F62D6"/>
    <w:rsid w:val="001F7EB5"/>
    <w:rsid w:val="00212990"/>
    <w:rsid w:val="002233C4"/>
    <w:rsid w:val="0023491E"/>
    <w:rsid w:val="002463C8"/>
    <w:rsid w:val="00260D08"/>
    <w:rsid w:val="002622B2"/>
    <w:rsid w:val="00264843"/>
    <w:rsid w:val="002665E6"/>
    <w:rsid w:val="00267C75"/>
    <w:rsid w:val="00274E72"/>
    <w:rsid w:val="00277BFB"/>
    <w:rsid w:val="00283F40"/>
    <w:rsid w:val="00285081"/>
    <w:rsid w:val="002858FA"/>
    <w:rsid w:val="00295BD1"/>
    <w:rsid w:val="00297267"/>
    <w:rsid w:val="002A2763"/>
    <w:rsid w:val="002A45FE"/>
    <w:rsid w:val="002B43F0"/>
    <w:rsid w:val="002C1C07"/>
    <w:rsid w:val="002C2110"/>
    <w:rsid w:val="002C2F28"/>
    <w:rsid w:val="002C5A87"/>
    <w:rsid w:val="002C6999"/>
    <w:rsid w:val="002C6DD7"/>
    <w:rsid w:val="002D7E4D"/>
    <w:rsid w:val="002E2900"/>
    <w:rsid w:val="002F06DB"/>
    <w:rsid w:val="002F35FE"/>
    <w:rsid w:val="00300EF6"/>
    <w:rsid w:val="00307333"/>
    <w:rsid w:val="0031203E"/>
    <w:rsid w:val="00314756"/>
    <w:rsid w:val="003164A6"/>
    <w:rsid w:val="003237F7"/>
    <w:rsid w:val="0032746E"/>
    <w:rsid w:val="00331CCA"/>
    <w:rsid w:val="00333B29"/>
    <w:rsid w:val="00347599"/>
    <w:rsid w:val="0035240D"/>
    <w:rsid w:val="0035665D"/>
    <w:rsid w:val="00362585"/>
    <w:rsid w:val="003712FB"/>
    <w:rsid w:val="00372BD5"/>
    <w:rsid w:val="00374029"/>
    <w:rsid w:val="00381D22"/>
    <w:rsid w:val="00382C43"/>
    <w:rsid w:val="00396144"/>
    <w:rsid w:val="003B1888"/>
    <w:rsid w:val="003C6E44"/>
    <w:rsid w:val="003D1249"/>
    <w:rsid w:val="003D1354"/>
    <w:rsid w:val="003D5CF4"/>
    <w:rsid w:val="003E15C3"/>
    <w:rsid w:val="003E6E09"/>
    <w:rsid w:val="003F141A"/>
    <w:rsid w:val="004117A8"/>
    <w:rsid w:val="00412258"/>
    <w:rsid w:val="00415EB4"/>
    <w:rsid w:val="00416CA6"/>
    <w:rsid w:val="004404A4"/>
    <w:rsid w:val="00440EE3"/>
    <w:rsid w:val="00446FB1"/>
    <w:rsid w:val="0044784D"/>
    <w:rsid w:val="00450EEF"/>
    <w:rsid w:val="00456694"/>
    <w:rsid w:val="00462C28"/>
    <w:rsid w:val="004638DF"/>
    <w:rsid w:val="00463EB9"/>
    <w:rsid w:val="004646E6"/>
    <w:rsid w:val="00473CD8"/>
    <w:rsid w:val="004815CA"/>
    <w:rsid w:val="00495602"/>
    <w:rsid w:val="0049576E"/>
    <w:rsid w:val="004A3DB3"/>
    <w:rsid w:val="004A4303"/>
    <w:rsid w:val="004A6F93"/>
    <w:rsid w:val="004A7AB7"/>
    <w:rsid w:val="004B072D"/>
    <w:rsid w:val="004B7064"/>
    <w:rsid w:val="004B7E5A"/>
    <w:rsid w:val="004C68E3"/>
    <w:rsid w:val="004D0B90"/>
    <w:rsid w:val="004D1423"/>
    <w:rsid w:val="004D1526"/>
    <w:rsid w:val="004E18C6"/>
    <w:rsid w:val="004E2A94"/>
    <w:rsid w:val="004E42D3"/>
    <w:rsid w:val="004E732A"/>
    <w:rsid w:val="004F50AC"/>
    <w:rsid w:val="005038C1"/>
    <w:rsid w:val="00510AF4"/>
    <w:rsid w:val="005148A5"/>
    <w:rsid w:val="00516DDA"/>
    <w:rsid w:val="00524145"/>
    <w:rsid w:val="00533E87"/>
    <w:rsid w:val="00535504"/>
    <w:rsid w:val="00551465"/>
    <w:rsid w:val="00554F10"/>
    <w:rsid w:val="0055609E"/>
    <w:rsid w:val="00556CC0"/>
    <w:rsid w:val="00561424"/>
    <w:rsid w:val="00562E1C"/>
    <w:rsid w:val="005833E7"/>
    <w:rsid w:val="00586B29"/>
    <w:rsid w:val="0058763F"/>
    <w:rsid w:val="005B6065"/>
    <w:rsid w:val="005C2AF5"/>
    <w:rsid w:val="005D0756"/>
    <w:rsid w:val="005D6A8F"/>
    <w:rsid w:val="005F0E42"/>
    <w:rsid w:val="005F1EEF"/>
    <w:rsid w:val="005F2F8A"/>
    <w:rsid w:val="005F4A10"/>
    <w:rsid w:val="00606BC6"/>
    <w:rsid w:val="00611236"/>
    <w:rsid w:val="006118B3"/>
    <w:rsid w:val="0061752E"/>
    <w:rsid w:val="006229B6"/>
    <w:rsid w:val="00630D95"/>
    <w:rsid w:val="00634EA0"/>
    <w:rsid w:val="00647546"/>
    <w:rsid w:val="006718EF"/>
    <w:rsid w:val="006718F9"/>
    <w:rsid w:val="00676393"/>
    <w:rsid w:val="00676F15"/>
    <w:rsid w:val="0068228E"/>
    <w:rsid w:val="006827EA"/>
    <w:rsid w:val="00684E9C"/>
    <w:rsid w:val="00690044"/>
    <w:rsid w:val="006927DB"/>
    <w:rsid w:val="00694CC9"/>
    <w:rsid w:val="006A65EA"/>
    <w:rsid w:val="006B1DE0"/>
    <w:rsid w:val="006B50C6"/>
    <w:rsid w:val="006B54EE"/>
    <w:rsid w:val="006C1EEE"/>
    <w:rsid w:val="006C24B2"/>
    <w:rsid w:val="006C56AF"/>
    <w:rsid w:val="006E08DB"/>
    <w:rsid w:val="006E3BFF"/>
    <w:rsid w:val="006E586D"/>
    <w:rsid w:val="006F1033"/>
    <w:rsid w:val="007028D6"/>
    <w:rsid w:val="0070293B"/>
    <w:rsid w:val="007057B2"/>
    <w:rsid w:val="00714AD5"/>
    <w:rsid w:val="00714F00"/>
    <w:rsid w:val="0072382A"/>
    <w:rsid w:val="00725117"/>
    <w:rsid w:val="00727ACD"/>
    <w:rsid w:val="0073178D"/>
    <w:rsid w:val="00733B70"/>
    <w:rsid w:val="00737B07"/>
    <w:rsid w:val="0074287E"/>
    <w:rsid w:val="00744AEB"/>
    <w:rsid w:val="00762A59"/>
    <w:rsid w:val="00765707"/>
    <w:rsid w:val="007707A1"/>
    <w:rsid w:val="00773288"/>
    <w:rsid w:val="007854A7"/>
    <w:rsid w:val="007874FA"/>
    <w:rsid w:val="0079405D"/>
    <w:rsid w:val="0079752E"/>
    <w:rsid w:val="0079762B"/>
    <w:rsid w:val="007A7B4A"/>
    <w:rsid w:val="007B19FF"/>
    <w:rsid w:val="007B4471"/>
    <w:rsid w:val="007B61DE"/>
    <w:rsid w:val="007C3ADC"/>
    <w:rsid w:val="007D350B"/>
    <w:rsid w:val="007D6C76"/>
    <w:rsid w:val="007F0058"/>
    <w:rsid w:val="007F3051"/>
    <w:rsid w:val="008022DA"/>
    <w:rsid w:val="008029AD"/>
    <w:rsid w:val="00802F90"/>
    <w:rsid w:val="008112E2"/>
    <w:rsid w:val="00812005"/>
    <w:rsid w:val="008167D2"/>
    <w:rsid w:val="00816D1C"/>
    <w:rsid w:val="00817273"/>
    <w:rsid w:val="00817F91"/>
    <w:rsid w:val="00821F77"/>
    <w:rsid w:val="00825C90"/>
    <w:rsid w:val="0083222A"/>
    <w:rsid w:val="00833810"/>
    <w:rsid w:val="008365B7"/>
    <w:rsid w:val="008417AB"/>
    <w:rsid w:val="00854A26"/>
    <w:rsid w:val="00861919"/>
    <w:rsid w:val="008813ED"/>
    <w:rsid w:val="00881D6D"/>
    <w:rsid w:val="00884545"/>
    <w:rsid w:val="00884E2F"/>
    <w:rsid w:val="00887AAA"/>
    <w:rsid w:val="00893082"/>
    <w:rsid w:val="008A38E2"/>
    <w:rsid w:val="008A45C0"/>
    <w:rsid w:val="008B33CC"/>
    <w:rsid w:val="008D21CC"/>
    <w:rsid w:val="008E01E6"/>
    <w:rsid w:val="008F7826"/>
    <w:rsid w:val="008F7D19"/>
    <w:rsid w:val="008F7DD3"/>
    <w:rsid w:val="00906F34"/>
    <w:rsid w:val="00911025"/>
    <w:rsid w:val="009129DB"/>
    <w:rsid w:val="00912AB7"/>
    <w:rsid w:val="00917060"/>
    <w:rsid w:val="00917579"/>
    <w:rsid w:val="00923404"/>
    <w:rsid w:val="00933F48"/>
    <w:rsid w:val="009352AF"/>
    <w:rsid w:val="00950907"/>
    <w:rsid w:val="0095486D"/>
    <w:rsid w:val="0095514D"/>
    <w:rsid w:val="00955A8A"/>
    <w:rsid w:val="00960FF4"/>
    <w:rsid w:val="00975C64"/>
    <w:rsid w:val="00981A0C"/>
    <w:rsid w:val="009862BB"/>
    <w:rsid w:val="00987403"/>
    <w:rsid w:val="00991CB5"/>
    <w:rsid w:val="00993BBD"/>
    <w:rsid w:val="009973B1"/>
    <w:rsid w:val="009A2021"/>
    <w:rsid w:val="009A75CD"/>
    <w:rsid w:val="009A77FB"/>
    <w:rsid w:val="009B302D"/>
    <w:rsid w:val="009B4BE7"/>
    <w:rsid w:val="009C08B7"/>
    <w:rsid w:val="009D1FF5"/>
    <w:rsid w:val="009D22B7"/>
    <w:rsid w:val="009D4EE1"/>
    <w:rsid w:val="009E36AF"/>
    <w:rsid w:val="009E4314"/>
    <w:rsid w:val="009F310C"/>
    <w:rsid w:val="009F5F3F"/>
    <w:rsid w:val="009F704D"/>
    <w:rsid w:val="00A0137D"/>
    <w:rsid w:val="00A0520F"/>
    <w:rsid w:val="00A14DD0"/>
    <w:rsid w:val="00A231D7"/>
    <w:rsid w:val="00A3087E"/>
    <w:rsid w:val="00A32C4C"/>
    <w:rsid w:val="00A35D5F"/>
    <w:rsid w:val="00A36292"/>
    <w:rsid w:val="00A470C0"/>
    <w:rsid w:val="00A50265"/>
    <w:rsid w:val="00A5493C"/>
    <w:rsid w:val="00A64754"/>
    <w:rsid w:val="00A70375"/>
    <w:rsid w:val="00A7268D"/>
    <w:rsid w:val="00A74163"/>
    <w:rsid w:val="00A826DA"/>
    <w:rsid w:val="00A83A02"/>
    <w:rsid w:val="00A9037F"/>
    <w:rsid w:val="00A94D64"/>
    <w:rsid w:val="00AA1D56"/>
    <w:rsid w:val="00AA2B19"/>
    <w:rsid w:val="00AA4119"/>
    <w:rsid w:val="00AB10C5"/>
    <w:rsid w:val="00AB43A4"/>
    <w:rsid w:val="00AB5393"/>
    <w:rsid w:val="00AC4B9F"/>
    <w:rsid w:val="00AD17E1"/>
    <w:rsid w:val="00AD221B"/>
    <w:rsid w:val="00AD7B80"/>
    <w:rsid w:val="00AE7878"/>
    <w:rsid w:val="00AF1037"/>
    <w:rsid w:val="00AF1938"/>
    <w:rsid w:val="00B05B32"/>
    <w:rsid w:val="00B1015C"/>
    <w:rsid w:val="00B104DF"/>
    <w:rsid w:val="00B27231"/>
    <w:rsid w:val="00B428F6"/>
    <w:rsid w:val="00B451B3"/>
    <w:rsid w:val="00B57DE9"/>
    <w:rsid w:val="00B67C9B"/>
    <w:rsid w:val="00B84241"/>
    <w:rsid w:val="00B85125"/>
    <w:rsid w:val="00B91330"/>
    <w:rsid w:val="00B924BB"/>
    <w:rsid w:val="00B97B37"/>
    <w:rsid w:val="00BA0DA4"/>
    <w:rsid w:val="00BB2634"/>
    <w:rsid w:val="00BB5EE7"/>
    <w:rsid w:val="00BC1779"/>
    <w:rsid w:val="00BC2C0A"/>
    <w:rsid w:val="00BC49C6"/>
    <w:rsid w:val="00BC643B"/>
    <w:rsid w:val="00BD5117"/>
    <w:rsid w:val="00BD520A"/>
    <w:rsid w:val="00BE3FC7"/>
    <w:rsid w:val="00BE71A6"/>
    <w:rsid w:val="00C008C8"/>
    <w:rsid w:val="00C073D6"/>
    <w:rsid w:val="00C07A0A"/>
    <w:rsid w:val="00C11D51"/>
    <w:rsid w:val="00C1362A"/>
    <w:rsid w:val="00C3110F"/>
    <w:rsid w:val="00C3676F"/>
    <w:rsid w:val="00C406CD"/>
    <w:rsid w:val="00C41C5B"/>
    <w:rsid w:val="00C43AFB"/>
    <w:rsid w:val="00C47F61"/>
    <w:rsid w:val="00C64B97"/>
    <w:rsid w:val="00C739C1"/>
    <w:rsid w:val="00C81626"/>
    <w:rsid w:val="00C822E1"/>
    <w:rsid w:val="00C8325D"/>
    <w:rsid w:val="00C85034"/>
    <w:rsid w:val="00C9246A"/>
    <w:rsid w:val="00C93E41"/>
    <w:rsid w:val="00CA6C27"/>
    <w:rsid w:val="00CB4E88"/>
    <w:rsid w:val="00CC4C7E"/>
    <w:rsid w:val="00CD3A79"/>
    <w:rsid w:val="00CD4D6C"/>
    <w:rsid w:val="00CD7E3F"/>
    <w:rsid w:val="00CE10F1"/>
    <w:rsid w:val="00CE2A6A"/>
    <w:rsid w:val="00CE515C"/>
    <w:rsid w:val="00D26507"/>
    <w:rsid w:val="00D36C71"/>
    <w:rsid w:val="00D51CDD"/>
    <w:rsid w:val="00D528DB"/>
    <w:rsid w:val="00D834C4"/>
    <w:rsid w:val="00D84066"/>
    <w:rsid w:val="00D84724"/>
    <w:rsid w:val="00D866EE"/>
    <w:rsid w:val="00D929B8"/>
    <w:rsid w:val="00D97AE3"/>
    <w:rsid w:val="00DA18F8"/>
    <w:rsid w:val="00DA1DEB"/>
    <w:rsid w:val="00DA5695"/>
    <w:rsid w:val="00DA5CE9"/>
    <w:rsid w:val="00DB1EBF"/>
    <w:rsid w:val="00DC0638"/>
    <w:rsid w:val="00DC72B8"/>
    <w:rsid w:val="00DE0C23"/>
    <w:rsid w:val="00DF19BD"/>
    <w:rsid w:val="00DF2690"/>
    <w:rsid w:val="00DF3414"/>
    <w:rsid w:val="00DF4600"/>
    <w:rsid w:val="00DF5C95"/>
    <w:rsid w:val="00E0106A"/>
    <w:rsid w:val="00E01EC6"/>
    <w:rsid w:val="00E02CB5"/>
    <w:rsid w:val="00E03657"/>
    <w:rsid w:val="00E21563"/>
    <w:rsid w:val="00E218F5"/>
    <w:rsid w:val="00E35A79"/>
    <w:rsid w:val="00E36B65"/>
    <w:rsid w:val="00E450B5"/>
    <w:rsid w:val="00E50E87"/>
    <w:rsid w:val="00E56782"/>
    <w:rsid w:val="00E77B27"/>
    <w:rsid w:val="00E90531"/>
    <w:rsid w:val="00E918AB"/>
    <w:rsid w:val="00EA7393"/>
    <w:rsid w:val="00EC1300"/>
    <w:rsid w:val="00EC5079"/>
    <w:rsid w:val="00ED2A78"/>
    <w:rsid w:val="00ED7055"/>
    <w:rsid w:val="00ED7802"/>
    <w:rsid w:val="00EE19C7"/>
    <w:rsid w:val="00EE2F05"/>
    <w:rsid w:val="00EE7640"/>
    <w:rsid w:val="00F04684"/>
    <w:rsid w:val="00F07E81"/>
    <w:rsid w:val="00F116FA"/>
    <w:rsid w:val="00F1620A"/>
    <w:rsid w:val="00F22DEA"/>
    <w:rsid w:val="00F306D5"/>
    <w:rsid w:val="00F41B13"/>
    <w:rsid w:val="00F51A1C"/>
    <w:rsid w:val="00F55994"/>
    <w:rsid w:val="00F67162"/>
    <w:rsid w:val="00F7494F"/>
    <w:rsid w:val="00F759D5"/>
    <w:rsid w:val="00F825E2"/>
    <w:rsid w:val="00F83C84"/>
    <w:rsid w:val="00F854F9"/>
    <w:rsid w:val="00F854FB"/>
    <w:rsid w:val="00F86780"/>
    <w:rsid w:val="00F87420"/>
    <w:rsid w:val="00F9197E"/>
    <w:rsid w:val="00F94494"/>
    <w:rsid w:val="00F95145"/>
    <w:rsid w:val="00FA2EEC"/>
    <w:rsid w:val="00FB3470"/>
    <w:rsid w:val="00FB587A"/>
    <w:rsid w:val="00FC0A72"/>
    <w:rsid w:val="00FC0D9E"/>
    <w:rsid w:val="00FC0D9F"/>
    <w:rsid w:val="00FC41EF"/>
    <w:rsid w:val="00FD73D5"/>
    <w:rsid w:val="00FE6550"/>
    <w:rsid w:val="00FF1334"/>
    <w:rsid w:val="00FF4C44"/>
    <w:rsid w:val="00FF5988"/>
    <w:rsid w:val="00FF6FD4"/>
    <w:rsid w:val="07A62D33"/>
    <w:rsid w:val="1BD96055"/>
    <w:rsid w:val="23D87429"/>
    <w:rsid w:val="26BC664B"/>
    <w:rsid w:val="29E028A9"/>
    <w:rsid w:val="2D3F754D"/>
    <w:rsid w:val="3640556A"/>
    <w:rsid w:val="3ED94930"/>
    <w:rsid w:val="47B46B00"/>
    <w:rsid w:val="4BD751C5"/>
    <w:rsid w:val="6BAA3311"/>
    <w:rsid w:val="7837720C"/>
    <w:rsid w:val="7E466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2"/>
    <w:qFormat/>
    <w:uiPriority w:val="9"/>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5"/>
    <w:semiHidden/>
    <w:unhideWhenUsed/>
    <w:qFormat/>
    <w:uiPriority w:val="9"/>
    <w:pPr>
      <w:keepNext/>
      <w:keepLines/>
      <w:spacing w:before="260" w:after="260" w:line="416" w:lineRule="auto"/>
      <w:outlineLvl w:val="1"/>
    </w:pPr>
    <w:rPr>
      <w:rFonts w:ascii="等线 Light" w:hAnsi="等线 Light" w:eastAsia="等线 Light"/>
      <w:b/>
      <w:bCs/>
      <w:sz w:val="32"/>
      <w:szCs w:val="32"/>
    </w:rPr>
  </w:style>
  <w:style w:type="paragraph" w:styleId="4">
    <w:name w:val="heading 3"/>
    <w:basedOn w:val="1"/>
    <w:next w:val="1"/>
    <w:link w:val="36"/>
    <w:qFormat/>
    <w:uiPriority w:val="9"/>
    <w:pPr>
      <w:keepNext/>
      <w:keepLines/>
      <w:spacing w:before="260" w:after="260" w:line="400" w:lineRule="exact"/>
      <w:jc w:val="left"/>
      <w:outlineLvl w:val="2"/>
    </w:pPr>
    <w:rPr>
      <w:rFonts w:ascii="Times New Roman" w:hAnsi="Times New Roman"/>
      <w:b/>
      <w:kern w:val="0"/>
      <w:sz w:val="28"/>
      <w:szCs w:val="20"/>
      <w:lang w:val="zh-CN" w:eastAsia="zh-CN"/>
    </w:rPr>
  </w:style>
  <w:style w:type="character" w:default="1" w:styleId="17">
    <w:name w:val="Default Paragraph Font"/>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Body Text First Indent"/>
    <w:basedOn w:val="6"/>
    <w:next w:val="6"/>
    <w:unhideWhenUsed/>
    <w:qFormat/>
    <w:uiPriority w:val="99"/>
    <w:pPr>
      <w:ind w:firstLine="420" w:firstLineChars="100"/>
    </w:pPr>
    <w:rPr>
      <w:rFonts w:ascii="Calibri" w:hAnsi="Calibri" w:eastAsia="宋体" w:cs="Times New Roman"/>
      <w:szCs w:val="22"/>
    </w:rPr>
  </w:style>
  <w:style w:type="paragraph" w:styleId="6">
    <w:name w:val="Body Text"/>
    <w:basedOn w:val="1"/>
    <w:next w:val="7"/>
    <w:unhideWhenUsed/>
    <w:qFormat/>
    <w:uiPriority w:val="99"/>
    <w:pPr>
      <w:spacing w:after="120"/>
    </w:pPr>
  </w:style>
  <w:style w:type="paragraph" w:styleId="7">
    <w:name w:val="toc 2"/>
    <w:basedOn w:val="1"/>
    <w:next w:val="1"/>
    <w:unhideWhenUsed/>
    <w:qFormat/>
    <w:uiPriority w:val="39"/>
    <w:pPr>
      <w:ind w:left="240"/>
      <w:jc w:val="left"/>
    </w:pPr>
    <w:rPr>
      <w:rFonts w:ascii="Calibri" w:hAnsi="Calibri" w:cs="Calibri"/>
      <w:smallCaps/>
      <w:sz w:val="20"/>
      <w:szCs w:val="20"/>
    </w:rPr>
  </w:style>
  <w:style w:type="paragraph" w:styleId="8">
    <w:name w:val="caption"/>
    <w:basedOn w:val="1"/>
    <w:next w:val="1"/>
    <w:qFormat/>
    <w:uiPriority w:val="35"/>
    <w:rPr>
      <w:rFonts w:ascii="Cambria" w:hAnsi="Cambria" w:eastAsia="黑体"/>
      <w:sz w:val="20"/>
      <w:szCs w:val="20"/>
    </w:rPr>
  </w:style>
  <w:style w:type="paragraph" w:styleId="9">
    <w:name w:val="Body Text Indent"/>
    <w:basedOn w:val="1"/>
    <w:next w:val="10"/>
    <w:link w:val="28"/>
    <w:unhideWhenUsed/>
    <w:qFormat/>
    <w:uiPriority w:val="99"/>
    <w:pPr>
      <w:spacing w:line="440" w:lineRule="exact"/>
      <w:ind w:firstLine="830" w:firstLineChars="352"/>
    </w:pPr>
    <w:rPr>
      <w:rFonts w:ascii="仿宋_GB2312" w:hAnsi="Times New Roman" w:eastAsia="仿宋_GB2312"/>
      <w:kern w:val="0"/>
      <w:sz w:val="32"/>
      <w:szCs w:val="20"/>
      <w:lang w:val="zh-CN" w:eastAsia="zh-CN"/>
    </w:rPr>
  </w:style>
  <w:style w:type="paragraph" w:styleId="10">
    <w:name w:val="envelope return"/>
    <w:basedOn w:val="1"/>
    <w:qFormat/>
    <w:uiPriority w:val="0"/>
    <w:pPr>
      <w:adjustRightInd w:val="0"/>
      <w:snapToGrid w:val="0"/>
      <w:textAlignment w:val="baseline"/>
    </w:pPr>
    <w:rPr>
      <w:rFonts w:ascii="Arial" w:hAnsi="Arial" w:eastAsia="仿宋" w:cs="Arial"/>
      <w:kern w:val="0"/>
      <w:sz w:val="28"/>
      <w:szCs w:val="21"/>
    </w:rPr>
  </w:style>
  <w:style w:type="paragraph" w:styleId="11">
    <w:name w:val="Plain Text"/>
    <w:basedOn w:val="1"/>
    <w:link w:val="25"/>
    <w:unhideWhenUsed/>
    <w:qFormat/>
    <w:uiPriority w:val="99"/>
    <w:pPr>
      <w:spacing w:line="440" w:lineRule="exact"/>
      <w:ind w:firstLine="880" w:firstLineChars="200"/>
    </w:pPr>
    <w:rPr>
      <w:rFonts w:ascii="宋体" w:hAnsi="Courier New"/>
      <w:kern w:val="0"/>
      <w:sz w:val="24"/>
      <w:szCs w:val="21"/>
      <w:lang w:val="zh-CN" w:eastAsia="zh-CN"/>
    </w:rPr>
  </w:style>
  <w:style w:type="paragraph" w:styleId="12">
    <w:name w:val="Balloon Text"/>
    <w:basedOn w:val="1"/>
    <w:link w:val="33"/>
    <w:unhideWhenUsed/>
    <w:qFormat/>
    <w:uiPriority w:val="99"/>
    <w:rPr>
      <w:kern w:val="0"/>
      <w:sz w:val="18"/>
      <w:szCs w:val="18"/>
      <w:lang w:val="zh-CN" w:eastAsia="zh-CN"/>
    </w:rPr>
  </w:style>
  <w:style w:type="paragraph" w:styleId="13">
    <w:name w:val="footer"/>
    <w:basedOn w:val="1"/>
    <w:link w:val="35"/>
    <w:unhideWhenUsed/>
    <w:qFormat/>
    <w:uiPriority w:val="99"/>
    <w:pPr>
      <w:tabs>
        <w:tab w:val="center" w:pos="4153"/>
        <w:tab w:val="right" w:pos="8306"/>
      </w:tabs>
      <w:snapToGrid w:val="0"/>
      <w:jc w:val="left"/>
    </w:pPr>
    <w:rPr>
      <w:kern w:val="0"/>
      <w:sz w:val="18"/>
      <w:szCs w:val="18"/>
      <w:lang w:val="zh-CN" w:eastAsia="zh-CN"/>
    </w:rPr>
  </w:style>
  <w:style w:type="paragraph" w:styleId="14">
    <w:name w:val="Body Text First Indent 2"/>
    <w:basedOn w:val="9"/>
    <w:next w:val="5"/>
    <w:unhideWhenUsed/>
    <w:qFormat/>
    <w:uiPriority w:val="99"/>
    <w:pPr>
      <w:ind w:firstLine="420" w:firstLineChars="200"/>
      <w:jc w:val="left"/>
    </w:pPr>
  </w:style>
  <w:style w:type="paragraph" w:styleId="15">
    <w:name w:val="header"/>
    <w:basedOn w:val="1"/>
    <w:link w:val="29"/>
    <w:unhideWhenUsed/>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8">
    <w:name w:val="Strong"/>
    <w:basedOn w:val="17"/>
    <w:qFormat/>
    <w:uiPriority w:val="22"/>
    <w:rPr>
      <w:b/>
    </w:rPr>
  </w:style>
  <w:style w:type="character" w:styleId="19">
    <w:name w:val="Hyperlink"/>
    <w:unhideWhenUsed/>
    <w:qFormat/>
    <w:uiPriority w:val="99"/>
    <w:rPr>
      <w:color w:val="0563C1"/>
      <w:u w:val="single"/>
    </w:rPr>
  </w:style>
  <w:style w:type="table" w:styleId="21">
    <w:name w:val="Table Grid"/>
    <w:basedOn w:val="20"/>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22">
    <w:name w:val="样式 首行缩进:  2 字符"/>
    <w:basedOn w:val="1"/>
    <w:qFormat/>
    <w:uiPriority w:val="0"/>
    <w:pPr>
      <w:spacing w:before="120" w:after="120"/>
      <w:ind w:firstLine="582"/>
    </w:pPr>
    <w:rPr>
      <w:rFonts w:eastAsia="仿宋_GB2312" w:cs="宋体"/>
      <w:kern w:val="10"/>
      <w:sz w:val="28"/>
      <w:szCs w:val="28"/>
    </w:rPr>
  </w:style>
  <w:style w:type="character" w:customStyle="1" w:styleId="23">
    <w:name w:val="页脚 Char"/>
    <w:qFormat/>
    <w:uiPriority w:val="0"/>
    <w:rPr>
      <w:rFonts w:eastAsia="宋体"/>
      <w:kern w:val="2"/>
      <w:sz w:val="18"/>
      <w:szCs w:val="18"/>
      <w:lang w:val="en-US" w:eastAsia="zh-CN" w:bidi="ar-SA"/>
    </w:rPr>
  </w:style>
  <w:style w:type="character" w:customStyle="1" w:styleId="24">
    <w:name w:val="fontstyle01"/>
    <w:qFormat/>
    <w:uiPriority w:val="0"/>
    <w:rPr>
      <w:rFonts w:hint="eastAsia" w:ascii="宋体" w:hAnsi="宋体" w:eastAsia="宋体"/>
      <w:color w:val="000000"/>
      <w:sz w:val="28"/>
      <w:szCs w:val="28"/>
    </w:rPr>
  </w:style>
  <w:style w:type="character" w:customStyle="1" w:styleId="25">
    <w:name w:val="纯文本 字符"/>
    <w:link w:val="11"/>
    <w:qFormat/>
    <w:uiPriority w:val="99"/>
    <w:rPr>
      <w:rFonts w:ascii="宋体" w:hAnsi="Courier New" w:eastAsia="宋体" w:cs="Courier New"/>
      <w:sz w:val="24"/>
      <w:szCs w:val="21"/>
    </w:rPr>
  </w:style>
  <w:style w:type="character" w:customStyle="1" w:styleId="26">
    <w:name w:val="列表段落 字符"/>
    <w:link w:val="27"/>
    <w:qFormat/>
    <w:locked/>
    <w:uiPriority w:val="34"/>
    <w:rPr>
      <w:rFonts w:ascii="Calibri" w:hAnsi="Calibri" w:eastAsia="宋体" w:cs="Times New Roman"/>
    </w:rPr>
  </w:style>
  <w:style w:type="paragraph" w:styleId="27">
    <w:name w:val="List Paragraph"/>
    <w:basedOn w:val="1"/>
    <w:link w:val="26"/>
    <w:qFormat/>
    <w:uiPriority w:val="34"/>
    <w:pPr>
      <w:ind w:firstLine="420" w:firstLineChars="200"/>
    </w:pPr>
    <w:rPr>
      <w:kern w:val="0"/>
      <w:sz w:val="20"/>
      <w:szCs w:val="20"/>
      <w:lang w:val="zh-CN" w:eastAsia="zh-CN"/>
    </w:rPr>
  </w:style>
  <w:style w:type="character" w:customStyle="1" w:styleId="28">
    <w:name w:val="正文文本缩进 字符"/>
    <w:link w:val="9"/>
    <w:qFormat/>
    <w:uiPriority w:val="99"/>
    <w:rPr>
      <w:rFonts w:ascii="仿宋_GB2312" w:hAnsi="Times New Roman" w:eastAsia="仿宋_GB2312" w:cs="Times New Roman"/>
      <w:sz w:val="32"/>
      <w:szCs w:val="20"/>
    </w:rPr>
  </w:style>
  <w:style w:type="character" w:customStyle="1" w:styleId="29">
    <w:name w:val="页眉 字符"/>
    <w:link w:val="15"/>
    <w:qFormat/>
    <w:uiPriority w:val="99"/>
    <w:rPr>
      <w:sz w:val="18"/>
      <w:szCs w:val="18"/>
    </w:rPr>
  </w:style>
  <w:style w:type="character" w:customStyle="1" w:styleId="30">
    <w:name w:val="1J Char"/>
    <w:link w:val="31"/>
    <w:qFormat/>
    <w:uiPriority w:val="0"/>
    <w:rPr>
      <w:rFonts w:eastAsia="宋体"/>
      <w:b/>
      <w:sz w:val="24"/>
      <w:szCs w:val="24"/>
    </w:rPr>
  </w:style>
  <w:style w:type="paragraph" w:customStyle="1" w:styleId="31">
    <w:name w:val="1J"/>
    <w:basedOn w:val="1"/>
    <w:link w:val="30"/>
    <w:qFormat/>
    <w:uiPriority w:val="0"/>
    <w:pPr>
      <w:jc w:val="center"/>
    </w:pPr>
    <w:rPr>
      <w:b/>
      <w:kern w:val="0"/>
      <w:sz w:val="24"/>
      <w:szCs w:val="24"/>
      <w:lang w:val="zh-CN" w:eastAsia="zh-CN"/>
    </w:rPr>
  </w:style>
  <w:style w:type="character" w:customStyle="1" w:styleId="32">
    <w:name w:val="fontstyle31"/>
    <w:qFormat/>
    <w:uiPriority w:val="0"/>
    <w:rPr>
      <w:rFonts w:hint="default" w:ascii="Calibri" w:hAnsi="Calibri"/>
      <w:color w:val="000000"/>
      <w:sz w:val="22"/>
      <w:szCs w:val="22"/>
    </w:rPr>
  </w:style>
  <w:style w:type="character" w:customStyle="1" w:styleId="33">
    <w:name w:val="批注框文本 字符"/>
    <w:link w:val="12"/>
    <w:semiHidden/>
    <w:qFormat/>
    <w:uiPriority w:val="99"/>
    <w:rPr>
      <w:sz w:val="18"/>
      <w:szCs w:val="18"/>
    </w:rPr>
  </w:style>
  <w:style w:type="character" w:customStyle="1" w:styleId="34">
    <w:name w:val="fontstyle21"/>
    <w:qFormat/>
    <w:uiPriority w:val="0"/>
    <w:rPr>
      <w:rFonts w:hint="default" w:ascii="TimesNewRomanPSMT" w:hAnsi="TimesNewRomanPSMT"/>
      <w:color w:val="000000"/>
      <w:sz w:val="18"/>
      <w:szCs w:val="18"/>
    </w:rPr>
  </w:style>
  <w:style w:type="character" w:customStyle="1" w:styleId="35">
    <w:name w:val="页脚 字符"/>
    <w:link w:val="13"/>
    <w:qFormat/>
    <w:uiPriority w:val="99"/>
    <w:rPr>
      <w:sz w:val="18"/>
      <w:szCs w:val="18"/>
    </w:rPr>
  </w:style>
  <w:style w:type="character" w:customStyle="1" w:styleId="36">
    <w:name w:val="标题 3 字符"/>
    <w:link w:val="4"/>
    <w:qFormat/>
    <w:uiPriority w:val="9"/>
    <w:rPr>
      <w:rFonts w:ascii="Times New Roman" w:hAnsi="Times New Roman" w:eastAsia="宋体" w:cs="Times New Roman"/>
      <w:b/>
      <w:kern w:val="0"/>
      <w:sz w:val="28"/>
      <w:szCs w:val="20"/>
    </w:rPr>
  </w:style>
  <w:style w:type="paragraph" w:customStyle="1" w:styleId="37">
    <w:name w:val="图"/>
    <w:basedOn w:val="1"/>
    <w:qFormat/>
    <w:uiPriority w:val="0"/>
    <w:pPr>
      <w:keepNext/>
      <w:adjustRightInd w:val="0"/>
      <w:spacing w:before="60" w:after="60" w:line="300" w:lineRule="auto"/>
      <w:ind w:firstLine="880" w:firstLineChars="200"/>
      <w:jc w:val="center"/>
      <w:textAlignment w:val="center"/>
    </w:pPr>
    <w:rPr>
      <w:rFonts w:ascii="Times New Roman" w:hAnsi="Times New Roman"/>
      <w:spacing w:val="20"/>
      <w:kern w:val="0"/>
      <w:sz w:val="24"/>
      <w:szCs w:val="20"/>
    </w:rPr>
  </w:style>
  <w:style w:type="paragraph" w:customStyle="1" w:styleId="38">
    <w:name w:val="题注4"/>
    <w:basedOn w:val="1"/>
    <w:next w:val="8"/>
    <w:qFormat/>
    <w:uiPriority w:val="0"/>
    <w:pPr>
      <w:spacing w:line="440" w:lineRule="exact"/>
      <w:ind w:left="-132" w:leftChars="-64" w:right="-105" w:rightChars="-50" w:hanging="2" w:firstLineChars="200"/>
      <w:jc w:val="center"/>
    </w:pPr>
    <w:rPr>
      <w:rFonts w:ascii="Times New Roman" w:hAnsi="Times New Roman"/>
      <w:b/>
      <w:color w:val="FF0000"/>
      <w:sz w:val="24"/>
      <w:szCs w:val="21"/>
      <w:lang w:val="en-GB"/>
    </w:rPr>
  </w:style>
  <w:style w:type="paragraph" w:customStyle="1" w:styleId="39">
    <w:name w:val="表格文字"/>
    <w:basedOn w:val="1"/>
    <w:qFormat/>
    <w:uiPriority w:val="0"/>
    <w:pPr>
      <w:spacing w:before="25" w:after="25" w:line="440" w:lineRule="exact"/>
      <w:ind w:firstLine="880" w:firstLineChars="200"/>
      <w:jc w:val="left"/>
    </w:pPr>
    <w:rPr>
      <w:rFonts w:ascii="Times New Roman" w:hAnsi="Times New Roman"/>
      <w:bCs/>
      <w:spacing w:val="10"/>
      <w:kern w:val="0"/>
      <w:sz w:val="24"/>
      <w:szCs w:val="20"/>
    </w:rPr>
  </w:style>
  <w:style w:type="paragraph" w:customStyle="1" w:styleId="40">
    <w:name w:val="列表段落1"/>
    <w:basedOn w:val="1"/>
    <w:qFormat/>
    <w:uiPriority w:val="0"/>
    <w:pPr>
      <w:ind w:firstLine="420" w:firstLineChars="200"/>
    </w:pPr>
    <w:rPr>
      <w:rFonts w:ascii="Times New Roman" w:hAnsi="Times New Roman"/>
      <w:sz w:val="28"/>
      <w:szCs w:val="24"/>
    </w:rPr>
  </w:style>
  <w:style w:type="paragraph" w:customStyle="1" w:styleId="41">
    <w:name w:val="编号1"/>
    <w:basedOn w:val="1"/>
    <w:qFormat/>
    <w:uiPriority w:val="0"/>
    <w:pPr>
      <w:numPr>
        <w:ilvl w:val="0"/>
        <w:numId w:val="1"/>
      </w:numPr>
    </w:pPr>
    <w:rPr>
      <w:rFonts w:ascii="Times New Roman" w:hAnsi="Times New Roman"/>
      <w:szCs w:val="24"/>
    </w:rPr>
  </w:style>
  <w:style w:type="character" w:customStyle="1" w:styleId="42">
    <w:name w:val="标题 1 字符"/>
    <w:link w:val="2"/>
    <w:qFormat/>
    <w:uiPriority w:val="9"/>
    <w:rPr>
      <w:b/>
      <w:bCs/>
      <w:kern w:val="44"/>
      <w:sz w:val="44"/>
      <w:szCs w:val="44"/>
    </w:rPr>
  </w:style>
  <w:style w:type="character" w:customStyle="1" w:styleId="43">
    <w:name w:val="Unresolved Mention"/>
    <w:semiHidden/>
    <w:unhideWhenUsed/>
    <w:qFormat/>
    <w:uiPriority w:val="99"/>
    <w:rPr>
      <w:color w:val="605E5C"/>
      <w:shd w:val="clear" w:color="auto" w:fill="E1DFDD"/>
    </w:rPr>
  </w:style>
  <w:style w:type="paragraph" w:customStyle="1" w:styleId="44">
    <w:name w:val="列出段落1"/>
    <w:basedOn w:val="1"/>
    <w:qFormat/>
    <w:uiPriority w:val="34"/>
    <w:pPr>
      <w:ind w:firstLine="420" w:firstLineChars="200"/>
    </w:pPr>
  </w:style>
  <w:style w:type="character" w:customStyle="1" w:styleId="45">
    <w:name w:val="标题 2 字符"/>
    <w:link w:val="3"/>
    <w:semiHidden/>
    <w:qFormat/>
    <w:uiPriority w:val="9"/>
    <w:rPr>
      <w:rFonts w:ascii="等线 Light" w:hAnsi="等线 Light" w:eastAsia="等线 Light" w:cs="Times New Roman"/>
      <w:b/>
      <w:bCs/>
      <w:kern w:val="2"/>
      <w:sz w:val="32"/>
      <w:szCs w:val="32"/>
    </w:rPr>
  </w:style>
  <w:style w:type="table" w:customStyle="1" w:styleId="46">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47">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48">
    <w:name w:val="投标正文小四"/>
    <w:basedOn w:val="1"/>
    <w:qFormat/>
    <w:uiPriority w:val="0"/>
    <w:pPr>
      <w:ind w:firstLine="200" w:firstLineChars="200"/>
    </w:pPr>
    <w:rPr>
      <w:rFonts w:ascii="Calibri" w:hAnsi="Calibri"/>
      <w:szCs w:val="22"/>
    </w:rPr>
  </w:style>
  <w:style w:type="paragraph" w:customStyle="1" w:styleId="49">
    <w:name w:val="标题1"/>
    <w:basedOn w:val="1"/>
    <w:next w:val="1"/>
    <w:qFormat/>
    <w:uiPriority w:val="0"/>
    <w:pPr>
      <w:numPr>
        <w:ilvl w:val="0"/>
        <w:numId w:val="2"/>
      </w:numPr>
      <w:snapToGrid/>
      <w:ind w:firstLine="0" w:firstLineChars="0"/>
      <w:jc w:val="left"/>
      <w:outlineLvl w:val="0"/>
    </w:pPr>
    <w:rPr>
      <w:b/>
      <w:sz w:val="32"/>
    </w:rPr>
  </w:style>
  <w:style w:type="paragraph" w:customStyle="1" w:styleId="50">
    <w:name w:val="标题2"/>
    <w:basedOn w:val="49"/>
    <w:next w:val="1"/>
    <w:qFormat/>
    <w:uiPriority w:val="0"/>
    <w:pPr>
      <w:numPr>
        <w:ilvl w:val="1"/>
      </w:numPr>
      <w:outlineLvl w:val="1"/>
    </w:pPr>
    <w:rPr>
      <w:rFonts w:ascii="宋体" w:hAnsi="宋体"/>
      <w:sz w:val="30"/>
      <w:szCs w:val="20"/>
    </w:rPr>
  </w:style>
  <w:style w:type="paragraph" w:customStyle="1" w:styleId="51">
    <w:name w:val="标题3"/>
    <w:basedOn w:val="50"/>
    <w:next w:val="1"/>
    <w:qFormat/>
    <w:uiPriority w:val="0"/>
    <w:pPr>
      <w:numPr>
        <w:ilvl w:val="2"/>
      </w:numPr>
      <w:outlineLvl w:val="2"/>
    </w:pPr>
    <w:rPr>
      <w:sz w:val="28"/>
    </w:rPr>
  </w:style>
  <w:style w:type="paragraph" w:customStyle="1" w:styleId="52">
    <w:name w:val="标题4"/>
    <w:basedOn w:val="51"/>
    <w:next w:val="1"/>
    <w:qFormat/>
    <w:uiPriority w:val="0"/>
    <w:pPr>
      <w:numPr>
        <w:ilvl w:val="3"/>
      </w:numPr>
      <w:outlineLvl w:val="3"/>
    </w:pPr>
    <w:rPr>
      <w:sz w:val="24"/>
    </w:rPr>
  </w:style>
  <w:style w:type="paragraph" w:customStyle="1" w:styleId="53">
    <w:name w:val="方案正文"/>
    <w:basedOn w:val="1"/>
    <w:qFormat/>
    <w:uiPriority w:val="0"/>
    <w:pPr>
      <w:spacing w:line="360" w:lineRule="auto"/>
      <w:ind w:firstLine="200" w:firstLineChars="200"/>
    </w:pPr>
    <w:rPr>
      <w:rFonts w:ascii="仿宋_GB2312" w:hAnsi="宋体"/>
      <w:sz w:val="24"/>
    </w:rPr>
  </w:style>
  <w:style w:type="paragraph" w:customStyle="1" w:styleId="54">
    <w:name w:val="正文_0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22</Pages>
  <Words>1482</Words>
  <Characters>8448</Characters>
  <Lines>70</Lines>
  <Paragraphs>19</Paragraphs>
  <TotalTime>33</TotalTime>
  <ScaleCrop>false</ScaleCrop>
  <LinksUpToDate>false</LinksUpToDate>
  <CharactersWithSpaces>9911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2021-01-30T08:57:00Z</dcterms:created>
  <dc:creator>周小龙</dc:creator>
  <cp:lastModifiedBy>汪平</cp:lastModifiedBy>
  <cp:lastPrinted>2019-05-06T07:16:00Z</cp:lastPrinted>
  <dcterms:modified xsi:type="dcterms:W3CDTF">2023-12-08T00:53:27Z</dcterms:modified>
  <cp:revision>140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CE062A6250F34380BD24A960F6D31AAE</vt:lpwstr>
  </property>
</Properties>
</file>