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茂名市人民医院康复治疗系统</w:t>
      </w: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采购项目</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茂名市人民医院康复治疗系统采购项目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茂名市人民医院康复治疗系统采购项目</w:t>
      </w:r>
    </w:p>
    <w:p>
      <w:pPr>
        <w:numPr>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提交时间：2023年11月</w:t>
      </w:r>
      <w:r>
        <w:rPr>
          <w:rFonts w:hint="eastAsia" w:ascii="宋体" w:hAnsi="宋体" w:cs="宋体"/>
          <w:b w:val="0"/>
          <w:bCs w:val="0"/>
          <w:color w:val="000000"/>
          <w:kern w:val="0"/>
          <w:sz w:val="22"/>
          <w:lang w:val="en-US" w:eastAsia="zh-CN"/>
        </w:rPr>
        <w:t>17</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纸质资料（盖有公章）接收地点：茂名市为民路101号茂名市人民医院5号楼2楼招标采购办公室（或提交盖有公章的电子版资料，按指定时间发送到指定邮箱）</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b w:val="0"/>
          <w:bCs w:val="0"/>
          <w:color w:val="000000"/>
          <w:kern w:val="0"/>
          <w:sz w:val="22"/>
          <w:lang w:val="en-US" w:eastAsia="zh-CN"/>
        </w:rPr>
        <w:t>569437953</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val="en-US" w:eastAsia="zh-CN"/>
        </w:rPr>
        <w:t>qq</w:t>
      </w:r>
      <w:r>
        <w:rPr>
          <w:rFonts w:hint="eastAsia" w:ascii="宋体" w:hAnsi="宋体" w:cs="宋体"/>
          <w:b w:val="0"/>
          <w:bCs w:val="0"/>
          <w:color w:val="000000"/>
          <w:kern w:val="0"/>
          <w:sz w:val="22"/>
        </w:rPr>
        <w:t>.com</w:t>
      </w:r>
    </w:p>
    <w:p>
      <w:pPr>
        <w:pStyle w:val="9"/>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9"/>
        <w:tabs>
          <w:tab w:val="left" w:pos="1260"/>
        </w:tabs>
        <w:spacing w:line="360" w:lineRule="auto"/>
        <w:ind w:firstLine="0" w:firstLineChars="0"/>
        <w:jc w:val="center"/>
        <w:rPr>
          <w:rFonts w:hint="eastAsia" w:hAnsi="宋体"/>
          <w:lang w:val="en-US" w:eastAsia="zh-CN"/>
        </w:rPr>
      </w:pPr>
    </w:p>
    <w:p>
      <w:pPr>
        <w:pStyle w:val="9"/>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9"/>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11</w:t>
      </w:r>
      <w:r>
        <w:rPr>
          <w:rFonts w:hint="eastAsia" w:hAnsi="宋体"/>
          <w:lang w:val="en-US"/>
        </w:rPr>
        <w:t>月</w:t>
      </w:r>
      <w:r>
        <w:rPr>
          <w:rFonts w:hint="eastAsia" w:hAnsi="宋体"/>
          <w:lang w:val="en-US" w:eastAsia="zh-CN"/>
        </w:rPr>
        <w:t>8</w:t>
      </w:r>
      <w:r>
        <w:rPr>
          <w:rFonts w:hint="eastAsia" w:hAnsi="宋体"/>
          <w:lang w:val="en-US"/>
        </w:rPr>
        <w:t>日</w:t>
      </w:r>
    </w:p>
    <w:p>
      <w:pPr>
        <w:pStyle w:val="9"/>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pStyle w:val="4"/>
        <w:rPr>
          <w:rFonts w:ascii="仿宋" w:hAnsi="仿宋" w:eastAsia="仿宋"/>
          <w:snapToGrid w:val="0"/>
          <w:sz w:val="32"/>
          <w:szCs w:val="32"/>
        </w:rPr>
      </w:pPr>
      <w:r>
        <w:rPr>
          <w:rFonts w:hint="eastAsia" w:ascii="仿宋" w:hAnsi="仿宋" w:eastAsia="仿宋"/>
          <w:snapToGrid w:val="0"/>
          <w:sz w:val="32"/>
          <w:szCs w:val="32"/>
        </w:rPr>
        <w:t>项目建设的内容</w:t>
      </w:r>
    </w:p>
    <w:p>
      <w:pPr>
        <w:pStyle w:val="5"/>
        <w:rPr>
          <w:rFonts w:ascii="仿宋" w:hAnsi="仿宋" w:eastAsia="仿宋"/>
        </w:rPr>
      </w:pPr>
      <w:r>
        <w:rPr>
          <w:rFonts w:hint="eastAsia" w:ascii="仿宋" w:hAnsi="仿宋" w:eastAsia="仿宋"/>
          <w:lang w:val="en-US" w:eastAsia="zh-CN"/>
        </w:rPr>
        <w:t>一、</w:t>
      </w:r>
      <w:r>
        <w:rPr>
          <w:rFonts w:ascii="仿宋" w:hAnsi="仿宋" w:eastAsia="仿宋"/>
        </w:rPr>
        <w:t>软件</w:t>
      </w:r>
      <w:r>
        <w:rPr>
          <w:rFonts w:hint="eastAsia" w:ascii="仿宋" w:hAnsi="仿宋" w:eastAsia="仿宋"/>
        </w:rPr>
        <w:t>功能清单</w:t>
      </w:r>
    </w:p>
    <w:tbl>
      <w:tblPr>
        <w:tblStyle w:val="1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699"/>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rPr>
                <w:rFonts w:ascii="仿宋" w:hAnsi="仿宋" w:eastAsia="仿宋" w:cs="仿宋"/>
                <w:b/>
                <w:bCs/>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8"/>
                <w:szCs w:val="28"/>
                <w14:textFill>
                  <w14:solidFill>
                    <w14:schemeClr w14:val="tx1">
                      <w14:lumMod w14:val="85000"/>
                      <w14:lumOff w14:val="15000"/>
                    </w14:schemeClr>
                  </w14:solidFill>
                </w14:textFill>
              </w:rPr>
              <w:t>序号</w:t>
            </w:r>
          </w:p>
        </w:tc>
        <w:tc>
          <w:tcPr>
            <w:tcW w:w="1699" w:type="dxa"/>
            <w:shd w:val="clear" w:color="auto" w:fill="FFFFFF"/>
            <w:vAlign w:val="center"/>
          </w:tcPr>
          <w:p>
            <w:pPr>
              <w:jc w:val="both"/>
              <w:rPr>
                <w:rFonts w:ascii="仿宋" w:hAnsi="仿宋" w:eastAsia="仿宋" w:cs="仿宋"/>
                <w:b/>
                <w:bCs/>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8"/>
                <w:szCs w:val="28"/>
                <w14:textFill>
                  <w14:solidFill>
                    <w14:schemeClr w14:val="tx1">
                      <w14:lumMod w14:val="85000"/>
                      <w14:lumOff w14:val="15000"/>
                    </w14:schemeClr>
                  </w14:solidFill>
                </w14:textFill>
              </w:rPr>
              <w:t>模块名称</w:t>
            </w:r>
          </w:p>
        </w:tc>
        <w:tc>
          <w:tcPr>
            <w:tcW w:w="7095" w:type="dxa"/>
            <w:shd w:val="clear" w:color="auto" w:fill="FFFFFF"/>
            <w:vAlign w:val="center"/>
          </w:tcPr>
          <w:p>
            <w:pPr>
              <w:ind w:firstLine="422"/>
              <w:jc w:val="center"/>
              <w:rPr>
                <w:rFonts w:ascii="仿宋" w:hAnsi="仿宋" w:eastAsia="仿宋" w:cs="仿宋"/>
                <w:b/>
                <w:bCs/>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b/>
                <w:bCs/>
                <w:color w:val="262626" w:themeColor="text1" w:themeTint="D9"/>
                <w:sz w:val="28"/>
                <w:szCs w:val="28"/>
                <w14:textFill>
                  <w14:solidFill>
                    <w14:schemeClr w14:val="tx1">
                      <w14:lumMod w14:val="85000"/>
                      <w14:lumOff w14:val="15000"/>
                    </w14:schemeClr>
                  </w14:solidFill>
                </w14:textFill>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系统配置</w:t>
            </w:r>
          </w:p>
        </w:tc>
        <w:tc>
          <w:tcPr>
            <w:tcW w:w="7095" w:type="dxa"/>
            <w:shd w:val="clear" w:color="auto" w:fill="FFFFFF"/>
            <w:vAlign w:val="center"/>
          </w:tcPr>
          <w:p>
            <w:pPr>
              <w:widowControl/>
              <w:spacing w:line="276" w:lineRule="auto"/>
              <w:jc w:val="left"/>
              <w:textAlignment w:val="center"/>
              <w:rPr>
                <w:rFonts w:ascii="仿宋" w:hAnsi="仿宋" w:eastAsia="仿宋" w:cs="仿宋"/>
                <w:color w:val="262626" w:themeColor="text1" w:themeTint="D9"/>
                <w:kern w:val="0"/>
                <w:sz w:val="28"/>
                <w:szCs w:val="28"/>
                <w:lang w:bidi="ar"/>
                <w14:textFill>
                  <w14:solidFill>
                    <w14:schemeClr w14:val="tx1">
                      <w14:lumMod w14:val="85000"/>
                      <w14:lumOff w14:val="15000"/>
                    </w14:schemeClr>
                  </w14:solidFill>
                </w14:textFill>
              </w:rPr>
            </w:pPr>
            <w:r>
              <w:rPr>
                <w:rFonts w:hint="eastAsia" w:ascii="仿宋" w:hAnsi="仿宋" w:eastAsia="仿宋" w:cs="仿宋"/>
                <w:color w:val="262626" w:themeColor="text1" w:themeTint="D9"/>
                <w:kern w:val="0"/>
                <w:sz w:val="28"/>
                <w:szCs w:val="28"/>
                <w:lang w:bidi="ar"/>
                <w14:textFill>
                  <w14:solidFill>
                    <w14:schemeClr w14:val="tx1">
                      <w14:lumMod w14:val="85000"/>
                      <w14:lumOff w14:val="15000"/>
                    </w14:schemeClr>
                  </w14:solidFill>
                </w14:textFill>
              </w:rPr>
              <w:t>提供软件运行基础数据管理，如科室人员信息、治疗项目、治疗区、排班数据、评估量表等业务基础数据；支持对系统运行所需要的基础数据进行管理、维护：可分别配置评定报告、治疗文书、团队会议文书等报告个性化多级审核流程。</w:t>
            </w: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提供科室业务开展流程配置参数管理，支持角色对应权限管理功能，并能将分配的权限应用到相应员工个人权限中。且具备核心业务参数配置功能以满足不同需求管理流程需要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接口模块</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提供系统运行所需的基础接口及电子病历过级所需的业务接口和数据接口，标准对接第三方系统接口模块（例如：对接HIS系统、集成平台等）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3</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消息中心</w:t>
            </w:r>
          </w:p>
        </w:tc>
        <w:tc>
          <w:tcPr>
            <w:tcW w:w="7095" w:type="dxa"/>
            <w:shd w:val="clear" w:color="auto" w:fill="FFFFFF"/>
            <w:vAlign w:val="center"/>
          </w:tcPr>
          <w:p>
            <w:pPr>
              <w:tabs>
                <w:tab w:val="center" w:pos="2585"/>
              </w:tabs>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提供灵活的消息提示机制，可通过多种通讯方式获取系统发送的提示信息；支持根据角色对应权限业务有针对性获取系统中的提示消息，可根据院方需要针对性的选择科室、病区、人员接受消息并处理，具备语音播报功能，在新医嘱下达时支持进行语音播报</w:t>
            </w: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4</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任务中心</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支持针对个人工作信息进行系统化的跟踪,提供每日工作情况总览功能及任务追踪路径，提供治疗执行自动排查功能，支持在治疗登记时提醒显示未执行医嘱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5</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个人中心</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个人个性化系统设置，支持对当前账户信息进行编辑维护，实现多病区联合办公，可根据需要切换不同科室/病区进行业务处理，且能实现数据隔离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6</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会话中心</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为医、治、护提供信息交流平台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7</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患者360</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以患者为中心，提供患者管理功能，支持以名片、列表两种方式进行管理；且能同步HIS患者信息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8</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康复评估工作站</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用于评估师对患者不同阶段病情情况的评估，并对评估结果进行报告汇总、对比。支持评估所需要的基础功能,满足创建评估方案-&gt;调整评估量表-&gt;执行评估-&gt;书写评估报告-&gt;完成评估-&gt;评估查看-&gt;评估对比的业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9</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康复治疗工作站</w:t>
            </w:r>
          </w:p>
        </w:tc>
        <w:tc>
          <w:tcPr>
            <w:tcW w:w="7095"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用于治疗师进行治疗、排队治疗、治疗记录查看统计等操作；支持治疗所需要的基础功能，具备待治疗项目查询、治疗登记、治疗记录、收（补）退费等功能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10</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康复医生工作站</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可以集成到HIS医生工作站，用于医生下达治疗医嘱、评估医嘱，查看康复执行情况；支持以患者为中心进行康复业务功能，满足康复医嘱下达、康复医嘱处理、康复医嘱发送的业务要求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11</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康复护士工作站</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用于护士对患者的康复医疗信息查看、记录、编辑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12</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统计报表</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用于整个科室运营综合统计分析，协助科室管理者实时对整个科室运营状况及绩效考核进行监管；支持统计科室的所有项目，设备使用率、治疗人次、治疗费用、工作量统计、量表统计、绩效统计，患者治疗情况统计功能，报表可集中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13</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领导管理驾驶舱</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为科室管理者提供科室经营数据多维图形展示与分析；支持方向指引的数据分析功能，具备多维度的数据组合来统一展现康复业务全貌。同时也可根据用户需要，定制个性化决策分析BI大屏展示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14</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家庭训练管理</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为离院患者提供可持续康复的方案模板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15</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随访管理</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院内智能化提醒随访事宜，提高工作效率，减少工作误差；符合医学要求的模板化随访方案，方便快捷的制定随访方案，根据不同病种设置不同的随访表，随访内容更符合医学要求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16</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建议医嘱</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提供治疗师向临床、康复医生发生建议治疗建议；具备治疗建议新增、维护、发送、撤销等功能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17</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智能排程管理</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具备智能化排班排队功能，提供一键智能排班、智能排队两种方式；支持对患者进行治疗安排，结合医院资源情况，提供排班、排队等方式进行患者日程安排。且系统提供多级任务分配+精细化排班、患者分配+患者排队、排队等组合方式供医院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18</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康复文书</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主要实现中医康复治疗文书管理，其中包括首次治疗记录、上级治疗师查房记录等和其他文书如出院小结、评定报告等。提供各类康复文书的编辑与存储功能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19</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康复看板</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为医师、治疗师、康复护士提供患者的汇总信息，让治疗组人员可以随时随地快速了解患者的任何信息，满足患者信息整合需要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20</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患者病历夹</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集中展示患者的康复电子病历，并可查阅历史病历，可对接HIS进行双向调用；能实现在同一界面集成患者本次就诊与历史就诊信息快速查看功能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21</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病历检索</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基于病历、量表、文书、报告的查看，可用于科研数据查询和分析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22</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质控管理</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配置各项工作的质控要求，并查看执行情况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23</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康复团队会议</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能让参与的各个相关方（例如：患者、医生、护士、治疗师）都能进行及时、有效的对评价会及病人的治疗会的全程跟踪，提供会议制定、参会通知、会议开展、会议记录、会议报告等功能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24</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医务排班管理</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用于医生、护士、评估师、治疗师的排班管理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25</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高压氧工作站</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含高压氧医嘱下单，患者评估，氧舱安排，文书书写，氧舱管理、科室经营、终端设备管理等业务场景功能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26</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移动评估系统</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移动评估系统集成任务中心、消息中心、评估执行、评估报告、患者查询、评估建议、治疗建议及报表统计分析等功能，为评估师进行无纸化办公、患者床旁评估等工作提供使用，可实现移动端与电脑端数据实时互通，节省评估时间，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FFFFFF"/>
            <w:vAlign w:val="center"/>
          </w:tcPr>
          <w:p>
            <w:pPr>
              <w:jc w:val="center"/>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27</w:t>
            </w:r>
          </w:p>
        </w:tc>
        <w:tc>
          <w:tcPr>
            <w:tcW w:w="1699" w:type="dxa"/>
            <w:shd w:val="clear" w:color="auto" w:fill="FFFFFF"/>
            <w:vAlign w:val="center"/>
          </w:tcPr>
          <w:p>
            <w:pPr>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移动治疗系统</w:t>
            </w:r>
          </w:p>
        </w:tc>
        <w:tc>
          <w:tcPr>
            <w:tcW w:w="7095" w:type="dxa"/>
            <w:shd w:val="clear" w:color="auto" w:fill="FFFFFF"/>
            <w:vAlign w:val="center"/>
          </w:tcPr>
          <w:p>
            <w:pPr>
              <w:spacing w:line="276" w:lineRule="auto"/>
              <w:jc w:val="left"/>
              <w:rPr>
                <w:rFonts w:ascii="仿宋" w:hAnsi="仿宋" w:eastAsia="仿宋" w:cs="仿宋"/>
                <w:color w:val="262626" w:themeColor="text1" w:themeTint="D9"/>
                <w:sz w:val="28"/>
                <w:szCs w:val="28"/>
                <w14:textFill>
                  <w14:solidFill>
                    <w14:schemeClr w14:val="tx1">
                      <w14:lumMod w14:val="85000"/>
                      <w14:lumOff w14:val="15000"/>
                    </w14:schemeClr>
                  </w14:solidFill>
                </w14:textFill>
              </w:rPr>
            </w:pPr>
            <w:r>
              <w:rPr>
                <w:rFonts w:hint="eastAsia" w:ascii="仿宋" w:hAnsi="仿宋" w:eastAsia="仿宋" w:cs="仿宋"/>
                <w:color w:val="262626" w:themeColor="text1" w:themeTint="D9"/>
                <w:sz w:val="28"/>
                <w:szCs w:val="28"/>
                <w14:textFill>
                  <w14:solidFill>
                    <w14:schemeClr w14:val="tx1">
                      <w14:lumMod w14:val="85000"/>
                      <w14:lumOff w14:val="15000"/>
                    </w14:schemeClr>
                  </w14:solidFill>
                </w14:textFill>
              </w:rPr>
              <w:t>移动评估系统集成任务中心、消息中心、团队会议、治疗建议、评估建立、治疗医嘱管理、排班查询、排队查询、治疗记录、每日简报、患者管理、治疗工作统计等功能，为治疗师工作日常提升便利性，减轻工作压力</w:t>
            </w:r>
          </w:p>
        </w:tc>
      </w:tr>
    </w:tbl>
    <w:p>
      <w:pPr>
        <w:pStyle w:val="45"/>
        <w:ind w:firstLine="0" w:firstLineChars="0"/>
        <w:rPr>
          <w:rFonts w:ascii="仿宋" w:hAnsi="仿宋" w:eastAsia="仿宋"/>
          <w:sz w:val="32"/>
          <w:szCs w:val="32"/>
        </w:rPr>
      </w:pPr>
    </w:p>
    <w:p>
      <w:pPr>
        <w:pStyle w:val="5"/>
        <w:rPr>
          <w:rFonts w:ascii="仿宋" w:hAnsi="仿宋" w:eastAsia="仿宋"/>
        </w:rPr>
      </w:pPr>
      <w:r>
        <w:rPr>
          <w:rFonts w:hint="eastAsia" w:ascii="仿宋" w:hAnsi="仿宋" w:eastAsia="仿宋"/>
          <w:lang w:val="en-US" w:eastAsia="zh-CN"/>
        </w:rPr>
        <w:t>二、</w:t>
      </w:r>
      <w:r>
        <w:rPr>
          <w:rFonts w:hint="eastAsia" w:ascii="仿宋" w:hAnsi="仿宋" w:eastAsia="仿宋"/>
        </w:rPr>
        <w:t>软件功能详细要求</w:t>
      </w:r>
    </w:p>
    <w:tbl>
      <w:tblPr>
        <w:tblStyle w:val="14"/>
        <w:tblW w:w="9712" w:type="dxa"/>
        <w:tblInd w:w="-5" w:type="dxa"/>
        <w:tblLayout w:type="autofit"/>
        <w:tblCellMar>
          <w:top w:w="0" w:type="dxa"/>
          <w:left w:w="108" w:type="dxa"/>
          <w:bottom w:w="0" w:type="dxa"/>
          <w:right w:w="108" w:type="dxa"/>
        </w:tblCellMar>
      </w:tblPr>
      <w:tblGrid>
        <w:gridCol w:w="851"/>
        <w:gridCol w:w="916"/>
        <w:gridCol w:w="8294"/>
      </w:tblGrid>
      <w:tr>
        <w:tblPrEx>
          <w:tblCellMar>
            <w:top w:w="0" w:type="dxa"/>
            <w:left w:w="108" w:type="dxa"/>
            <w:bottom w:w="0" w:type="dxa"/>
            <w:right w:w="108" w:type="dxa"/>
          </w:tblCellMar>
        </w:tblPrEx>
        <w:trPr>
          <w:trHeight w:val="5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模块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序号</w:t>
            </w:r>
          </w:p>
        </w:tc>
        <w:tc>
          <w:tcPr>
            <w:tcW w:w="8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参数描述</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系统配置</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支持对系统运行所需要的基础数据进行管理、维护</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支持分别配置评定报告、治疗文书、团队会议文书等报告个性化多级审核流程</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支持角色对应权限管理功能，并能将分配的权限应用到相应员工个人权限中</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支持核心业务参数配置功能，以满足不同需求管理流程需要，包含收费模式设置、评估报告展示分组模式设置、评估完成自动推送消息等功能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支持医生工作站业务的参数控制，包含已停用或临时医嘱有效时限设置、治疗医嘱的安排限制设置、医嘱与项目对应的设置等功能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支持全局业务的参数控制，包含是否启用CA签名、是否展示中医诊断、治疗团队更新条件设置、今日排班查询范围设置等功能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支持对系统操作界面颜色进行统一更换功能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提供权限范围配置功能，提供角色和用户两种权限控制范围；支持角色权限控制，为同类用户进行配置；支持用户权限控制，为单一用户进行配置；且两种权限控制可交叉使用</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 xml:space="preserve">1.9 </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提供菜单折叠功能，可通过菜单折叠功能实现对内容可见性的控制，扩大信息展示区域</w:t>
            </w:r>
          </w:p>
        </w:tc>
      </w:tr>
      <w:tr>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接口模块</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提供系统运行所需的基础接口</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消息中心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提供灵活的消息提示机制，可通过多种通讯方式获取系统发送的提示信息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可根据院方需要针对性的选择科室、病区、人员接受消息并处理</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支持消息数字展示、速览展示、强制展示等展示方式功能,根据关键字、消息状态、搜索消息列表功能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支持根据医院需求进行配置消息确认方式，如密码/手动/无需确认，消息查看后会进入相关任务功能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支持超时提醒，在规定时间内用户未处理消息，登录系统后会提醒并引导用户处理消息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支持消息颜色自定义，用户通过颜色可区分出不同种类的消息，快速锁定同一类型消息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 xml:space="preserve">3.7 </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支持自定义消息接收人，可根据医院需要选择科室/治疗区下的用户接收并处理消息,或者选择具体的接收人</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支持快捷选择治疗团队，服务协调人，治疗区负责人下的用户接收并处理消息，各消息模板可选择存在差异，这由消息模板的性质决定</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支持消息中心存储功能，可记录并查看治疗团队之间沟通的全部消息</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3.10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支持消息自定义处理，可单一处理和批量处理,便于用户快速处理消息</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任务中心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4.1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支持针对个人工作信息进行系统化的跟踪,提供每日工作情况总览功能及任务追踪路径</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4.2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支持任务启动机制，默认不启用任务首页将不会展示相关任务信息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4.3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支持任务负责人自定义，可选择治疗区/科室下的用户或具体的用户负责并处理任务，相关人员会在任务首页查看到与自己相关的任务</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4.4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支持快捷自定义科室，负责对应的相关任务并处理，各任务有差异，由任务的具体业务决定</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4.5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78" w:firstLineChars="100"/>
              <w:jc w:val="left"/>
              <w:textAlignment w:val="center"/>
              <w:rPr>
                <w:rFonts w:ascii="仿宋" w:hAnsi="仿宋" w:eastAsia="仿宋" w:cs="宋体"/>
                <w:color w:val="000000"/>
                <w:sz w:val="28"/>
                <w:szCs w:val="28"/>
              </w:rPr>
            </w:pPr>
            <w:r>
              <w:rPr>
                <w:rFonts w:ascii="仿宋" w:hAnsi="仿宋" w:eastAsia="仿宋" w:cs="宋体"/>
                <w:spacing w:val="-1"/>
                <w:sz w:val="28"/>
                <w:szCs w:val="28"/>
              </w:rPr>
              <w:t>支持任务质控配置，包括</w:t>
            </w:r>
            <w:r>
              <w:rPr>
                <w:rFonts w:ascii="仿宋" w:hAnsi="仿宋" w:eastAsia="仿宋" w:cs="宋体"/>
                <w:spacing w:val="9"/>
                <w:sz w:val="28"/>
                <w:szCs w:val="28"/>
              </w:rPr>
              <w:t>时间质控、管理负责人、</w:t>
            </w:r>
            <w:r>
              <w:rPr>
                <w:rFonts w:ascii="仿宋" w:hAnsi="仿宋" w:eastAsia="仿宋" w:cs="宋体"/>
                <w:spacing w:val="3"/>
                <w:sz w:val="28"/>
                <w:szCs w:val="28"/>
              </w:rPr>
              <w:t>质控状态。任务质控设定</w:t>
            </w:r>
            <w:r>
              <w:rPr>
                <w:rFonts w:ascii="仿宋" w:hAnsi="仿宋" w:eastAsia="仿宋" w:cs="宋体"/>
                <w:spacing w:val="21"/>
                <w:sz w:val="28"/>
                <w:szCs w:val="28"/>
              </w:rPr>
              <w:t>时间可根据院方情况调</w:t>
            </w:r>
            <w:r>
              <w:rPr>
                <w:rFonts w:ascii="仿宋" w:hAnsi="仿宋" w:eastAsia="仿宋" w:cs="宋体"/>
                <w:spacing w:val="-5"/>
                <w:sz w:val="28"/>
                <w:szCs w:val="28"/>
              </w:rPr>
              <w:t>整</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4.6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支持任务质控时间自定义，任务质控设定时间可根据院方情况调整</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 xml:space="preserve">4.7 </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提供菜单收藏功能，支持自定义收藏各菜单入口，集中化展示在个人任务中心和标签页上，为使用者提供便捷入口</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个人中心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5.1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支持对当前账户信息进行编辑维护</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5.2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支持多病区联合办公，可根据需要切换不同科室/病区进行业务处理，且能实现数据隔离</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5.3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支持查看或发起相关会话功能。默认接收消息，参与会话者可配置消息免打扰</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会话中心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支持医生、护士、评估师、治疗师、服务协调人等各类角色在线实时沟通</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为其他功能提供支撑：为团队会议会话组群沟通功能提供消息通讯支持；为康复看板留言功能提供消息通讯支持</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支持消息加密处理功能，确保消息安全，保护用户隐私</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支持消息永久保存，并可同步随病历统一归档，可随时查看记录</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支持医生、治疗师等医务人员实时沟通功能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支持自动生成团队会议参会成员的群组会话功能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留言消息支持两种类型管理，包含紧急发送和一般发送两种类型功能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支持建立群组对患者进行相关讨论功能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支持单患者讨论功能，针对患者一对一单独讨论</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 xml:space="preserve">6.10 </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支持团队会议讨论功能，患者的团队会议人员针对患者进行讨论</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6.11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支持消息多终端同步功能，PC和移动端同步查看消息</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患者360</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提供患者管理功能，支持以名片、列表两种方式进行管理；且能同步HIS患者信息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支持监管患者诊疗进度，收录患者从入院到出院各阶段的诊疗数据集中展示</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支持名片方式进行管理，名片上需包含患者来源、患者标记、患者身份、费用余额、就诊信息、功能障碍等信息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支持列表方式进行管理，集成治疗团队管理、患者标记、康复病历夹、康复看板、康复目标、康复评估、治疗执行、评估建议、治疗建议、康复文书、家庭训练、家庭随访等相关功能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支持编辑患者康复信息功能，增加患者康复信息功能，提高治疗执行治疗精度及评估准确度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支持编辑患者治疗团队信息功能，提高对患者针对性医疗服务准确性，同时提高治疗团队成员对患者关注度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支持患者可扩展编辑信息功能，附加患者其他信息功能，提高治疗师或护士日常工作便捷性</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7.8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支持同步HIS患者信息功能，保证患者信息与院内其他系统的信息一致</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康复医生工作站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支持以患者为中心进行康复业务功能，满足康复医嘱下达、康复医嘱处理、康复医嘱发送的业务要求</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themeColor="text1"/>
                <w:kern w:val="0"/>
                <w:sz w:val="28"/>
                <w:szCs w:val="28"/>
                <w:lang w:bidi="ar"/>
                <w14:textFill>
                  <w14:solidFill>
                    <w14:schemeClr w14:val="tx1"/>
                  </w14:solidFill>
                </w14:textFill>
              </w:rPr>
              <w:t>提供康复医嘱回传的业务模式，提供五种治疗医嘱推荐方式</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提供调整医嘱执行治疗区功能，支持指定治疗区/治疗师，提高治疗分配精度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提供HIS医嘱识别功能，支持两种（1：n；n：1）模式自动生成治疗方案</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提供可根据临床医生开具治疗医嘱，HIS可自动读取治疗医嘱功能，显示治疗项目对应医嘱嘱托内容；根据患者病种，推荐预设病种方案进行引用添加</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提供建议医嘱下达指定治建议治疗区、建议治疗师、建议治疗设备等信息功能；由患者责任治疗师或责任评估师发送建议医嘱后，发送同步到HIS下达治疗医嘱；</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提供分角色展示本人、本科室和会诊患者及以患者为中心进行康复业务功能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支持执行患者康复评估方案，支持查看操作指导、填写量表、录制音频、上传设备报告、量表签名，支持查看评估报告，进行评估对比功能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支持查看、编辑患者康复随访方案功能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支持发起、确认、在线参加康复团队会议及填写相关意见及会议报告功能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提供调整治疗医嘱执行治疗区功能，提高治疗分配精度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提供治疗医嘱关联收费功能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提供治疗医嘱关联收费清单功能，提高治疗执行费用精确度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提供设置治疗执行操作指导功能，辅助治疗执行提高治疗精准度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8.15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提供对康复医保医嘱进行医保限额、医保时间范围设置</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康复评估工作站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支持评估所需要的基础功能,满足创建评估方案-&gt;调整评估量表-&gt;执行评估-&gt;书写评估报告-&gt;完成评估-&gt;评估查看-&gt;评估对比的业务要求</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提供对接HIS，根据HIS评估医嘱自动创建评估方案，可支持再编辑</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具有查询条件记忆功能，在查询评估方案时提供8种查询方式</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提供疗效评估的提供疗效评估的三种对比分析方式。包括报告对比、量表对比、量表多媒体对比。过程数据对比分析可支持数值和图形化两种呈现方式。</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支持评估量表和评估报告的多种签名方式</w:t>
            </w:r>
            <w:r>
              <w:rPr>
                <w:rFonts w:ascii="仿宋" w:hAnsi="仿宋" w:eastAsia="仿宋" w:cs="宋体"/>
                <w:color w:val="000000"/>
                <w:kern w:val="0"/>
                <w:sz w:val="28"/>
                <w:szCs w:val="28"/>
                <w:lang w:bidi="ar"/>
              </w:rPr>
              <w:t>(</w:t>
            </w:r>
            <w:r>
              <w:rPr>
                <w:rFonts w:hint="eastAsia" w:ascii="仿宋" w:hAnsi="仿宋" w:eastAsia="仿宋" w:cs="宋体"/>
                <w:color w:val="000000"/>
                <w:kern w:val="0"/>
                <w:sz w:val="28"/>
                <w:szCs w:val="28"/>
                <w:lang w:bidi="ar"/>
              </w:rPr>
              <w:t>含</w:t>
            </w:r>
            <w:r>
              <w:rPr>
                <w:rFonts w:ascii="仿宋" w:hAnsi="仿宋" w:eastAsia="仿宋" w:cs="宋体"/>
                <w:color w:val="000000"/>
                <w:kern w:val="0"/>
                <w:sz w:val="28"/>
                <w:szCs w:val="28"/>
                <w:lang w:bidi="ar"/>
              </w:rPr>
              <w:t>CA</w:t>
            </w:r>
            <w:r>
              <w:rPr>
                <w:rFonts w:hint="eastAsia" w:ascii="仿宋" w:hAnsi="仿宋" w:eastAsia="仿宋" w:cs="宋体"/>
                <w:color w:val="000000"/>
                <w:kern w:val="0"/>
                <w:sz w:val="28"/>
                <w:szCs w:val="28"/>
                <w:lang w:bidi="ar"/>
              </w:rPr>
              <w:t>扫码签名，u-key签名，非ca电子签名等</w:t>
            </w:r>
            <w:r>
              <w:rPr>
                <w:rFonts w:ascii="仿宋" w:hAnsi="仿宋" w:eastAsia="仿宋" w:cs="宋体"/>
                <w:color w:val="000000"/>
                <w:kern w:val="0"/>
                <w:sz w:val="28"/>
                <w:szCs w:val="28"/>
                <w:lang w:bidi="ar"/>
              </w:rPr>
              <w:t>)</w:t>
            </w:r>
            <w:r>
              <w:rPr>
                <w:rFonts w:hint="eastAsia" w:ascii="仿宋" w:hAnsi="仿宋" w:eastAsia="仿宋" w:cs="宋体"/>
                <w:color w:val="000000"/>
                <w:kern w:val="0"/>
                <w:sz w:val="28"/>
                <w:szCs w:val="28"/>
                <w:lang w:bidi="ar"/>
              </w:rPr>
              <w:t>，并可生成PDF文件及打印</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《脊髓损伤神经功能评估》满足2019版【脊髓损伤神经学分类国际标准(ISNCSCD)】，支持键盘与触屏（平板）输入分数，自主选择向下复制值功能</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《脊髓损伤神经功能评估》满足2019版【脊髓损伤神经学分类国际标准(ISNCSCD)】，根据感觉和运动评分实时在检查图上以不同颜色区分，可视化显示损伤水平</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脊髓损伤神经功能评估》满足2019版【脊髓损伤神经学分类国际标准(ISNCSCD)】，一键统计运动、感觉评分，自动检测评定完整性，准确计算神经损伤平面和ASIA损伤分级；同时针对缺失部分评分，可支持辅助推测神经损伤平面和ASIA损伤分级</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《Peabody运动发育量表(PDMS-2)》支持评估过程中辅助填表，提示评估领域底部和顶部水平</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themeColor="text1"/>
                <w:kern w:val="0"/>
                <w:sz w:val="28"/>
                <w:szCs w:val="28"/>
                <w:lang w:bidi="ar"/>
                <w14:textFill>
                  <w14:solidFill>
                    <w14:schemeClr w14:val="tx1"/>
                  </w14:solidFill>
                </w14:textFill>
              </w:rPr>
            </w:pPr>
            <w:r>
              <w:rPr>
                <w:rFonts w:hint="eastAsia" w:ascii="仿宋" w:hAnsi="仿宋" w:eastAsia="仿宋" w:cs="宋体"/>
                <w:color w:val="000000" w:themeColor="text1"/>
                <w:kern w:val="0"/>
                <w:sz w:val="28"/>
                <w:szCs w:val="28"/>
                <w:lang w:bidi="ar"/>
                <w14:textFill>
                  <w14:solidFill>
                    <w14:schemeClr w14:val="tx1"/>
                  </w14:solidFill>
                </w14:textFill>
              </w:rPr>
              <w:t>《Peabody运动发育量表(PDMS-2)》支持根据常模数据自动生成评定报告，计算各测验原始分数、标准分、相当年龄及百分位数；支持绘制分数图表和概览图，对各分测验间进行差异性分析</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同步对接HIS系统收费，提供评估方案绑定收费功能，可根据清单或医嘱同步收费</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提供支持历次评估数据进行对比分析（包含量表/报告数值、量表视频对比）、可自定义选择历史住院初期方案、中期方案并进行对比分析，并可将对比分析结果进行导出、打印</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提供对接HIS系统同步评估医嘱功能；提供建议医嘱功能，评估师可根据患者情况发送建议医嘱，供医生引用</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提供丰富的常用评估量表、成人评估量表、儿童评估量表，以及提供专业的康复文书结构化评估报告可书写、编辑功能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9.15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提供量表定制功能、评估量表执行结果重置重新执行功能，评估量表取消功能、评估量表结果审核功能；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提供评估方案书写评估指导功能、评估报告结果审核功能，评估量表结果可下载生成PDF文件功能、也可直接打印生成报告功能；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9.17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手动上传评估量表相关多媒体附件功能、评估设备结果文件上传功能，可针对视频、音频、图片等进行评估前后对比。提供评估对比功能，可进行评估报告对比和评估量表结果对比，且对比结果可以表格和图标两种形式展示，可将对比结果导出生成文档及直接打印功能</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康复治疗工作站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支持治疗所需要的基础功能，提供待治疗项目查询、治疗登记、治疗记录、收（补）退费等功能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提供治疗记录权限管理功能，通过权限设置支持查看各治疗师任务执行情况、收费情况、工作量情况</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提供治疗项目登记功能，支持2种查看模式及12种组合查询条件进行精确筛选</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对患者待治疗数据进行单项目执行、批量执行、查看操作指导、查看治疗方式、批量查看生理图</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具有治疗结果登记辅助输入功能，支持一键应用治疗登记信息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提供以医嘱模式进行登记功能，支持输入治疗次数来保证治疗执行的精准性</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提供治疗执行收费功能，支持对接HIS同步收费；提供三种计费模式（按部/穴位收费、按治疗项目费用清单收费、按HIS医嘱费用清单收费）</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 xml:space="preserve">10.8 </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提供自动对账功能，支持系统与HIS自动进行对账</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提供退费权限管控功能，可设置精细化退费权限，支持通过设置实现仅限本人操作退费的功能</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具有治疗列表中限定次数提醒、执行截止提醒、医嘱停止提醒功能；支持治疗中模式功能，可精准管理治疗时长（可根据需求进行参数配置选择）；</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提供治疗执行时可根据实际情况调整费用情况再次治疗执行时在治疗备注中填写治疗结论功能，利用填写治疗备注，形成治疗记录单功能</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支持以治疗项目和医嘱两种方式进行治疗登记功能，且在以医嘱方式进行登记时支持根据需要写入治疗次数，简化治疗执行操作同时提升执行准确性</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提供治疗记录进行视频上传功能，以便核准对比；可调用HIS接口完成计费，可集成HIS接口完成执行计费，也可绑定收费医嘱功能</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对治疗中的记录进行直接执行和批量完成两种方式，可进行查看、编辑、移除康复患者的责任治疗师功能，可打印执行清单功能；配置治疗排班方式可选，可分别根据治疗区、治疗师、治疗设备排班方式选择；具有患者异常情况提示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10.14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提供随时查看治疗师治疗执行情况及收费情况功能，对于已执行的项目，可进行项目撤销执行及批量撤销功能，可根据治疗师来统计治疗工作量功能</w:t>
            </w:r>
          </w:p>
        </w:tc>
      </w:tr>
      <w:tr>
        <w:tblPrEx>
          <w:tblCellMar>
            <w:top w:w="0" w:type="dxa"/>
            <w:left w:w="108" w:type="dxa"/>
            <w:bottom w:w="0" w:type="dxa"/>
            <w:right w:w="108" w:type="dxa"/>
          </w:tblCellMar>
        </w:tblPrEx>
        <w:trPr>
          <w:trHeight w:val="54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康复护士工作站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支持护士工作开展所需基础功能，满足医嘱核对、医嘱标记、患者管理的业务开展要求</w:t>
            </w:r>
          </w:p>
        </w:tc>
      </w:tr>
      <w:tr>
        <w:tblPrEx>
          <w:tblCellMar>
            <w:top w:w="0" w:type="dxa"/>
            <w:left w:w="108" w:type="dxa"/>
            <w:bottom w:w="0" w:type="dxa"/>
            <w:right w:w="108" w:type="dxa"/>
          </w:tblCellMar>
        </w:tblPrEx>
        <w:trPr>
          <w:trHeight w:val="81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支持两种医嘱审核机制：未审核医嘱可完成人工核对；已审核医嘱可自动跳过核对环节</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提供患者风险管理功能，支持维护患者风险信息及维护核查信息</w:t>
            </w:r>
          </w:p>
        </w:tc>
      </w:tr>
      <w:tr>
        <w:tblPrEx>
          <w:tblCellMar>
            <w:top w:w="0" w:type="dxa"/>
            <w:left w:w="108" w:type="dxa"/>
            <w:bottom w:w="0" w:type="dxa"/>
            <w:right w:w="108" w:type="dxa"/>
          </w:tblCellMar>
        </w:tblPrEx>
        <w:trPr>
          <w:trHeight w:val="54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统计报表</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12.1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支持以报表的形式统计科室各类业务数据</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12.2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系统内置一套满足科室基础使用的各业务环节分析的统计报表（10个种类）</w:t>
            </w:r>
          </w:p>
        </w:tc>
      </w:tr>
      <w:tr>
        <w:tblPrEx>
          <w:tblCellMar>
            <w:top w:w="0" w:type="dxa"/>
            <w:left w:w="108" w:type="dxa"/>
            <w:bottom w:w="0" w:type="dxa"/>
            <w:right w:w="108" w:type="dxa"/>
          </w:tblCellMar>
        </w:tblPrEx>
        <w:trPr>
          <w:trHeight w:val="9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领导管理驾驶舱</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13.1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提供7日内数据走势分析功能，支持对基础新增门诊/住院治疗人数、治疗区收入、治疗项目数、项目执行率等数据进行分析。</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家庭训练管理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14.1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支持快速创建家庭训练方案模板，模板可设置数据共享范围（通用，科室，个人）</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14.2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支持将给患者开具的训练方案另存为预设模板功能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14.3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提供通过预设模板快速制定训练方案，支持自由调整搭配新增项目完成方案创建</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14.4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支持制定患者家庭训练方案功能</w:t>
            </w:r>
          </w:p>
        </w:tc>
      </w:tr>
      <w:tr>
        <w:tblPrEx>
          <w:tblCellMar>
            <w:top w:w="0" w:type="dxa"/>
            <w:left w:w="108" w:type="dxa"/>
            <w:bottom w:w="0" w:type="dxa"/>
            <w:right w:w="108" w:type="dxa"/>
          </w:tblCellMar>
        </w:tblPrEx>
        <w:trPr>
          <w:trHeight w:val="2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建议医嘱</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16.1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支持向医生提供治疗建议的功能，提供治疗建议新增、维护、发送、撤销等功能</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智能排程管理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支持对患者进行治疗安排，结合医院资源情况，提供排班、排队等方式进行患者日程安排</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提供智能化排班排队功能，提供一键智能排班、智能排队两种方式</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提供多种排班方式：以患者为主的排班方式、以项目为主的排班方式</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支持查询待排班列表功能模块，提供完整及丰富的查询条件，可根据医嘱查询，对开嘱日期、治疗区、治疗师、治疗项目、患者等进行条件查询;且对治疗区和治疗师提供权限控制和记忆功能</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治疗排班提供精细化排班功能，支持调整排班项时长，治疗师可以根据患者实际情况任意调整治疗时长。(右键排班单元格)。根据治疗时长自动组合以划分时刻实现治疗安排。</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 xml:space="preserve">17.6 </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支持治疗排班提供</w:t>
            </w:r>
            <w:r>
              <w:rPr>
                <w:rFonts w:ascii="仿宋" w:hAnsi="仿宋" w:eastAsia="仿宋" w:cs="宋体"/>
                <w:spacing w:val="21"/>
                <w:sz w:val="28"/>
                <w:szCs w:val="28"/>
              </w:rPr>
              <w:t>支</w:t>
            </w:r>
            <w:r>
              <w:rPr>
                <w:rFonts w:hint="eastAsia" w:ascii="仿宋" w:hAnsi="仿宋" w:eastAsia="仿宋" w:cs="宋体"/>
                <w:color w:val="000000"/>
                <w:kern w:val="0"/>
                <w:sz w:val="28"/>
                <w:szCs w:val="28"/>
                <w:lang w:bidi="ar"/>
              </w:rPr>
              <w:t>持不同治疗区项目使用不同时段在不同点位进行安排</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1</w:t>
            </w:r>
            <w:r>
              <w:rPr>
                <w:rFonts w:ascii="仿宋" w:hAnsi="仿宋" w:eastAsia="仿宋" w:cs="宋体"/>
                <w:color w:val="000000"/>
                <w:kern w:val="0"/>
                <w:sz w:val="28"/>
                <w:szCs w:val="28"/>
                <w:lang w:bidi="ar"/>
              </w:rPr>
              <w:t>7</w:t>
            </w:r>
            <w:r>
              <w:rPr>
                <w:rFonts w:hint="eastAsia" w:ascii="仿宋" w:hAnsi="仿宋" w:eastAsia="仿宋" w:cs="宋体"/>
                <w:color w:val="000000"/>
                <w:kern w:val="0"/>
                <w:sz w:val="28"/>
                <w:szCs w:val="28"/>
                <w:lang w:bidi="ar"/>
              </w:rPr>
              <w:t>．7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支持治疗排班，排班模式支持日排班模式和周排班模式，周排班模式完全可由用户自定义一周内的某天排班工作或非排班工作</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w:t>
            </w:r>
            <w:r>
              <w:rPr>
                <w:rFonts w:ascii="仿宋" w:hAnsi="仿宋" w:eastAsia="仿宋" w:cs="宋体"/>
                <w:color w:val="000000"/>
                <w:kern w:val="0"/>
                <w:sz w:val="28"/>
                <w:szCs w:val="28"/>
                <w:lang w:bidi="ar"/>
              </w:rPr>
              <w:t>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themeColor="text1"/>
                <w:kern w:val="0"/>
                <w:sz w:val="28"/>
                <w:szCs w:val="28"/>
                <w:lang w:bidi="ar"/>
                <w14:textFill>
                  <w14:solidFill>
                    <w14:schemeClr w14:val="tx1"/>
                  </w14:solidFill>
                </w14:textFill>
              </w:rPr>
              <w:t>支持治疗排班</w:t>
            </w:r>
            <w:r>
              <w:rPr>
                <w:rFonts w:ascii="仿宋" w:hAnsi="仿宋" w:eastAsia="仿宋" w:cs="宋体"/>
                <w:color w:val="000000" w:themeColor="text1"/>
                <w:spacing w:val="9"/>
                <w:sz w:val="28"/>
                <w:szCs w:val="28"/>
                <w14:textFill>
                  <w14:solidFill>
                    <w14:schemeClr w14:val="tx1"/>
                  </w14:solidFill>
                </w14:textFill>
              </w:rPr>
              <w:t>可跳过节假日</w:t>
            </w:r>
            <w:r>
              <w:rPr>
                <w:rFonts w:hint="eastAsia" w:ascii="仿宋" w:hAnsi="仿宋" w:eastAsia="仿宋" w:cs="宋体"/>
                <w:color w:val="000000" w:themeColor="text1"/>
                <w:kern w:val="0"/>
                <w:sz w:val="28"/>
                <w:szCs w:val="28"/>
                <w:lang w:bidi="ar"/>
                <w14:textFill>
                  <w14:solidFill>
                    <w14:schemeClr w14:val="tx1"/>
                  </w14:solidFill>
                </w14:textFill>
              </w:rPr>
              <w:t>功能，自由设置节假日和调休日，排班数据会根据设置数据自由跳过自动生成；并支持占位功能，占住点位防止其他人抢占，其中占位类型由用户自定义</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w:t>
            </w:r>
            <w:r>
              <w:rPr>
                <w:rFonts w:ascii="仿宋" w:hAnsi="仿宋" w:eastAsia="仿宋" w:cs="宋体"/>
                <w:color w:val="000000"/>
                <w:kern w:val="0"/>
                <w:sz w:val="28"/>
                <w:szCs w:val="28"/>
                <w:lang w:bidi="ar"/>
              </w:rPr>
              <w:t>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治疗排班功能模块提供根据治疗项目打包统一安排功能，以节省治疗师排班时间；并且支持单个排班修改和批量排班修改，单个删除和批量删除功能；根据实际排班情况灵活配置打印模板，选择性打印排班项目</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17.</w:t>
            </w:r>
            <w:r>
              <w:rPr>
                <w:rFonts w:ascii="仿宋" w:hAnsi="仿宋" w:eastAsia="仿宋" w:cs="宋体"/>
                <w:color w:val="000000"/>
                <w:kern w:val="0"/>
                <w:sz w:val="28"/>
                <w:szCs w:val="28"/>
                <w:lang w:bidi="ar"/>
              </w:rPr>
              <w:t>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提供使用占位功能时，可以批量占位（批量占上午、下午、全天）</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康复文书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支持电子病历书写功能，提供各类康复文书的编辑与存储功能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提供康复数据电子病历结构化存储功能，支持文书内容结构化编辑与存储功能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支持治疗师的书写首次治疗记录、上级治疗师查房记录、评定报告等提供结构化编写功能，便于治疗师快速准确的完成文书编辑功能。</w:t>
            </w:r>
            <w:r>
              <w:rPr>
                <w:rFonts w:ascii="仿宋" w:hAnsi="仿宋" w:eastAsia="仿宋" w:cs="宋体"/>
                <w:color w:val="000000"/>
                <w:sz w:val="28"/>
                <w:szCs w:val="28"/>
              </w:rPr>
              <w:t xml:space="preserve"> </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支持根据治疗执行备注书写人，支持多种签名模式，可在多种场景下对康复文书进行签名保存，优化治疗文书书写的简洁性</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支持提供不同治疗文书模板，康复文书可以文档、PDF和图片的方式存储，提高康复文书归档的可靠性并增强康复文书查阅的便捷性;提高文书书写效率</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提供康复结构化书文的模板复用功能，减少模板的维护成本，同时提高了模板的复用率以及增加用户对自身常用文档的积累;</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康复看板</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19.1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支持患者一览卡功能，满足患者信息整合需要，可实时显示患者最新的各类康复医疗信息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19.2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支持快速调取患者康复病历信息、HIS病历信息（需HIS接口支持），查看患者病历信息</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19.3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提供医嘱状态监管功能，支持实时查询患者每日医嘱（评估、治疗、临床）执行状态</w:t>
            </w:r>
          </w:p>
        </w:tc>
      </w:tr>
      <w:tr>
        <w:tblPrEx>
          <w:tblCellMar>
            <w:top w:w="0" w:type="dxa"/>
            <w:left w:w="108" w:type="dxa"/>
            <w:bottom w:w="0" w:type="dxa"/>
            <w:right w:w="108" w:type="dxa"/>
          </w:tblCellMar>
        </w:tblPrEx>
        <w:trPr>
          <w:trHeight w:val="54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19.4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提供排班情况监管功能，支持在同一界面集中展示天/周种排班模式的排班结果</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bottom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19.5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提供交班留言功能，支持留言紧急发送，快速通知到治疗团队</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FFFFFF"/>
            <w:vAlign w:val="center"/>
          </w:tcPr>
          <w:p>
            <w:pPr>
              <w:widowControl/>
              <w:jc w:val="left"/>
              <w:textAlignment w:val="center"/>
              <w:rPr>
                <w:rFonts w:ascii="仿宋" w:hAnsi="仿宋" w:eastAsia="仿宋" w:cs="宋体"/>
                <w:color w:val="262626"/>
                <w:sz w:val="28"/>
                <w:szCs w:val="28"/>
              </w:rPr>
            </w:pPr>
            <w:r>
              <w:rPr>
                <w:rFonts w:hint="eastAsia" w:ascii="仿宋" w:hAnsi="仿宋" w:eastAsia="仿宋" w:cs="宋体"/>
                <w:color w:val="262626"/>
                <w:kern w:val="0"/>
                <w:sz w:val="28"/>
                <w:szCs w:val="28"/>
                <w:lang w:bidi="ar"/>
              </w:rPr>
              <w:t>患者病历夹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20.1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支持病历管理所需的基础功能，归档患者治疗全过程康复医疗信息（评估、团队会议、文书）</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20.2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支持同一界面集成患者本次就诊与历史就诊信息快速查看功能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20.3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支持以时间轴和病历类别两种模式的浏览方式</w:t>
            </w:r>
          </w:p>
        </w:tc>
      </w:tr>
      <w:tr>
        <w:tblPrEx>
          <w:tblCellMar>
            <w:top w:w="0" w:type="dxa"/>
            <w:left w:w="108" w:type="dxa"/>
            <w:bottom w:w="0" w:type="dxa"/>
            <w:right w:w="108" w:type="dxa"/>
          </w:tblCellMar>
        </w:tblPrEx>
        <w:trPr>
          <w:trHeight w:val="270" w:hRule="atLeast"/>
        </w:trPr>
        <w:tc>
          <w:tcPr>
            <w:tcW w:w="851" w:type="dxa"/>
            <w:vMerge w:val="restart"/>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r>
              <w:rPr>
                <w:rFonts w:hint="eastAsia" w:ascii="仿宋" w:hAnsi="仿宋" w:eastAsia="仿宋" w:cs="宋体"/>
                <w:color w:val="262626"/>
                <w:sz w:val="28"/>
                <w:szCs w:val="28"/>
              </w:rPr>
              <w:t>康复质控管理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sz w:val="28"/>
                <w:szCs w:val="28"/>
              </w:rPr>
            </w:pPr>
            <w:r>
              <w:rPr>
                <w:rFonts w:hint="eastAsia" w:ascii="仿宋" w:hAnsi="仿宋" w:eastAsia="仿宋" w:cs="宋体"/>
                <w:color w:val="000000"/>
                <w:kern w:val="0"/>
                <w:sz w:val="28"/>
                <w:szCs w:val="28"/>
                <w:lang w:bidi="ar"/>
              </w:rPr>
              <w:t>支持提取《康复医学专业医疗质量控制指标（国卫办医函〔2022〕161 号）》中的康复质控指标，满足其中结构指标、过程指标、结局指标的统计。</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21.2</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环节质控，质控点自定义编辑，可设置以下内容：是否入院评估，是否组建治疗团队，是否开具建议医嘱，是否召开康复评价会，是否书写康复文书，是否安排责任治疗师，是否排班，是否完成治疗，是否完成计费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21.3</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支持统计质控数据统计，可统计以下内容：个人超时任务清单明细，个人超时任务统计，治疗组超时任务清单明细，治疗组超时任务统计功能。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21.4</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支持用户质控任务超时提醒，任务超过规定时间会有图标提醒</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21.5</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支持质控管理任务在质控管理中心直接操作，点击完成会引导到具备质控任务对应的模块进行处理</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21.6</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支持任务负责人自定义，可选择治疗区/科室下的用户或具体的用户负责并处理任务，相关人员会在任务首页查看到与自己相关的任务</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21.7</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支持快捷自定义科室任务质控，根据每个疗区的任务差异开展，由责任人负责并处理，以实际开展的具体业务决定。</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21.8</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支持任务质控，开启之后在规定时间内未完成任务将会提醒</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21.9</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支持任务管理人自定义，可设置用户查看无操作的任务情况</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FFFFFF"/>
            <w:vAlign w:val="center"/>
          </w:tcPr>
          <w:p>
            <w:pPr>
              <w:jc w:val="left"/>
              <w:rPr>
                <w:rFonts w:ascii="仿宋" w:hAnsi="仿宋" w:eastAsia="仿宋" w:cs="宋体"/>
                <w:color w:val="262626"/>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21.10</w:t>
            </w:r>
          </w:p>
        </w:tc>
        <w:tc>
          <w:tcPr>
            <w:tcW w:w="8294"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支持时间质控，任务质控时间自定义编辑，可根据院方要求进行超时提醒。</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康复移动评估系统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支持移动端任务中心功能，使用者可通过任务中心查看当前需要处理的评估任务与延期评估任务</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支持任务分类统计及进入相关任务功能。并通过报表管理功能，查看日常所需要的报表</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支持查看患者就诊信息功能，可快速定位患者</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支持移动端查看康复看板功能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支持编辑、查看、修改患者标志，提示患者特殊情况功能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支持刷卡、扫描、输入ID号等方式进行患者查询功能</w:t>
            </w:r>
          </w:p>
        </w:tc>
      </w:tr>
      <w:tr>
        <w:tblPrEx>
          <w:tblCellMar>
            <w:top w:w="0" w:type="dxa"/>
            <w:left w:w="108" w:type="dxa"/>
            <w:bottom w:w="0" w:type="dxa"/>
            <w:right w:w="108" w:type="dxa"/>
          </w:tblCellMar>
        </w:tblPrEx>
        <w:trPr>
          <w:trHeight w:val="54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支持在移动端使用复杂多样的量表，执行评估方案，填写量表、录制音视频文件、量表可以内嵌手绘图形</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支持在移动端提供治疗团队留言及会话功能，增进康复团队对患者的治疗节点整体把控性</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支持在线开展参加康复团队会议及查看会议报告功能，便于康复团队人员进行院内交互</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支持患者康复文书查看功能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支持在移动端新建评估方案时，支持引用历史方案、预设方案和建议方案，便于快速新建方案功能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支持在移动端编辑评估方案指定治疗区、指定评估师功能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支持新建建议方案功能，便于医生在PC端引用功能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22.14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支持评估后量表可以绑定多媒体文件和录制的视频及拍摄的照片功能</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康复移动治疗系统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支持在移动端查看本人当前治疗任务与延期治疗任务功能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支持任务分类统计及治疗师一天的治疗统计功能。可查看每日简报</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支持查看患者就诊信息、患者日程安排、排班查询功能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支持查看康复看板功能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支持编辑、查看、修改患者标志，提示患者特殊情况功能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支持支持确认、在线参加康复团队会议及查看会议报告功能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支持在移动端给治疗团队留言功能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23.8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支持现拍照照片和视频上传</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23.8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2" w:firstLineChars="100"/>
              <w:jc w:val="left"/>
              <w:textAlignment w:val="center"/>
              <w:rPr>
                <w:rFonts w:ascii="仿宋" w:hAnsi="仿宋" w:eastAsia="仿宋" w:cs="宋体"/>
                <w:color w:val="000000"/>
                <w:kern w:val="0"/>
                <w:sz w:val="28"/>
                <w:szCs w:val="28"/>
                <w:lang w:bidi="ar"/>
              </w:rPr>
            </w:pPr>
            <w:r>
              <w:rPr>
                <w:rFonts w:hint="eastAsia" w:ascii="仿宋" w:hAnsi="仿宋" w:eastAsia="仿宋" w:cs="宋体"/>
                <w:spacing w:val="1"/>
                <w:sz w:val="28"/>
                <w:szCs w:val="28"/>
              </w:rPr>
              <w:t>提供</w:t>
            </w:r>
            <w:r>
              <w:rPr>
                <w:rFonts w:ascii="仿宋" w:hAnsi="仿宋" w:eastAsia="仿宋" w:cs="宋体"/>
                <w:spacing w:val="1"/>
                <w:sz w:val="28"/>
                <w:szCs w:val="28"/>
              </w:rPr>
              <w:t>结构化嘱托功能，支</w:t>
            </w:r>
            <w:r>
              <w:rPr>
                <w:rFonts w:ascii="仿宋" w:hAnsi="仿宋" w:eastAsia="仿宋" w:cs="宋体"/>
                <w:spacing w:val="25"/>
                <w:sz w:val="28"/>
                <w:szCs w:val="28"/>
              </w:rPr>
              <w:t>持在移动治疗登记时查</w:t>
            </w:r>
            <w:r>
              <w:rPr>
                <w:rFonts w:ascii="仿宋" w:hAnsi="仿宋" w:eastAsia="仿宋" w:cs="宋体"/>
                <w:spacing w:val="11"/>
                <w:sz w:val="28"/>
                <w:szCs w:val="28"/>
              </w:rPr>
              <w:t>看结构化嘱托内容</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23.9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78" w:firstLineChars="100"/>
              <w:jc w:val="left"/>
              <w:textAlignment w:val="center"/>
              <w:rPr>
                <w:rFonts w:ascii="仿宋" w:hAnsi="仿宋" w:eastAsia="仿宋" w:cs="宋体"/>
                <w:spacing w:val="1"/>
                <w:sz w:val="28"/>
                <w:szCs w:val="28"/>
              </w:rPr>
            </w:pPr>
            <w:r>
              <w:rPr>
                <w:rFonts w:ascii="仿宋" w:hAnsi="仿宋" w:eastAsia="仿宋" w:cs="宋体"/>
                <w:spacing w:val="-1"/>
                <w:sz w:val="28"/>
                <w:szCs w:val="28"/>
              </w:rPr>
              <w:t>支持治疗执行查询，执行</w:t>
            </w:r>
            <w:r>
              <w:rPr>
                <w:rFonts w:ascii="仿宋" w:hAnsi="仿宋" w:eastAsia="仿宋" w:cs="宋体"/>
                <w:spacing w:val="22"/>
                <w:sz w:val="28"/>
                <w:szCs w:val="28"/>
              </w:rPr>
              <w:t>补费操作及补往期治疗</w:t>
            </w:r>
            <w:r>
              <w:rPr>
                <w:rFonts w:ascii="仿宋" w:hAnsi="仿宋" w:eastAsia="仿宋" w:cs="宋体"/>
                <w:spacing w:val="1"/>
                <w:sz w:val="28"/>
                <w:szCs w:val="28"/>
              </w:rPr>
              <w:t>记录、撤销治疗记录、修</w:t>
            </w:r>
            <w:r>
              <w:rPr>
                <w:rFonts w:ascii="仿宋" w:hAnsi="仿宋" w:eastAsia="仿宋" w:cs="宋体"/>
                <w:spacing w:val="12"/>
                <w:sz w:val="28"/>
                <w:szCs w:val="28"/>
              </w:rPr>
              <w:t>改治疗记录功能。</w:t>
            </w:r>
          </w:p>
        </w:tc>
      </w:tr>
      <w:tr>
        <w:tblPrEx>
          <w:tblCellMar>
            <w:top w:w="0" w:type="dxa"/>
            <w:left w:w="108" w:type="dxa"/>
            <w:bottom w:w="0" w:type="dxa"/>
            <w:right w:w="108" w:type="dxa"/>
          </w:tblCellMar>
        </w:tblPrEx>
        <w:trPr>
          <w:trHeight w:val="27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23.10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支持</w:t>
            </w:r>
            <w:r>
              <w:rPr>
                <w:rFonts w:hint="eastAsia" w:ascii="仿宋" w:hAnsi="仿宋" w:eastAsia="仿宋" w:cs="宋体"/>
                <w:kern w:val="0"/>
                <w:sz w:val="28"/>
                <w:szCs w:val="28"/>
                <w:lang w:bidi="ar"/>
              </w:rPr>
              <w:t>高压氧治疗，</w:t>
            </w:r>
            <w:r>
              <w:rPr>
                <w:rFonts w:hint="eastAsia" w:ascii="仿宋" w:hAnsi="仿宋" w:eastAsia="仿宋" w:cstheme="minorEastAsia"/>
                <w:kern w:val="0"/>
                <w:sz w:val="28"/>
                <w:szCs w:val="28"/>
                <w:lang w:bidi="ar"/>
              </w:rPr>
              <w:t>支持高压氧排班项目执行，支持治疗师（护士)通过平板电脑扫描患者腕带或治疗单上二维码的方式完成患者签到</w:t>
            </w:r>
          </w:p>
        </w:tc>
      </w:tr>
      <w:tr>
        <w:tblPrEx>
          <w:tblCellMar>
            <w:top w:w="0" w:type="dxa"/>
            <w:left w:w="108" w:type="dxa"/>
            <w:bottom w:w="0" w:type="dxa"/>
            <w:right w:w="108" w:type="dxa"/>
          </w:tblCellMar>
        </w:tblPrEx>
        <w:trPr>
          <w:trHeight w:val="270" w:hRule="atLeast"/>
        </w:trPr>
        <w:tc>
          <w:tcPr>
            <w:tcW w:w="85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r>
              <w:rPr>
                <w:rFonts w:hint="eastAsia" w:ascii="仿宋" w:hAnsi="仿宋" w:eastAsia="仿宋" w:cs="宋体"/>
                <w:color w:val="000000"/>
                <w:sz w:val="28"/>
                <w:szCs w:val="28"/>
              </w:rPr>
              <w:t>高压氧治疗工作站</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kern w:val="0"/>
                <w:sz w:val="28"/>
                <w:szCs w:val="28"/>
                <w:lang w:bidi="ar"/>
              </w:rPr>
              <w:t>支持高压氧业务参数配置功能</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themeColor="text1"/>
                <w:kern w:val="0"/>
                <w:sz w:val="28"/>
                <w:szCs w:val="28"/>
                <w:lang w:bidi="ar"/>
                <w14:textFill>
                  <w14:solidFill>
                    <w14:schemeClr w14:val="tx1"/>
                  </w14:solidFill>
                </w14:textFill>
              </w:rPr>
              <w:t>支持氧舱管理，可对排舱时段、舱位类型、标记、硬件检测、氧舱运行参数、巡检、操舱记录、舱内记录、患者记录、患者交接基础数据进行维护</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kern w:val="0"/>
                <w:sz w:val="28"/>
                <w:szCs w:val="28"/>
                <w:lang w:bidi="ar"/>
              </w:rPr>
              <w:t>支持高压氧治疗医嘱下达、处理，</w:t>
            </w:r>
            <w:r>
              <w:rPr>
                <w:rFonts w:hint="eastAsia" w:ascii="仿宋" w:hAnsi="仿宋" w:eastAsia="仿宋" w:cstheme="minorEastAsia"/>
                <w:color w:val="000000"/>
                <w:sz w:val="28"/>
                <w:szCs w:val="28"/>
              </w:rPr>
              <w:t>高压氧治疗医嘱附加信息维护功能，支持引用近期方案、历史方案</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支持医嘱下达时选择执行氧舱</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sz w:val="28"/>
                <w:szCs w:val="28"/>
              </w:rPr>
              <w:t>支持高压氧舱内排程和高压氧舱外排程</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kern w:val="0"/>
                <w:sz w:val="28"/>
                <w:szCs w:val="28"/>
                <w:lang w:bidi="ar"/>
              </w:rPr>
              <w:t>支持多种排程方式：以患者为主的</w:t>
            </w:r>
            <w:r>
              <w:rPr>
                <w:rFonts w:hint="eastAsia" w:ascii="仿宋" w:hAnsi="仿宋" w:eastAsia="仿宋" w:cstheme="minorEastAsia"/>
                <w:color w:val="000000"/>
                <w:sz w:val="28"/>
                <w:szCs w:val="28"/>
              </w:rPr>
              <w:t>舱内排</w:t>
            </w:r>
            <w:r>
              <w:rPr>
                <w:rFonts w:hint="eastAsia" w:ascii="仿宋" w:hAnsi="仿宋" w:eastAsia="仿宋" w:cstheme="minorEastAsia"/>
                <w:color w:val="000000"/>
                <w:kern w:val="0"/>
                <w:sz w:val="28"/>
                <w:szCs w:val="28"/>
                <w:lang w:bidi="ar"/>
              </w:rPr>
              <w:t>程方式、以项目为主的</w:t>
            </w:r>
            <w:r>
              <w:rPr>
                <w:rFonts w:hint="eastAsia" w:ascii="仿宋" w:hAnsi="仿宋" w:eastAsia="仿宋" w:cstheme="minorEastAsia"/>
                <w:color w:val="000000"/>
                <w:sz w:val="28"/>
                <w:szCs w:val="28"/>
              </w:rPr>
              <w:t>舱内</w:t>
            </w:r>
            <w:r>
              <w:rPr>
                <w:rFonts w:hint="eastAsia" w:ascii="仿宋" w:hAnsi="仿宋" w:eastAsia="仿宋" w:cstheme="minorEastAsia"/>
                <w:color w:val="000000"/>
                <w:kern w:val="0"/>
                <w:sz w:val="28"/>
                <w:szCs w:val="28"/>
                <w:lang w:bidi="ar"/>
              </w:rPr>
              <w:t>排程方式、以患者为主的</w:t>
            </w:r>
            <w:r>
              <w:rPr>
                <w:rFonts w:hint="eastAsia" w:ascii="仿宋" w:hAnsi="仿宋" w:eastAsia="仿宋" w:cstheme="minorEastAsia"/>
                <w:color w:val="000000"/>
                <w:sz w:val="28"/>
                <w:szCs w:val="28"/>
              </w:rPr>
              <w:t>舱外排</w:t>
            </w:r>
            <w:r>
              <w:rPr>
                <w:rFonts w:hint="eastAsia" w:ascii="仿宋" w:hAnsi="仿宋" w:eastAsia="仿宋" w:cstheme="minorEastAsia"/>
                <w:color w:val="000000"/>
                <w:kern w:val="0"/>
                <w:sz w:val="28"/>
                <w:szCs w:val="28"/>
                <w:lang w:bidi="ar"/>
              </w:rPr>
              <w:t>程方式、以项目为主的</w:t>
            </w:r>
            <w:r>
              <w:rPr>
                <w:rFonts w:hint="eastAsia" w:ascii="仿宋" w:hAnsi="仿宋" w:eastAsia="仿宋" w:cstheme="minorEastAsia"/>
                <w:color w:val="000000"/>
                <w:sz w:val="28"/>
                <w:szCs w:val="28"/>
              </w:rPr>
              <w:t>舱外</w:t>
            </w:r>
            <w:r>
              <w:rPr>
                <w:rFonts w:hint="eastAsia" w:ascii="仿宋" w:hAnsi="仿宋" w:eastAsia="仿宋" w:cstheme="minorEastAsia"/>
                <w:color w:val="000000"/>
                <w:kern w:val="0"/>
                <w:sz w:val="28"/>
                <w:szCs w:val="28"/>
                <w:lang w:bidi="ar"/>
              </w:rPr>
              <w:t>排程方式</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sz w:val="28"/>
                <w:szCs w:val="28"/>
              </w:rPr>
              <w:t>支持高压氧舱外治疗</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sz w:val="28"/>
                <w:szCs w:val="28"/>
              </w:rPr>
              <w:t>支持高压氧排队叫号</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kern w:val="0"/>
                <w:sz w:val="28"/>
                <w:szCs w:val="28"/>
                <w:lang w:bidi="ar"/>
              </w:rPr>
              <w:t>支持患者舱内记录填写，并支持每隔一段时间记录一次</w:t>
            </w:r>
            <w:r>
              <w:rPr>
                <w:rFonts w:hint="eastAsia" w:ascii="仿宋" w:hAnsi="仿宋" w:eastAsia="仿宋" w:cs="宋体"/>
                <w:color w:val="000000"/>
                <w:kern w:val="0"/>
                <w:sz w:val="28"/>
                <w:szCs w:val="28"/>
                <w:lang w:bidi="ar"/>
              </w:rPr>
              <w:t>（</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kern w:val="0"/>
                <w:sz w:val="28"/>
                <w:szCs w:val="28"/>
                <w:lang w:bidi="ar"/>
              </w:rPr>
              <w:t>支持患者三步安检签名及签名查看</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kern w:val="0"/>
                <w:sz w:val="28"/>
                <w:szCs w:val="28"/>
                <w:lang w:bidi="ar"/>
              </w:rPr>
              <w:t>支持患者舱内填写记录查看</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kern w:val="0"/>
                <w:sz w:val="28"/>
                <w:szCs w:val="28"/>
                <w:lang w:bidi="ar"/>
              </w:rPr>
              <w:t>支持患者项目签到，移动端高压氧排班执行项目签到和患者扫码签到</w:t>
            </w:r>
          </w:p>
        </w:tc>
      </w:tr>
      <w:tr>
        <w:tblPrEx>
          <w:tblCellMar>
            <w:top w:w="0" w:type="dxa"/>
            <w:left w:w="108" w:type="dxa"/>
            <w:bottom w:w="0" w:type="dxa"/>
            <w:right w:w="108" w:type="dxa"/>
          </w:tblCellMar>
        </w:tblPrEx>
        <w:trPr>
          <w:trHeight w:val="270" w:hRule="atLeast"/>
        </w:trPr>
        <w:tc>
          <w:tcPr>
            <w:tcW w:w="851"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kern w:val="0"/>
                <w:sz w:val="28"/>
                <w:szCs w:val="28"/>
                <w:lang w:bidi="ar"/>
              </w:rPr>
              <w:t>支持高压氧排班一键删除当前项目的已排班未执行数据</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r>
              <w:rPr>
                <w:rFonts w:ascii="仿宋" w:hAnsi="仿宋" w:eastAsia="仿宋" w:cs="宋体"/>
                <w:color w:val="000000"/>
                <w:kern w:val="0"/>
                <w:sz w:val="28"/>
                <w:szCs w:val="28"/>
                <w:lang w:bidi="ar"/>
              </w:rPr>
              <w:t>4</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kern w:val="0"/>
                <w:sz w:val="28"/>
                <w:szCs w:val="28"/>
                <w:lang w:bidi="ar"/>
              </w:rPr>
              <w:t>支持查询高压氧排班安排情况，可查看安排患者的项目、时间、舱室信息</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r>
              <w:rPr>
                <w:rFonts w:ascii="仿宋" w:hAnsi="仿宋" w:eastAsia="仿宋" w:cs="宋体"/>
                <w:color w:val="000000"/>
                <w:kern w:val="0"/>
                <w:sz w:val="28"/>
                <w:szCs w:val="28"/>
                <w:lang w:bidi="ar"/>
              </w:rPr>
              <w:t>5</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支持可自定义缩放排班界面的患者</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r>
              <w:rPr>
                <w:rFonts w:ascii="仿宋" w:hAnsi="仿宋" w:eastAsia="仿宋" w:cs="宋体"/>
                <w:color w:val="000000"/>
                <w:kern w:val="0"/>
                <w:sz w:val="28"/>
                <w:szCs w:val="28"/>
                <w:lang w:bidi="ar"/>
              </w:rPr>
              <w:t>6</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支持通过时段筛选排舱患者</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r>
              <w:rPr>
                <w:rFonts w:ascii="仿宋" w:hAnsi="仿宋" w:eastAsia="仿宋" w:cs="宋体"/>
                <w:color w:val="000000"/>
                <w:kern w:val="0"/>
                <w:sz w:val="28"/>
                <w:szCs w:val="28"/>
                <w:lang w:bidi="ar"/>
              </w:rPr>
              <w:t>7</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支持标记功能，可对已排班项目进行标记</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r>
              <w:rPr>
                <w:rFonts w:ascii="仿宋" w:hAnsi="仿宋" w:eastAsia="仿宋" w:cs="宋体"/>
                <w:color w:val="000000"/>
                <w:kern w:val="0"/>
                <w:sz w:val="28"/>
                <w:szCs w:val="28"/>
                <w:lang w:bidi="ar"/>
              </w:rPr>
              <w:t>8</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支持对高压氧患者就诊疗效进行记录</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24.1</w:t>
            </w:r>
            <w:r>
              <w:rPr>
                <w:rFonts w:ascii="仿宋" w:hAnsi="仿宋" w:eastAsia="仿宋" w:cs="宋体"/>
                <w:color w:val="000000"/>
                <w:kern w:val="0"/>
                <w:sz w:val="28"/>
                <w:szCs w:val="28"/>
                <w:lang w:bidi="ar"/>
              </w:rPr>
              <w:t>9</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kern w:val="0"/>
                <w:sz w:val="28"/>
                <w:szCs w:val="28"/>
                <w:lang w:bidi="ar"/>
              </w:rPr>
              <w:t>支持患者交接：操舱记录中患者交接标签，可为该患者创建患者交接文书</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w:t>
            </w:r>
            <w:r>
              <w:rPr>
                <w:rFonts w:ascii="仿宋" w:hAnsi="仿宋" w:eastAsia="仿宋" w:cs="宋体"/>
                <w:color w:val="000000"/>
                <w:kern w:val="0"/>
                <w:sz w:val="28"/>
                <w:szCs w:val="28"/>
                <w:lang w:bidi="ar"/>
              </w:rPr>
              <w:t>20</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color w:val="000000" w:themeColor="text1"/>
                <w:sz w:val="28"/>
                <w:szCs w:val="28"/>
                <w14:textFill>
                  <w14:solidFill>
                    <w14:schemeClr w14:val="tx1"/>
                  </w14:solidFill>
                </w14:textFill>
              </w:rPr>
              <w:t>支持高压氧硬件维护配置，设置设备预警值</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w:t>
            </w:r>
            <w:r>
              <w:rPr>
                <w:rFonts w:ascii="仿宋" w:hAnsi="仿宋" w:eastAsia="仿宋" w:cs="宋体"/>
                <w:color w:val="000000"/>
                <w:kern w:val="0"/>
                <w:sz w:val="28"/>
                <w:szCs w:val="28"/>
                <w:lang w:bidi="ar"/>
              </w:rPr>
              <w:t>21</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提供硬件维护记录功能</w:t>
            </w:r>
          </w:p>
        </w:tc>
      </w:tr>
      <w:tr>
        <w:tblPrEx>
          <w:tblCellMar>
            <w:top w:w="0" w:type="dxa"/>
            <w:left w:w="108" w:type="dxa"/>
            <w:bottom w:w="0" w:type="dxa"/>
            <w:right w:w="108" w:type="dxa"/>
          </w:tblCellMar>
        </w:tblPrEx>
        <w:trPr>
          <w:trHeight w:val="270" w:hRule="atLeast"/>
        </w:trPr>
        <w:tc>
          <w:tcPr>
            <w:tcW w:w="851" w:type="dxa"/>
            <w:tcBorders>
              <w:left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w:t>
            </w:r>
            <w:r>
              <w:rPr>
                <w:rFonts w:ascii="仿宋" w:hAnsi="仿宋" w:eastAsia="仿宋" w:cs="宋体"/>
                <w:color w:val="000000"/>
                <w:kern w:val="0"/>
                <w:sz w:val="28"/>
                <w:szCs w:val="28"/>
                <w:lang w:bidi="ar"/>
              </w:rPr>
              <w:t>22</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支持制定高压氧巡检计划</w:t>
            </w:r>
          </w:p>
        </w:tc>
      </w:tr>
      <w:tr>
        <w:tblPrEx>
          <w:tblCellMar>
            <w:top w:w="0" w:type="dxa"/>
            <w:left w:w="108" w:type="dxa"/>
            <w:bottom w:w="0" w:type="dxa"/>
            <w:right w:w="108" w:type="dxa"/>
          </w:tblCellMar>
        </w:tblPrEx>
        <w:trPr>
          <w:trHeight w:val="270" w:hRule="atLeast"/>
        </w:trPr>
        <w:tc>
          <w:tcPr>
            <w:tcW w:w="851" w:type="dxa"/>
            <w:tcBorders>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8"/>
                <w:szCs w:val="2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仿宋" w:hAnsi="仿宋" w:eastAsia="仿宋" w:cs="宋体"/>
                <w:color w:val="000000"/>
                <w:kern w:val="0"/>
                <w:sz w:val="28"/>
                <w:szCs w:val="28"/>
                <w:lang w:bidi="ar"/>
              </w:rPr>
            </w:pPr>
            <w:r>
              <w:rPr>
                <w:rFonts w:hint="eastAsia" w:ascii="仿宋" w:hAnsi="仿宋" w:eastAsia="仿宋" w:cs="宋体"/>
                <w:color w:val="000000"/>
                <w:kern w:val="0"/>
                <w:sz w:val="28"/>
                <w:szCs w:val="28"/>
                <w:lang w:bidi="ar"/>
              </w:rPr>
              <w:t>24.</w:t>
            </w:r>
            <w:r>
              <w:rPr>
                <w:rFonts w:ascii="仿宋" w:hAnsi="仿宋" w:eastAsia="仿宋" w:cs="宋体"/>
                <w:color w:val="000000"/>
                <w:kern w:val="0"/>
                <w:sz w:val="28"/>
                <w:szCs w:val="28"/>
                <w:lang w:bidi="ar"/>
              </w:rPr>
              <w:t>23</w:t>
            </w:r>
          </w:p>
        </w:tc>
        <w:tc>
          <w:tcPr>
            <w:tcW w:w="82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80" w:firstLineChars="100"/>
              <w:jc w:val="left"/>
              <w:textAlignment w:val="center"/>
              <w:rPr>
                <w:rFonts w:ascii="仿宋" w:hAnsi="仿宋" w:eastAsia="仿宋" w:cs="宋体"/>
                <w:color w:val="000000"/>
                <w:kern w:val="0"/>
                <w:sz w:val="28"/>
                <w:szCs w:val="28"/>
                <w:lang w:bidi="ar"/>
              </w:rPr>
            </w:pPr>
            <w:r>
              <w:rPr>
                <w:rFonts w:hint="eastAsia" w:ascii="仿宋" w:hAnsi="仿宋" w:eastAsia="仿宋" w:cstheme="minorEastAsia"/>
                <w:sz w:val="28"/>
                <w:szCs w:val="28"/>
              </w:rPr>
              <w:t>提供系统根据计划自动生成巡检任务，可记录日常维修保养</w:t>
            </w:r>
          </w:p>
        </w:tc>
      </w:tr>
    </w:tbl>
    <w:p>
      <w:pPr>
        <w:pStyle w:val="5"/>
        <w:rPr>
          <w:rFonts w:ascii="仿宋" w:hAnsi="仿宋" w:eastAsia="仿宋"/>
        </w:rPr>
      </w:pPr>
      <w:r>
        <w:rPr>
          <w:rFonts w:hint="eastAsia" w:ascii="仿宋" w:hAnsi="仿宋" w:eastAsia="仿宋"/>
          <w:lang w:val="en-US" w:eastAsia="zh-CN"/>
        </w:rPr>
        <w:t>三、</w:t>
      </w:r>
      <w:r>
        <w:rPr>
          <w:rFonts w:hint="eastAsia" w:ascii="仿宋" w:hAnsi="仿宋" w:eastAsia="仿宋"/>
        </w:rPr>
        <w:t>硬件采购需求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475"/>
        <w:gridCol w:w="2228"/>
        <w:gridCol w:w="728"/>
        <w:gridCol w:w="1477"/>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4" w:type="pct"/>
            <w:vAlign w:val="center"/>
          </w:tcPr>
          <w:p>
            <w:pPr>
              <w:ind w:left="-479" w:leftChars="-228" w:firstLine="476" w:firstLineChars="170"/>
              <w:jc w:val="center"/>
              <w:rPr>
                <w:rFonts w:ascii="仿宋" w:hAnsi="仿宋" w:eastAsia="仿宋" w:cs="宋体"/>
                <w:color w:val="0D0D0D"/>
                <w:sz w:val="28"/>
                <w:szCs w:val="28"/>
              </w:rPr>
            </w:pPr>
            <w:r>
              <w:rPr>
                <w:rFonts w:hint="eastAsia" w:ascii="仿宋" w:hAnsi="仿宋" w:eastAsia="仿宋" w:cs="宋体"/>
                <w:color w:val="0D0D0D"/>
                <w:sz w:val="28"/>
                <w:szCs w:val="28"/>
              </w:rPr>
              <w:t>序号</w:t>
            </w:r>
          </w:p>
        </w:tc>
        <w:tc>
          <w:tcPr>
            <w:tcW w:w="865" w:type="pct"/>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名称</w:t>
            </w:r>
          </w:p>
        </w:tc>
        <w:tc>
          <w:tcPr>
            <w:tcW w:w="1306" w:type="pct"/>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参数配置</w:t>
            </w:r>
          </w:p>
        </w:tc>
        <w:tc>
          <w:tcPr>
            <w:tcW w:w="427" w:type="pct"/>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数量</w:t>
            </w:r>
          </w:p>
        </w:tc>
        <w:tc>
          <w:tcPr>
            <w:tcW w:w="866" w:type="pct"/>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单位</w:t>
            </w:r>
          </w:p>
        </w:tc>
        <w:tc>
          <w:tcPr>
            <w:tcW w:w="862" w:type="pct"/>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1</w:t>
            </w:r>
          </w:p>
        </w:tc>
        <w:tc>
          <w:tcPr>
            <w:tcW w:w="865"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hint="eastAsia" w:ascii="仿宋" w:hAnsi="仿宋" w:eastAsia="仿宋" w:cs="宋体"/>
                <w:color w:val="0D0D0D"/>
                <w:sz w:val="28"/>
                <w:szCs w:val="28"/>
              </w:rPr>
              <w:t>智能手机</w:t>
            </w:r>
          </w:p>
        </w:tc>
        <w:tc>
          <w:tcPr>
            <w:tcW w:w="1306"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系统：安卓10.0或以上系统</w:t>
            </w:r>
          </w:p>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运行内存：4G或以上</w:t>
            </w:r>
          </w:p>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存储：32G以上</w:t>
            </w:r>
          </w:p>
          <w:p>
            <w:pPr>
              <w:textAlignment w:val="center"/>
              <w:rPr>
                <w:rFonts w:ascii="仿宋" w:hAnsi="仿宋" w:eastAsia="仿宋" w:cs="宋体"/>
                <w:color w:val="0D0D0D"/>
                <w:sz w:val="28"/>
                <w:szCs w:val="28"/>
              </w:rPr>
            </w:pPr>
            <w:r>
              <w:rPr>
                <w:rFonts w:hint="eastAsia" w:ascii="仿宋" w:hAnsi="仿宋" w:eastAsia="仿宋" w:cs="宋体"/>
                <w:color w:val="000000"/>
                <w:kern w:val="0"/>
                <w:sz w:val="28"/>
                <w:szCs w:val="28"/>
              </w:rPr>
              <w:t>屏幕尺寸：5英寸以上</w:t>
            </w:r>
          </w:p>
        </w:tc>
        <w:tc>
          <w:tcPr>
            <w:tcW w:w="427"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hint="eastAsia" w:ascii="仿宋" w:hAnsi="仿宋" w:eastAsia="仿宋" w:cs="宋体"/>
                <w:color w:val="0D0D0D"/>
                <w:sz w:val="28"/>
                <w:szCs w:val="28"/>
              </w:rPr>
              <w:t>1</w:t>
            </w:r>
            <w:r>
              <w:rPr>
                <w:rFonts w:ascii="仿宋" w:hAnsi="仿宋" w:eastAsia="仿宋" w:cs="宋体"/>
                <w:color w:val="0D0D0D"/>
                <w:sz w:val="28"/>
                <w:szCs w:val="28"/>
              </w:rPr>
              <w:t>8</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hint="eastAsia" w:ascii="仿宋" w:hAnsi="仿宋" w:eastAsia="仿宋" w:cs="宋体"/>
                <w:color w:val="0D0D0D"/>
                <w:sz w:val="28"/>
                <w:szCs w:val="28"/>
              </w:rPr>
              <w:t>台</w:t>
            </w:r>
          </w:p>
        </w:tc>
        <w:tc>
          <w:tcPr>
            <w:tcW w:w="862"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ascii="仿宋" w:hAnsi="仿宋" w:eastAsia="仿宋" w:cs="宋体"/>
                <w:color w:val="0D0D0D"/>
                <w:sz w:val="28"/>
                <w:szCs w:val="28"/>
              </w:rPr>
              <w:t>用于床旁</w:t>
            </w:r>
            <w:r>
              <w:rPr>
                <w:rFonts w:hint="eastAsia" w:ascii="仿宋" w:hAnsi="仿宋" w:eastAsia="仿宋" w:cs="宋体"/>
                <w:color w:val="0D0D0D"/>
                <w:sz w:val="28"/>
                <w:szCs w:val="28"/>
              </w:rPr>
              <w:t>评估、治疗提交（携带方便）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D0D0D"/>
                <w:sz w:val="28"/>
                <w:szCs w:val="28"/>
              </w:rPr>
            </w:pPr>
            <w:r>
              <w:rPr>
                <w:rFonts w:hint="eastAsia" w:ascii="仿宋" w:hAnsi="仿宋" w:eastAsia="仿宋" w:cs="宋体"/>
                <w:color w:val="0D0D0D"/>
                <w:sz w:val="28"/>
                <w:szCs w:val="28"/>
              </w:rPr>
              <w:t>2</w:t>
            </w:r>
          </w:p>
        </w:tc>
        <w:tc>
          <w:tcPr>
            <w:tcW w:w="865"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hint="eastAsia" w:ascii="仿宋" w:hAnsi="仿宋" w:eastAsia="仿宋" w:cs="宋体"/>
                <w:color w:val="0D0D0D"/>
                <w:sz w:val="28"/>
                <w:szCs w:val="28"/>
              </w:rPr>
              <w:t>平板电脑</w:t>
            </w:r>
          </w:p>
        </w:tc>
        <w:tc>
          <w:tcPr>
            <w:tcW w:w="1306" w:type="pc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系统：安卓10.0或以上系统</w:t>
            </w:r>
          </w:p>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运行内存：4G或以上</w:t>
            </w:r>
          </w:p>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存储：32G以上</w:t>
            </w:r>
          </w:p>
          <w:p>
            <w:pPr>
              <w:textAlignment w:val="center"/>
              <w:rPr>
                <w:rFonts w:ascii="仿宋" w:hAnsi="仿宋" w:eastAsia="仿宋" w:cs="宋体"/>
                <w:color w:val="0D0D0D"/>
                <w:sz w:val="28"/>
                <w:szCs w:val="28"/>
              </w:rPr>
            </w:pPr>
            <w:r>
              <w:rPr>
                <w:rFonts w:hint="eastAsia" w:ascii="仿宋" w:hAnsi="仿宋" w:eastAsia="仿宋" w:cs="宋体"/>
                <w:color w:val="000000"/>
                <w:kern w:val="0"/>
                <w:sz w:val="28"/>
                <w:szCs w:val="28"/>
              </w:rPr>
              <w:t>屏幕尺寸：9英寸以上</w:t>
            </w:r>
          </w:p>
        </w:tc>
        <w:tc>
          <w:tcPr>
            <w:tcW w:w="427"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hint="eastAsia" w:ascii="仿宋" w:hAnsi="仿宋" w:eastAsia="仿宋" w:cs="宋体"/>
                <w:color w:val="0D0D0D"/>
                <w:sz w:val="28"/>
                <w:szCs w:val="28"/>
              </w:rPr>
              <w:t>1</w:t>
            </w:r>
            <w:r>
              <w:rPr>
                <w:rFonts w:ascii="仿宋" w:hAnsi="仿宋" w:eastAsia="仿宋" w:cs="宋体"/>
                <w:color w:val="0D0D0D"/>
                <w:sz w:val="28"/>
                <w:szCs w:val="28"/>
              </w:rPr>
              <w:t>1</w:t>
            </w:r>
          </w:p>
        </w:tc>
        <w:tc>
          <w:tcPr>
            <w:tcW w:w="866"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hint="eastAsia" w:ascii="仿宋" w:hAnsi="仿宋" w:eastAsia="仿宋" w:cs="宋体"/>
                <w:color w:val="0D0D0D"/>
                <w:sz w:val="28"/>
                <w:szCs w:val="28"/>
              </w:rPr>
              <w:t>台</w:t>
            </w:r>
          </w:p>
        </w:tc>
        <w:tc>
          <w:tcPr>
            <w:tcW w:w="862"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宋体"/>
                <w:color w:val="0D0D0D"/>
                <w:sz w:val="28"/>
                <w:szCs w:val="28"/>
              </w:rPr>
            </w:pPr>
            <w:r>
              <w:rPr>
                <w:rFonts w:ascii="仿宋" w:hAnsi="仿宋" w:eastAsia="仿宋" w:cs="宋体"/>
                <w:color w:val="0D0D0D"/>
                <w:sz w:val="28"/>
                <w:szCs w:val="28"/>
              </w:rPr>
              <w:t>用于床旁</w:t>
            </w:r>
            <w:r>
              <w:rPr>
                <w:rFonts w:hint="eastAsia" w:ascii="仿宋" w:hAnsi="仿宋" w:eastAsia="仿宋" w:cs="宋体"/>
                <w:color w:val="0D0D0D"/>
                <w:sz w:val="28"/>
                <w:szCs w:val="28"/>
              </w:rPr>
              <w:t>评估、治疗提交（屏幕大，评估显示清晰）</w:t>
            </w:r>
          </w:p>
        </w:tc>
      </w:tr>
    </w:tbl>
    <w:p>
      <w:pPr>
        <w:tabs>
          <w:tab w:val="left" w:pos="1890"/>
        </w:tabs>
        <w:spacing w:line="360" w:lineRule="auto"/>
        <w:ind w:firstLine="482" w:firstLineChars="200"/>
        <w:rPr>
          <w:rFonts w:ascii="宋体" w:hAnsi="宋体"/>
          <w:b/>
          <w:kern w:val="0"/>
          <w:sz w:val="24"/>
          <w:szCs w:val="24"/>
        </w:rPr>
      </w:pPr>
    </w:p>
    <w:p>
      <w:pPr>
        <w:tabs>
          <w:tab w:val="left" w:pos="1890"/>
        </w:tabs>
        <w:spacing w:line="360" w:lineRule="auto"/>
        <w:ind w:firstLine="482" w:firstLineChars="200"/>
        <w:rPr>
          <w:rFonts w:ascii="宋体" w:hAnsi="宋体"/>
          <w:b/>
          <w:kern w:val="0"/>
          <w:sz w:val="24"/>
          <w:szCs w:val="24"/>
        </w:rPr>
      </w:pPr>
      <w:r>
        <w:rPr>
          <w:rFonts w:hint="eastAsia" w:ascii="宋体" w:hAnsi="宋体"/>
          <w:b/>
          <w:kern w:val="0"/>
          <w:sz w:val="24"/>
          <w:szCs w:val="24"/>
        </w:rPr>
        <w:t>备注</w:t>
      </w:r>
      <w:r>
        <w:rPr>
          <w:rFonts w:ascii="宋体" w:hAnsi="宋体"/>
          <w:b/>
          <w:kern w:val="0"/>
          <w:sz w:val="24"/>
          <w:szCs w:val="24"/>
        </w:rPr>
        <w:t>：</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1.本项目不接受联合体投标。</w:t>
      </w:r>
    </w:p>
    <w:p>
      <w:pPr>
        <w:tabs>
          <w:tab w:val="left" w:pos="1890"/>
        </w:tabs>
        <w:spacing w:line="360" w:lineRule="auto"/>
        <w:ind w:firstLine="480" w:firstLineChars="200"/>
        <w:rPr>
          <w:rFonts w:ascii="宋体" w:hAnsi="宋体"/>
          <w:sz w:val="24"/>
          <w:szCs w:val="24"/>
        </w:rPr>
      </w:pPr>
      <w:r>
        <w:rPr>
          <w:rFonts w:hint="eastAsia" w:ascii="宋体" w:hAnsi="宋体"/>
          <w:sz w:val="24"/>
          <w:szCs w:val="24"/>
        </w:rPr>
        <w:t>2.带“★”号条款为不可偏离条款，响应文件未完全满足询价文件中带“★”号的条款和指标，或非实质性响应有重大偏离的，将导致响应文件无效。</w:t>
      </w:r>
    </w:p>
    <w:p>
      <w:pPr>
        <w:tabs>
          <w:tab w:val="left" w:pos="1890"/>
        </w:tabs>
        <w:spacing w:line="360" w:lineRule="auto"/>
        <w:ind w:firstLine="420" w:firstLineChars="200"/>
      </w:pPr>
    </w:p>
    <w:p>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（一）项目实施要求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项目实施进度要求及控制：要求响应供应商根据项目建设单位的实际情况，科学合理的定出项目集成实施的时间表；对项目实施的进度计划及控制中各阶段中响应供应商所要做的工作及保障措施做出详细安排。</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2、响应供应商应具有健全的项目管理制度和流程，以及合格的项目实施人员，对本项目建设进行全过程质量管理，确保项目实施的顺利。</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（二）项目培训要求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培训是保证项目成功的一个重要手段，因此为了保证系统顺利完成，响应供应商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响应供应商负责。</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对与本项目的相关技术，响应供应商也需要提供必要的手段保证能够将其传授与采购人。与培训相关的费用，响应供应商应当一并计算在投标报价中。</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（三）售后服务要求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1.服务承诺</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（1）响应供应商应有良好的服务理念和完善的售后服务体系，能够提供本地技术服务。质保期：从项目验收通过之日起</w:t>
      </w:r>
      <w:r>
        <w:rPr>
          <w:rFonts w:hint="eastAsia" w:ascii="宋体" w:hAnsi="宋体"/>
          <w:bCs/>
          <w:sz w:val="24"/>
          <w:szCs w:val="24"/>
          <w:lang w:val="en-US" w:eastAsia="zh-CN"/>
        </w:rPr>
        <w:t>不少于</w:t>
      </w:r>
      <w:r>
        <w:rPr>
          <w:rFonts w:hint="eastAsia" w:ascii="宋体" w:hAnsi="宋体"/>
          <w:bCs/>
          <w:sz w:val="24"/>
          <w:szCs w:val="24"/>
        </w:rPr>
        <w:t>1年。质保期内，</w:t>
      </w:r>
      <w:r>
        <w:rPr>
          <w:rFonts w:hint="eastAsia" w:ascii="宋体" w:hAnsi="宋体"/>
          <w:bCs/>
          <w:sz w:val="24"/>
          <w:szCs w:val="24"/>
          <w:lang w:eastAsia="zh-CN"/>
        </w:rPr>
        <w:t>系统</w:t>
      </w:r>
      <w:r>
        <w:rPr>
          <w:rFonts w:hint="eastAsia" w:ascii="宋体" w:hAnsi="宋体"/>
          <w:bCs/>
          <w:sz w:val="24"/>
          <w:szCs w:val="24"/>
          <w:lang w:val="en-US" w:eastAsia="zh-CN"/>
        </w:rPr>
        <w:t>软硬件</w:t>
      </w:r>
      <w:r>
        <w:rPr>
          <w:rFonts w:hint="eastAsia" w:ascii="宋体" w:hAnsi="宋体"/>
          <w:bCs/>
          <w:sz w:val="24"/>
          <w:szCs w:val="24"/>
        </w:rPr>
        <w:t>的升级、维护均免费。</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（2）提供热线电话、传真和Email等多种途径随时回答与项目有关的技术问题，对存在的问题在24小时内提出解决方案。</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（3）定期跟踪和回访使用情况（每</w:t>
      </w:r>
      <w:r>
        <w:rPr>
          <w:rFonts w:hint="eastAsia" w:ascii="宋体" w:hAnsi="宋体"/>
          <w:bCs/>
          <w:sz w:val="24"/>
          <w:szCs w:val="24"/>
          <w:lang w:val="en-US" w:eastAsia="zh-CN"/>
        </w:rPr>
        <w:t>季度</w:t>
      </w:r>
      <w:r>
        <w:rPr>
          <w:rFonts w:hint="eastAsia" w:ascii="宋体" w:hAnsi="宋体"/>
          <w:bCs/>
          <w:sz w:val="24"/>
          <w:szCs w:val="24"/>
        </w:rPr>
        <w:t>至少一次），及时了解存在的问题，并随时给予解决。</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（4）针对本项目，提出完整而切实可行的服务方案。其中，至少应提供7×24小时热线电话、远程网络、现场等服务方式。热线电话和远程网络提供技术咨询和即时服务，</w:t>
      </w:r>
      <w:r>
        <w:rPr>
          <w:rFonts w:hint="eastAsia" w:ascii="宋体" w:hAnsi="宋体"/>
          <w:bCs/>
          <w:sz w:val="24"/>
          <w:szCs w:val="24"/>
          <w:lang w:val="en-US" w:eastAsia="zh-CN"/>
        </w:rPr>
        <w:t>1</w:t>
      </w:r>
      <w:r>
        <w:rPr>
          <w:rFonts w:hint="eastAsia" w:ascii="宋体" w:hAnsi="宋体"/>
          <w:bCs/>
          <w:sz w:val="24"/>
          <w:szCs w:val="24"/>
        </w:rPr>
        <w:t>小时内给予明确的响应并解决；现场服务适用于排解重大故障，应在接到医院服务请求后</w:t>
      </w:r>
      <w:r>
        <w:rPr>
          <w:rFonts w:hint="eastAsia" w:ascii="宋体" w:hAnsi="宋体"/>
          <w:bCs/>
          <w:sz w:val="24"/>
          <w:szCs w:val="24"/>
          <w:lang w:val="en-US" w:eastAsia="zh-CN"/>
        </w:rPr>
        <w:t>24</w:t>
      </w:r>
      <w:r>
        <w:rPr>
          <w:rFonts w:hint="eastAsia" w:ascii="宋体" w:hAnsi="宋体"/>
          <w:bCs/>
          <w:sz w:val="24"/>
          <w:szCs w:val="24"/>
        </w:rPr>
        <w:t>小时内到达现场解决。</w:t>
      </w:r>
    </w:p>
    <w:p>
      <w:pPr>
        <w:widowControl/>
        <w:spacing w:line="360" w:lineRule="auto"/>
        <w:ind w:firstLine="480" w:firstLineChars="200"/>
        <w:jc w:val="left"/>
        <w:rPr>
          <w:rFonts w:hint="eastAsia" w:ascii="宋体" w:hAnsi="宋体"/>
          <w:bCs/>
          <w:sz w:val="24"/>
          <w:szCs w:val="24"/>
        </w:rPr>
      </w:pPr>
      <w:r>
        <w:rPr>
          <w:rFonts w:hint="eastAsia" w:ascii="宋体" w:hAnsi="宋体" w:eastAsia="宋体" w:cs="宋体"/>
          <w:bCs/>
          <w:sz w:val="24"/>
          <w:szCs w:val="24"/>
        </w:rPr>
        <w:t>▲</w:t>
      </w:r>
      <w:r>
        <w:rPr>
          <w:rFonts w:hint="eastAsia" w:ascii="宋体" w:hAnsi="宋体"/>
          <w:bCs/>
          <w:sz w:val="24"/>
          <w:szCs w:val="24"/>
        </w:rPr>
        <w:t>（5）质保期过后，响应供应商应提供系统</w:t>
      </w:r>
      <w:r>
        <w:rPr>
          <w:rFonts w:hint="eastAsia" w:ascii="宋体" w:hAnsi="宋体"/>
          <w:bCs/>
          <w:sz w:val="24"/>
          <w:szCs w:val="24"/>
          <w:lang w:val="en-US" w:eastAsia="zh-CN"/>
        </w:rPr>
        <w:t>软硬件</w:t>
      </w:r>
      <w:r>
        <w:rPr>
          <w:rFonts w:hint="eastAsia" w:ascii="宋体" w:hAnsi="宋体"/>
          <w:bCs/>
          <w:sz w:val="24"/>
          <w:szCs w:val="24"/>
        </w:rPr>
        <w:t>终身维护和服务，具体维护费用由采购人和响应供应商通过合同或协议商定，但</w:t>
      </w:r>
      <w:r>
        <w:rPr>
          <w:rFonts w:hint="eastAsia" w:ascii="宋体" w:hAnsi="宋体"/>
          <w:bCs/>
          <w:sz w:val="24"/>
          <w:szCs w:val="24"/>
          <w:lang w:val="en-US" w:eastAsia="zh-CN"/>
        </w:rPr>
        <w:t>每年应</w:t>
      </w:r>
      <w:r>
        <w:rPr>
          <w:rFonts w:hint="eastAsia" w:ascii="宋体" w:hAnsi="宋体"/>
          <w:bCs/>
          <w:sz w:val="24"/>
          <w:szCs w:val="24"/>
        </w:rPr>
        <w:t>不超过总投资费用的</w:t>
      </w:r>
      <w:r>
        <w:rPr>
          <w:rFonts w:hint="eastAsia" w:ascii="宋体" w:hAnsi="宋体"/>
          <w:bCs/>
          <w:sz w:val="24"/>
          <w:szCs w:val="24"/>
          <w:lang w:val="en-US" w:eastAsia="zh-CN"/>
        </w:rPr>
        <w:t>8</w:t>
      </w:r>
      <w:r>
        <w:rPr>
          <w:rFonts w:hint="eastAsia" w:ascii="宋体" w:hAnsi="宋体"/>
          <w:bCs/>
          <w:sz w:val="24"/>
          <w:szCs w:val="24"/>
        </w:rPr>
        <w:t>%。</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2.解决问题、排除故障响应时限要求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（1）在实施期内（即系统终验合格前），有常驻的服务人员，保障系统的正常运行，在出现故障时及时响应。</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2）在实施结束后，影响系统正常运行的故障响应时间不得超过1小时。对于电话咨询无法解决的问题，经采购人信息中心授权通过远程登录到网络系统进行的故障诊断和排除。远程登录也未能排除故障的，安排后备支撑团队人员提供上门服务。</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（3）在免费维护期内，在出现故障时响应时间不得超过1小时；免费服务期过后，出现故障时工程师</w:t>
      </w:r>
      <w:r>
        <w:rPr>
          <w:rFonts w:hint="eastAsia" w:ascii="宋体" w:hAnsi="宋体"/>
          <w:bCs/>
          <w:sz w:val="24"/>
          <w:szCs w:val="24"/>
          <w:lang w:val="en-US" w:eastAsia="zh-CN"/>
        </w:rPr>
        <w:t>响</w:t>
      </w:r>
      <w:r>
        <w:rPr>
          <w:rFonts w:hint="eastAsia" w:ascii="宋体" w:hAnsi="宋体"/>
          <w:bCs/>
          <w:sz w:val="24"/>
          <w:szCs w:val="24"/>
        </w:rPr>
        <w:t>应时间不得超过1小时；解决不了的技术问题，响应供应商安排后备支撑团队支持，响应时间不得超过24小时。</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3.数据安全要求</w:t>
      </w:r>
    </w:p>
    <w:p>
      <w:pPr>
        <w:widowControl/>
        <w:spacing w:line="360" w:lineRule="auto"/>
        <w:ind w:firstLine="480" w:firstLineChars="200"/>
        <w:jc w:val="left"/>
        <w:rPr>
          <w:rFonts w:hint="eastAsia" w:ascii="宋体" w:hAnsi="宋体"/>
          <w:bCs/>
          <w:sz w:val="24"/>
          <w:szCs w:val="24"/>
        </w:rPr>
      </w:pPr>
      <w:r>
        <w:rPr>
          <w:rFonts w:hint="eastAsia" w:ascii="宋体" w:hAnsi="宋体"/>
          <w:bCs/>
          <w:sz w:val="24"/>
          <w:szCs w:val="24"/>
        </w:rPr>
        <w:t>因建设本项目会涉及到医院信息系统数据，系统设计所涉及到的数据、需求图表等知识产权归采购人所有，未经采购人允许，不得将系统数据、需求等知识产权进行对外宣传。</w:t>
      </w:r>
    </w:p>
    <w:p>
      <w:pPr>
        <w:pStyle w:val="19"/>
        <w:numPr>
          <w:ilvl w:val="0"/>
          <w:numId w:val="3"/>
        </w:num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报价要求</w:t>
      </w:r>
    </w:p>
    <w:p>
      <w:pPr>
        <w:pStyle w:val="19"/>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w:t>
      </w:r>
      <w:bookmarkStart w:id="10" w:name="_GoBack"/>
      <w:bookmarkEnd w:id="10"/>
      <w:r>
        <w:rPr>
          <w:rFonts w:hint="eastAsia" w:ascii="宋体" w:hAnsi="宋体" w:cs="宋体"/>
        </w:rPr>
        <w:t>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pStyle w:val="8"/>
        <w:spacing w:line="440" w:lineRule="auto"/>
        <w:ind w:firstLine="0" w:firstLineChars="0"/>
        <w:rPr>
          <w:rFonts w:ascii="宋体" w:hAnsi="宋体" w:eastAsia="宋体" w:cs="仿宋"/>
          <w:sz w:val="24"/>
          <w:szCs w:val="24"/>
          <w:u w:val="single"/>
        </w:rPr>
      </w:pPr>
    </w:p>
    <w:p>
      <w:pPr>
        <w:pStyle w:val="8"/>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9"/>
        <w:spacing w:line="440" w:lineRule="auto"/>
        <w:ind w:firstLine="1687" w:firstLineChars="700"/>
        <w:rPr>
          <w:rFonts w:hAnsi="宋体" w:cs="仿宋"/>
          <w:b/>
          <w:szCs w:val="24"/>
        </w:rPr>
      </w:pPr>
      <w:r>
        <w:rPr>
          <w:rFonts w:hint="eastAsia" w:hAnsi="宋体" w:cs="仿宋"/>
          <w:b/>
          <w:szCs w:val="24"/>
        </w:rPr>
        <w:t>项目编号：</w:t>
      </w:r>
    </w:p>
    <w:p>
      <w:pPr>
        <w:pStyle w:val="9"/>
        <w:spacing w:line="440" w:lineRule="auto"/>
        <w:ind w:firstLine="1687" w:firstLineChars="7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28"/>
        <w:ind w:firstLine="480"/>
        <w:rPr>
          <w:rFonts w:ascii="宋体" w:hAnsi="宋体"/>
        </w:rPr>
      </w:pPr>
      <w:r>
        <w:rPr>
          <w:rFonts w:hint="eastAsia" w:ascii="宋体" w:hAnsi="宋体" w:cs="宋体"/>
        </w:rPr>
        <w:br w:type="page"/>
      </w:r>
    </w:p>
    <w:p>
      <w:pPr>
        <w:pStyle w:val="28"/>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二．关于资格的声明函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0" w:name="_Toc202816997"/>
      <w:bookmarkStart w:id="1" w:name="_Toc202252035"/>
      <w:bookmarkStart w:id="2" w:name="_Toc202820352"/>
      <w:bookmarkStart w:id="3" w:name="_Toc202251701"/>
      <w:bookmarkStart w:id="4" w:name="_Toc202819879"/>
      <w:bookmarkStart w:id="5" w:name="_Toc31980"/>
      <w:bookmarkStart w:id="6" w:name="_Toc395800949"/>
      <w:bookmarkStart w:id="7" w:name="_Toc202251076"/>
      <w:bookmarkStart w:id="8"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0"/>
    <w:bookmarkEnd w:id="1"/>
    <w:bookmarkEnd w:id="2"/>
    <w:bookmarkEnd w:id="3"/>
    <w:bookmarkEnd w:id="4"/>
    <w:bookmarkEnd w:id="5"/>
    <w:bookmarkEnd w:id="6"/>
    <w:bookmarkEnd w:id="7"/>
    <w:bookmarkEnd w:id="8"/>
    <w:p>
      <w:pPr>
        <w:jc w:val="left"/>
        <w:outlineLvl w:val="1"/>
        <w:rPr>
          <w:rFonts w:ascii="宋体" w:hAnsi="宋体" w:cs="仿宋"/>
          <w:b/>
        </w:rPr>
      </w:pPr>
      <w:bookmarkStart w:id="9" w:name="_Toc6273"/>
      <w:r>
        <w:rPr>
          <w:rFonts w:hint="eastAsia" w:ascii="宋体" w:hAnsi="宋体" w:cs="仿宋"/>
          <w:b/>
        </w:rPr>
        <w:t>三、拟提供产品技术参数（参照用户需求书的需求一览表内容提供产品的详细的技术参数）</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center"/>
        <w:outlineLvl w:val="1"/>
        <w:rPr>
          <w:rFonts w:ascii="宋体" w:hAnsi="宋体" w:cs="仿宋"/>
          <w:b/>
        </w:rPr>
      </w:pPr>
      <w:r>
        <w:rPr>
          <w:rFonts w:hint="eastAsia" w:ascii="宋体" w:hAnsi="宋体" w:cs="仿宋"/>
          <w:b/>
        </w:rPr>
        <w:t>四、商务部分</w:t>
      </w:r>
      <w:r>
        <w:rPr>
          <w:rFonts w:ascii="宋体" w:hAnsi="宋体" w:cs="仿宋"/>
          <w:b/>
        </w:rPr>
        <w:t xml:space="preserve"> </w:t>
      </w:r>
    </w:p>
    <w:p>
      <w:pPr>
        <w:pStyle w:val="36"/>
        <w:ind w:firstLine="0" w:firstLineChars="0"/>
        <w:rPr>
          <w:rFonts w:ascii="宋体" w:hAnsi="宋体" w:cs="仿宋"/>
          <w:b/>
          <w:spacing w:val="0"/>
          <w:kern w:val="2"/>
        </w:rPr>
      </w:pPr>
      <w:r>
        <w:rPr>
          <w:rFonts w:ascii="宋体" w:hAnsi="宋体" w:cs="仿宋"/>
          <w:b/>
          <w:spacing w:val="0"/>
          <w:kern w:val="2"/>
        </w:rPr>
        <w:t>4</w:t>
      </w:r>
      <w:r>
        <w:rPr>
          <w:rFonts w:hint="eastAsia" w:ascii="宋体" w:hAnsi="宋体" w:cs="仿宋"/>
          <w:b/>
          <w:spacing w:val="0"/>
          <w:kern w:val="2"/>
        </w:rPr>
        <w:t>.1同类项目业绩介绍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5"/>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pStyle w:val="36"/>
        <w:ind w:firstLine="0" w:firstLineChars="0"/>
        <w:rPr>
          <w:rFonts w:ascii="宋体" w:hAnsi="宋体" w:cs="仿宋"/>
          <w:b/>
          <w:spacing w:val="0"/>
          <w:kern w:val="2"/>
        </w:rPr>
      </w:pPr>
      <w:r>
        <w:rPr>
          <w:rFonts w:ascii="宋体" w:hAnsi="宋体" w:cs="仿宋"/>
          <w:b/>
          <w:spacing w:val="0"/>
          <w:kern w:val="2"/>
          <w:lang w:val="en-GB"/>
        </w:rPr>
        <w:t>4.2</w:t>
      </w:r>
      <w:r>
        <w:rPr>
          <w:rFonts w:hint="eastAsia" w:ascii="宋体" w:hAnsi="宋体" w:cs="仿宋"/>
          <w:b/>
          <w:spacing w:val="0"/>
          <w:kern w:val="2"/>
        </w:rPr>
        <w:t>履约进度计划表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6"/>
        <w:ind w:firstLine="0" w:firstLineChars="0"/>
        <w:rPr>
          <w:rFonts w:ascii="宋体" w:hAnsi="宋体" w:cs="仿宋"/>
          <w:b/>
          <w:spacing w:val="0"/>
          <w:kern w:val="2"/>
          <w:lang w:val="en-GB"/>
        </w:rPr>
      </w:pPr>
    </w:p>
    <w:p>
      <w:pPr>
        <w:widowControl/>
        <w:jc w:val="left"/>
        <w:rPr>
          <w:rFonts w:ascii="宋体" w:hAnsi="宋体" w:cs="仿宋"/>
          <w:b/>
          <w:lang w:val="en-GB"/>
        </w:rPr>
      </w:pPr>
      <w:r>
        <w:rPr>
          <w:rFonts w:hint="eastAsia" w:ascii="宋体" w:hAnsi="宋体" w:cs="仿宋"/>
          <w:b/>
          <w:lang w:val="en-GB"/>
        </w:rPr>
        <w:t>3.4商务条款</w:t>
      </w:r>
      <w:r>
        <w:rPr>
          <w:rFonts w:ascii="宋体" w:hAnsi="宋体" w:cs="仿宋"/>
          <w:b/>
          <w:lang w:val="en-GB"/>
        </w:rPr>
        <w:t>响应情况</w:t>
      </w:r>
    </w:p>
    <w:p>
      <w:pPr>
        <w:pStyle w:val="36"/>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4"/>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36"/>
        <w:ind w:firstLine="0" w:firstLineChars="0"/>
        <w:rPr>
          <w:rFonts w:ascii="宋体" w:hAnsi="宋体" w:cs="仿宋"/>
          <w:b/>
          <w:spacing w:val="0"/>
          <w:kern w:val="2"/>
          <w:lang w:val="en-GB"/>
        </w:rPr>
      </w:pP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9"/>
    <w:p>
      <w:pPr>
        <w:jc w:val="center"/>
        <w:outlineLvl w:val="1"/>
        <w:rPr>
          <w:rFonts w:ascii="宋体" w:hAnsi="宋体" w:cs="仿宋"/>
          <w:b/>
        </w:rPr>
      </w:pPr>
      <w:r>
        <w:rPr>
          <w:rFonts w:hint="eastAsia" w:ascii="宋体" w:hAnsi="宋体" w:cs="仿宋"/>
          <w:b/>
        </w:rPr>
        <w:t>四、价格部分</w:t>
      </w:r>
    </w:p>
    <w:p>
      <w:pPr>
        <w:jc w:val="center"/>
        <w:rPr>
          <w:rFonts w:ascii="宋体" w:hAnsi="宋体" w:cs="仿宋"/>
          <w:b/>
          <w:bCs/>
        </w:rPr>
      </w:pPr>
      <w:r>
        <w:rPr>
          <w:rFonts w:hint="eastAsia" w:ascii="宋体" w:hAnsi="宋体" w:cs="仿宋"/>
          <w:b/>
          <w:bCs/>
        </w:rPr>
        <w:t>报价一览表</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19"/>
        <w:rPr>
          <w:rFonts w:ascii="宋体" w:hAnsi="宋体" w:cs="仿宋"/>
        </w:rPr>
      </w:pPr>
    </w:p>
    <w:p>
      <w:pPr>
        <w:pStyle w:val="19"/>
        <w:rPr>
          <w:rFonts w:ascii="宋体" w:hAnsi="宋体" w:cs="仿宋"/>
        </w:rPr>
      </w:pPr>
    </w:p>
    <w:p>
      <w:pPr>
        <w:pStyle w:val="19"/>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4"/>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1FD9"/>
    <w:multiLevelType w:val="singleLevel"/>
    <w:tmpl w:val="91B11FD9"/>
    <w:lvl w:ilvl="0" w:tentative="0">
      <w:start w:val="4"/>
      <w:numFmt w:val="chineseCounting"/>
      <w:suff w:val="nothing"/>
      <w:lvlText w:val="（%1）"/>
      <w:lvlJc w:val="left"/>
      <w:rPr>
        <w:rFonts w:hint="eastAsia"/>
      </w:rPr>
    </w:lvl>
  </w:abstractNum>
  <w:abstractNum w:abstractNumId="1">
    <w:nsid w:val="3288C6B2"/>
    <w:multiLevelType w:val="singleLevel"/>
    <w:tmpl w:val="3288C6B2"/>
    <w:lvl w:ilvl="0" w:tentative="0">
      <w:start w:val="1"/>
      <w:numFmt w:val="chineseCounting"/>
      <w:suff w:val="nothing"/>
      <w:lvlText w:val="%1、"/>
      <w:lvlJc w:val="left"/>
      <w:rPr>
        <w:rFonts w:hint="eastAsia"/>
      </w:rPr>
    </w:lvl>
  </w:abstractNum>
  <w:abstractNum w:abstractNumId="2">
    <w:nsid w:val="66CA0DCA"/>
    <w:multiLevelType w:val="multilevel"/>
    <w:tmpl w:val="66CA0DCA"/>
    <w:lvl w:ilvl="0" w:tentative="0">
      <w:start w:val="1"/>
      <w:numFmt w:val="bullet"/>
      <w:pStyle w:val="38"/>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23D87429"/>
    <w:rsid w:val="29E028A9"/>
    <w:rsid w:val="3ED94930"/>
    <w:rsid w:val="6BAA3311"/>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lang w:val="zh-CN" w:eastAsia="zh-CN"/>
    </w:rPr>
  </w:style>
  <w:style w:type="paragraph" w:styleId="5">
    <w:name w:val="heading 2"/>
    <w:basedOn w:val="1"/>
    <w:next w:val="1"/>
    <w:link w:val="42"/>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3"/>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2"/>
    <w:basedOn w:val="1"/>
    <w:next w:val="1"/>
    <w:unhideWhenUsed/>
    <w:qFormat/>
    <w:uiPriority w:val="39"/>
    <w:pPr>
      <w:ind w:left="240"/>
      <w:jc w:val="left"/>
    </w:pPr>
    <w:rPr>
      <w:rFonts w:ascii="Calibri" w:hAnsi="Calibri" w:cs="Calibri"/>
      <w:smallCaps/>
      <w:sz w:val="20"/>
      <w:szCs w:val="20"/>
    </w:rPr>
  </w:style>
  <w:style w:type="paragraph" w:styleId="7">
    <w:name w:val="caption"/>
    <w:basedOn w:val="1"/>
    <w:next w:val="1"/>
    <w:qFormat/>
    <w:uiPriority w:val="35"/>
    <w:rPr>
      <w:rFonts w:ascii="Cambria" w:hAnsi="Cambria" w:eastAsia="黑体"/>
      <w:sz w:val="20"/>
      <w:szCs w:val="20"/>
    </w:rPr>
  </w:style>
  <w:style w:type="paragraph" w:styleId="8">
    <w:name w:val="Body Text Indent"/>
    <w:basedOn w:val="1"/>
    <w:link w:val="25"/>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9">
    <w:name w:val="Plain Text"/>
    <w:basedOn w:val="1"/>
    <w:link w:val="22"/>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30"/>
    <w:unhideWhenUsed/>
    <w:qFormat/>
    <w:uiPriority w:val="99"/>
    <w:rPr>
      <w:kern w:val="0"/>
      <w:sz w:val="18"/>
      <w:szCs w:val="18"/>
      <w:lang w:val="zh-CN" w:eastAsia="zh-CN"/>
    </w:rPr>
  </w:style>
  <w:style w:type="paragraph" w:styleId="11">
    <w:name w:val="footer"/>
    <w:basedOn w:val="1"/>
    <w:link w:val="32"/>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5">
    <w:name w:val="Table Grid"/>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rPr>
  </w:style>
  <w:style w:type="character" w:styleId="18">
    <w:name w:val="Hyperlink"/>
    <w:unhideWhenUsed/>
    <w:qFormat/>
    <w:uiPriority w:val="99"/>
    <w:rPr>
      <w:color w:val="0563C1"/>
      <w:u w:val="single"/>
    </w:rPr>
  </w:style>
  <w:style w:type="paragraph" w:customStyle="1" w:styleId="19">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0">
    <w:name w:val="页脚 Char"/>
    <w:qFormat/>
    <w:uiPriority w:val="0"/>
    <w:rPr>
      <w:rFonts w:eastAsia="宋体"/>
      <w:kern w:val="2"/>
      <w:sz w:val="18"/>
      <w:szCs w:val="18"/>
      <w:lang w:val="en-US" w:eastAsia="zh-CN" w:bidi="ar-SA"/>
    </w:rPr>
  </w:style>
  <w:style w:type="character" w:customStyle="1" w:styleId="21">
    <w:name w:val="fontstyle01"/>
    <w:qFormat/>
    <w:uiPriority w:val="0"/>
    <w:rPr>
      <w:rFonts w:hint="eastAsia" w:ascii="宋体" w:hAnsi="宋体" w:eastAsia="宋体"/>
      <w:color w:val="000000"/>
      <w:sz w:val="28"/>
      <w:szCs w:val="28"/>
    </w:rPr>
  </w:style>
  <w:style w:type="character" w:customStyle="1" w:styleId="22">
    <w:name w:val="纯文本 字符"/>
    <w:link w:val="9"/>
    <w:qFormat/>
    <w:uiPriority w:val="99"/>
    <w:rPr>
      <w:rFonts w:ascii="宋体" w:hAnsi="Courier New" w:eastAsia="宋体" w:cs="Courier New"/>
      <w:sz w:val="24"/>
      <w:szCs w:val="21"/>
    </w:rPr>
  </w:style>
  <w:style w:type="character" w:customStyle="1" w:styleId="23">
    <w:name w:val="列表段落 字符"/>
    <w:link w:val="24"/>
    <w:qFormat/>
    <w:locked/>
    <w:uiPriority w:val="34"/>
    <w:rPr>
      <w:rFonts w:ascii="Calibri" w:hAnsi="Calibri" w:eastAsia="宋体" w:cs="Times New Roman"/>
    </w:rPr>
  </w:style>
  <w:style w:type="paragraph" w:styleId="24">
    <w:name w:val="List Paragraph"/>
    <w:basedOn w:val="1"/>
    <w:link w:val="23"/>
    <w:qFormat/>
    <w:uiPriority w:val="34"/>
    <w:pPr>
      <w:ind w:firstLine="420" w:firstLineChars="200"/>
    </w:pPr>
    <w:rPr>
      <w:kern w:val="0"/>
      <w:sz w:val="20"/>
      <w:szCs w:val="20"/>
      <w:lang w:val="zh-CN" w:eastAsia="zh-CN"/>
    </w:rPr>
  </w:style>
  <w:style w:type="character" w:customStyle="1" w:styleId="25">
    <w:name w:val="正文文本缩进 字符"/>
    <w:link w:val="8"/>
    <w:qFormat/>
    <w:uiPriority w:val="99"/>
    <w:rPr>
      <w:rFonts w:ascii="仿宋_GB2312" w:hAnsi="Times New Roman" w:eastAsia="仿宋_GB2312" w:cs="Times New Roman"/>
      <w:sz w:val="32"/>
      <w:szCs w:val="20"/>
    </w:rPr>
  </w:style>
  <w:style w:type="character" w:customStyle="1" w:styleId="26">
    <w:name w:val="页眉 字符"/>
    <w:link w:val="12"/>
    <w:qFormat/>
    <w:uiPriority w:val="99"/>
    <w:rPr>
      <w:sz w:val="18"/>
      <w:szCs w:val="18"/>
    </w:rPr>
  </w:style>
  <w:style w:type="character" w:customStyle="1" w:styleId="27">
    <w:name w:val="1J Char"/>
    <w:link w:val="28"/>
    <w:qFormat/>
    <w:uiPriority w:val="0"/>
    <w:rPr>
      <w:rFonts w:eastAsia="宋体"/>
      <w:b/>
      <w:sz w:val="24"/>
      <w:szCs w:val="24"/>
    </w:rPr>
  </w:style>
  <w:style w:type="paragraph" w:customStyle="1" w:styleId="28">
    <w:name w:val="1J"/>
    <w:basedOn w:val="1"/>
    <w:link w:val="27"/>
    <w:qFormat/>
    <w:uiPriority w:val="0"/>
    <w:pPr>
      <w:jc w:val="center"/>
    </w:pPr>
    <w:rPr>
      <w:b/>
      <w:kern w:val="0"/>
      <w:sz w:val="24"/>
      <w:szCs w:val="24"/>
      <w:lang w:val="zh-CN" w:eastAsia="zh-CN"/>
    </w:rPr>
  </w:style>
  <w:style w:type="character" w:customStyle="1" w:styleId="29">
    <w:name w:val="fontstyle31"/>
    <w:qFormat/>
    <w:uiPriority w:val="0"/>
    <w:rPr>
      <w:rFonts w:hint="default" w:ascii="Calibri" w:hAnsi="Calibri"/>
      <w:color w:val="000000"/>
      <w:sz w:val="22"/>
      <w:szCs w:val="22"/>
    </w:rPr>
  </w:style>
  <w:style w:type="character" w:customStyle="1" w:styleId="30">
    <w:name w:val="批注框文本 字符"/>
    <w:link w:val="10"/>
    <w:semiHidden/>
    <w:qFormat/>
    <w:uiPriority w:val="99"/>
    <w:rPr>
      <w:sz w:val="18"/>
      <w:szCs w:val="18"/>
    </w:rPr>
  </w:style>
  <w:style w:type="character" w:customStyle="1" w:styleId="31">
    <w:name w:val="fontstyle21"/>
    <w:qFormat/>
    <w:uiPriority w:val="0"/>
    <w:rPr>
      <w:rFonts w:hint="default" w:ascii="TimesNewRomanPSMT" w:hAnsi="TimesNewRomanPSMT"/>
      <w:color w:val="000000"/>
      <w:sz w:val="18"/>
      <w:szCs w:val="18"/>
    </w:rPr>
  </w:style>
  <w:style w:type="character" w:customStyle="1" w:styleId="32">
    <w:name w:val="页脚 字符"/>
    <w:link w:val="11"/>
    <w:qFormat/>
    <w:uiPriority w:val="99"/>
    <w:rPr>
      <w:sz w:val="18"/>
      <w:szCs w:val="18"/>
    </w:rPr>
  </w:style>
  <w:style w:type="character" w:customStyle="1" w:styleId="33">
    <w:name w:val="标题 3 字符"/>
    <w:link w:val="6"/>
    <w:qFormat/>
    <w:uiPriority w:val="9"/>
    <w:rPr>
      <w:rFonts w:ascii="Times New Roman" w:hAnsi="Times New Roman" w:eastAsia="宋体" w:cs="Times New Roman"/>
      <w:b/>
      <w:kern w:val="0"/>
      <w:sz w:val="28"/>
      <w:szCs w:val="20"/>
    </w:rPr>
  </w:style>
  <w:style w:type="paragraph" w:customStyle="1" w:styleId="34">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6">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7">
    <w:name w:val="列表段落1"/>
    <w:basedOn w:val="1"/>
    <w:qFormat/>
    <w:uiPriority w:val="0"/>
    <w:pPr>
      <w:ind w:firstLine="420" w:firstLineChars="200"/>
    </w:pPr>
    <w:rPr>
      <w:rFonts w:ascii="Times New Roman" w:hAnsi="Times New Roman"/>
      <w:sz w:val="28"/>
      <w:szCs w:val="24"/>
    </w:rPr>
  </w:style>
  <w:style w:type="paragraph" w:customStyle="1" w:styleId="38">
    <w:name w:val="编号1"/>
    <w:basedOn w:val="1"/>
    <w:qFormat/>
    <w:uiPriority w:val="0"/>
    <w:pPr>
      <w:numPr>
        <w:ilvl w:val="0"/>
        <w:numId w:val="1"/>
      </w:numPr>
    </w:pPr>
    <w:rPr>
      <w:rFonts w:ascii="Times New Roman" w:hAnsi="Times New Roman"/>
      <w:szCs w:val="24"/>
    </w:rPr>
  </w:style>
  <w:style w:type="character" w:customStyle="1" w:styleId="39">
    <w:name w:val="标题 1 字符"/>
    <w:link w:val="4"/>
    <w:qFormat/>
    <w:uiPriority w:val="9"/>
    <w:rPr>
      <w:b/>
      <w:bCs/>
      <w:kern w:val="44"/>
      <w:sz w:val="44"/>
      <w:szCs w:val="44"/>
    </w:rPr>
  </w:style>
  <w:style w:type="character" w:customStyle="1" w:styleId="40">
    <w:name w:val="Unresolved Mention"/>
    <w:semiHidden/>
    <w:unhideWhenUsed/>
    <w:qFormat/>
    <w:uiPriority w:val="99"/>
    <w:rPr>
      <w:color w:val="605E5C"/>
      <w:shd w:val="clear" w:color="auto" w:fill="E1DFDD"/>
    </w:rPr>
  </w:style>
  <w:style w:type="paragraph" w:customStyle="1" w:styleId="41">
    <w:name w:val="列出段落1"/>
    <w:basedOn w:val="1"/>
    <w:qFormat/>
    <w:uiPriority w:val="34"/>
    <w:pPr>
      <w:ind w:firstLine="420" w:firstLineChars="200"/>
    </w:pPr>
  </w:style>
  <w:style w:type="character" w:customStyle="1" w:styleId="42">
    <w:name w:val="标题 2 字符"/>
    <w:link w:val="5"/>
    <w:semiHidden/>
    <w:qFormat/>
    <w:uiPriority w:val="9"/>
    <w:rPr>
      <w:rFonts w:ascii="等线 Light" w:hAnsi="等线 Light" w:eastAsia="等线 Light" w:cs="Times New Roman"/>
      <w:b/>
      <w:bCs/>
      <w:kern w:val="2"/>
      <w:sz w:val="32"/>
      <w:szCs w:val="32"/>
    </w:rPr>
  </w:style>
  <w:style w:type="table" w:customStyle="1" w:styleId="43">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5">
    <w:name w:val="投标正文小四"/>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11</TotalTime>
  <ScaleCrop>false</ScaleCrop>
  <LinksUpToDate>false</LinksUpToDate>
  <CharactersWithSpaces>9911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2019-05-06T07:16:00Z</cp:lastPrinted>
  <dcterms:modified xsi:type="dcterms:W3CDTF">2023-11-08T02:58:37Z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CE062A6250F34380BD24A960F6D31AAE</vt:lpwstr>
  </property>
</Properties>
</file>