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hint="eastAsia" w:ascii="方正小标宋简体" w:hAnsi="宋体" w:eastAsia="方正小标宋简体"/>
          <w:b/>
          <w:bCs/>
          <w:kern w:val="0"/>
          <w:sz w:val="52"/>
          <w:szCs w:val="52"/>
          <w:lang w:val="en-US" w:eastAsia="zh-CN"/>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手术麻醉系统</w:t>
      </w: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lang w:val="en-US" w:eastAsia="zh-CN"/>
        </w:rPr>
        <w:t>升级</w:t>
      </w:r>
      <w:r>
        <w:rPr>
          <w:rFonts w:hint="eastAsia" w:ascii="方正小标宋简体" w:hAnsi="宋体" w:eastAsia="方正小标宋简体"/>
          <w:b/>
          <w:bCs/>
          <w:kern w:val="0"/>
          <w:sz w:val="52"/>
          <w:szCs w:val="52"/>
        </w:rPr>
        <w:t>项目</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10"/>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ascii="仿宋" w:hAnsi="仿宋" w:eastAsia="仿宋" w:cs="仿宋"/>
          <w:b/>
          <w:w w:val="110"/>
          <w:sz w:val="36"/>
          <w:szCs w:val="36"/>
        </w:rPr>
        <w:t>11</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w:t>
      </w:r>
      <w:r>
        <w:rPr>
          <w:rFonts w:hint="eastAsia" w:ascii="宋体" w:hAnsi="宋体" w:cs="宋体"/>
          <w:b/>
          <w:color w:val="000000"/>
          <w:kern w:val="0"/>
          <w:sz w:val="22"/>
        </w:rPr>
        <w:t>茂名市人民医院</w:t>
      </w:r>
      <w:r>
        <w:rPr>
          <w:rFonts w:hint="eastAsia" w:ascii="宋体" w:hAnsi="宋体" w:cs="宋体"/>
          <w:b/>
          <w:color w:val="000000"/>
          <w:kern w:val="0"/>
          <w:sz w:val="22"/>
          <w:lang w:val="en-US" w:eastAsia="zh-CN"/>
        </w:rPr>
        <w:t>手术麻醉系统升级</w:t>
      </w:r>
      <w:r>
        <w:rPr>
          <w:rFonts w:hint="eastAsia" w:ascii="宋体" w:hAnsi="宋体" w:cs="宋体"/>
          <w:b/>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color w:val="000000"/>
          <w:kern w:val="0"/>
          <w:sz w:val="22"/>
        </w:rPr>
      </w:pPr>
      <w:r>
        <w:rPr>
          <w:rFonts w:ascii="宋体" w:hAnsi="宋体" w:cs="宋体"/>
          <w:b/>
          <w:bCs/>
          <w:color w:val="000000"/>
          <w:kern w:val="0"/>
          <w:sz w:val="22"/>
        </w:rPr>
        <w:t>一、项目名称：</w:t>
      </w:r>
      <w:r>
        <w:rPr>
          <w:rFonts w:hint="eastAsia" w:ascii="宋体" w:hAnsi="宋体" w:cs="宋体"/>
          <w:b/>
          <w:color w:val="000000"/>
          <w:kern w:val="0"/>
          <w:sz w:val="22"/>
        </w:rPr>
        <w:t>茂名市人民医院</w:t>
      </w:r>
      <w:r>
        <w:rPr>
          <w:rFonts w:hint="eastAsia" w:ascii="宋体" w:hAnsi="宋体" w:cs="宋体"/>
          <w:b/>
          <w:color w:val="000000"/>
          <w:kern w:val="0"/>
          <w:sz w:val="22"/>
          <w:lang w:val="en-US" w:eastAsia="zh-CN"/>
        </w:rPr>
        <w:t>手术麻醉系统升级</w:t>
      </w:r>
      <w:r>
        <w:rPr>
          <w:rFonts w:hint="eastAsia" w:ascii="宋体" w:hAnsi="宋体" w:cs="宋体"/>
          <w:b/>
          <w:color w:val="000000"/>
          <w:kern w:val="0"/>
          <w:sz w:val="22"/>
        </w:rPr>
        <w:t>项目</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提交时间：2023年11月</w:t>
      </w:r>
      <w:r>
        <w:rPr>
          <w:rFonts w:hint="eastAsia" w:ascii="宋体" w:hAnsi="宋体" w:cs="宋体"/>
          <w:b w:val="0"/>
          <w:bCs w:val="0"/>
          <w:color w:val="000000"/>
          <w:kern w:val="0"/>
          <w:sz w:val="22"/>
          <w:lang w:val="en-US" w:eastAsia="zh-CN"/>
        </w:rPr>
        <w:t>14</w:t>
      </w:r>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3. 纸质资料（盖有公章）接收地点：茂名市为民路101号茂名市人民医院5号楼2楼招标采购办公室（或提交盖有公章的电子版资料，按指定时间发送到指定邮箱）</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b w:val="0"/>
          <w:bCs w:val="0"/>
          <w:color w:val="000000"/>
          <w:kern w:val="0"/>
          <w:sz w:val="22"/>
          <w:lang w:val="en-US" w:eastAsia="zh-CN"/>
        </w:rPr>
        <w:t>569437953</w:t>
      </w:r>
      <w:r>
        <w:rPr>
          <w:rFonts w:hint="eastAsia" w:ascii="宋体" w:hAnsi="宋体" w:cs="宋体"/>
          <w:b w:val="0"/>
          <w:bCs w:val="0"/>
          <w:color w:val="000000"/>
          <w:kern w:val="0"/>
          <w:sz w:val="22"/>
        </w:rPr>
        <w:t>@</w:t>
      </w:r>
      <w:r>
        <w:rPr>
          <w:rFonts w:hint="eastAsia" w:ascii="宋体" w:hAnsi="宋体" w:cs="宋体"/>
          <w:b w:val="0"/>
          <w:bCs w:val="0"/>
          <w:color w:val="000000"/>
          <w:kern w:val="0"/>
          <w:sz w:val="22"/>
          <w:lang w:val="en-US" w:eastAsia="zh-CN"/>
        </w:rPr>
        <w:t>qq</w:t>
      </w:r>
      <w:r>
        <w:rPr>
          <w:rFonts w:hint="eastAsia" w:ascii="宋体" w:hAnsi="宋体" w:cs="宋体"/>
          <w:b w:val="0"/>
          <w:bCs w:val="0"/>
          <w:color w:val="000000"/>
          <w:kern w:val="0"/>
          <w:sz w:val="22"/>
        </w:rPr>
        <w:t>.com</w:t>
      </w:r>
    </w:p>
    <w:p>
      <w:pPr>
        <w:pStyle w:val="10"/>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10"/>
        <w:tabs>
          <w:tab w:val="left" w:pos="1260"/>
        </w:tabs>
        <w:spacing w:line="360" w:lineRule="auto"/>
        <w:ind w:firstLine="0" w:firstLineChars="0"/>
        <w:jc w:val="center"/>
        <w:rPr>
          <w:rFonts w:hint="eastAsia" w:hAnsi="宋体"/>
          <w:lang w:val="en-US" w:eastAsia="zh-CN"/>
        </w:rPr>
      </w:pPr>
    </w:p>
    <w:p>
      <w:pPr>
        <w:pStyle w:val="10"/>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10"/>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3</w:t>
      </w:r>
      <w:r>
        <w:rPr>
          <w:rFonts w:hint="eastAsia" w:hAnsi="宋体"/>
          <w:lang w:val="en-US"/>
        </w:rPr>
        <w:t>年</w:t>
      </w:r>
      <w:r>
        <w:rPr>
          <w:rFonts w:hAnsi="宋体"/>
          <w:lang w:val="en-US"/>
        </w:rPr>
        <w:t>11</w:t>
      </w:r>
      <w:r>
        <w:rPr>
          <w:rFonts w:hint="eastAsia" w:hAnsi="宋体"/>
          <w:lang w:val="en-US"/>
        </w:rPr>
        <w:t>月</w:t>
      </w:r>
      <w:r>
        <w:rPr>
          <w:rFonts w:hint="eastAsia" w:hAnsi="宋体"/>
          <w:lang w:val="en-US" w:eastAsia="zh-CN"/>
        </w:rPr>
        <w:t>6</w:t>
      </w:r>
      <w:r>
        <w:rPr>
          <w:rFonts w:hint="eastAsia" w:hAnsi="宋体"/>
          <w:lang w:val="en-US"/>
        </w:rPr>
        <w:t>日</w:t>
      </w:r>
    </w:p>
    <w:p>
      <w:pPr>
        <w:pStyle w:val="10"/>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tbl>
      <w:tblPr>
        <w:tblStyle w:val="1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
        <w:gridCol w:w="1839"/>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vMerge w:val="restart"/>
            <w:noWrap w:val="0"/>
            <w:vAlign w:val="center"/>
          </w:tcPr>
          <w:p>
            <w:pPr>
              <w:pStyle w:val="7"/>
              <w:jc w:val="center"/>
              <w:rPr>
                <w:rFonts w:ascii="仿宋" w:hAnsi="仿宋" w:eastAsia="仿宋" w:cs="仿宋"/>
                <w:spacing w:val="-1"/>
                <w:sz w:val="24"/>
                <w:szCs w:val="24"/>
              </w:rPr>
            </w:pPr>
            <w:r>
              <w:rPr>
                <w:rFonts w:hint="eastAsia" w:ascii="仿宋" w:hAnsi="仿宋" w:eastAsia="仿宋" w:cs="仿宋"/>
                <w:spacing w:val="-1"/>
                <w:sz w:val="24"/>
                <w:szCs w:val="24"/>
              </w:rPr>
              <w:t>1</w:t>
            </w:r>
          </w:p>
        </w:tc>
        <w:tc>
          <w:tcPr>
            <w:tcW w:w="1839" w:type="dxa"/>
            <w:vMerge w:val="restart"/>
            <w:noWrap w:val="0"/>
            <w:vAlign w:val="center"/>
          </w:tcPr>
          <w:p>
            <w:pPr>
              <w:pStyle w:val="7"/>
              <w:rPr>
                <w:rFonts w:ascii="仿宋" w:hAnsi="仿宋" w:eastAsia="仿宋" w:cs="仿宋"/>
                <w:spacing w:val="-1"/>
                <w:sz w:val="24"/>
                <w:szCs w:val="24"/>
              </w:rPr>
            </w:pPr>
            <w:r>
              <w:rPr>
                <w:rFonts w:ascii="仿宋" w:hAnsi="仿宋" w:eastAsia="仿宋" w:cs="仿宋"/>
                <w:spacing w:val="-1"/>
                <w:sz w:val="24"/>
                <w:szCs w:val="24"/>
              </w:rPr>
              <w:t>麻醉计费管理子系统</w:t>
            </w:r>
          </w:p>
        </w:tc>
        <w:tc>
          <w:tcPr>
            <w:tcW w:w="6336" w:type="dxa"/>
            <w:noWrap w:val="0"/>
            <w:vAlign w:val="center"/>
          </w:tcPr>
          <w:p>
            <w:pPr>
              <w:pStyle w:val="7"/>
              <w:rPr>
                <w:rFonts w:ascii="仿宋" w:hAnsi="仿宋" w:eastAsia="仿宋" w:cs="仿宋"/>
                <w:spacing w:val="-1"/>
                <w:sz w:val="24"/>
                <w:szCs w:val="24"/>
              </w:rPr>
            </w:pPr>
            <w:r>
              <w:rPr>
                <w:rFonts w:ascii="仿宋" w:hAnsi="仿宋" w:eastAsia="仿宋" w:cs="仿宋"/>
                <w:spacing w:val="-1"/>
                <w:sz w:val="24"/>
                <w:szCs w:val="24"/>
              </w:rPr>
              <w:t>支</w:t>
            </w:r>
            <w:r>
              <w:rPr>
                <w:rFonts w:hint="eastAsia" w:ascii="仿宋" w:hAnsi="仿宋" w:eastAsia="仿宋" w:cs="仿宋"/>
                <w:spacing w:val="-1"/>
                <w:sz w:val="24"/>
                <w:szCs w:val="24"/>
                <w:lang w:val="en-US" w:eastAsia="zh-CN"/>
              </w:rPr>
              <w:t>持</w:t>
            </w:r>
            <w:r>
              <w:rPr>
                <w:rFonts w:ascii="仿宋" w:hAnsi="仿宋" w:eastAsia="仿宋" w:cs="仿宋"/>
                <w:spacing w:val="-1"/>
                <w:sz w:val="24"/>
                <w:szCs w:val="24"/>
              </w:rPr>
              <w:t>手术收费模板维护，支持按手术类型套用收费模板快速完成手术收费项目录入，实现通用收费项目的标准化。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vMerge w:val="continue"/>
            <w:noWrap w:val="0"/>
            <w:vAlign w:val="center"/>
          </w:tcPr>
          <w:p>
            <w:pPr>
              <w:spacing w:line="360" w:lineRule="auto"/>
              <w:jc w:val="center"/>
              <w:rPr>
                <w:rFonts w:ascii="仿宋" w:hAnsi="仿宋" w:eastAsia="仿宋"/>
                <w:sz w:val="24"/>
                <w:szCs w:val="24"/>
              </w:rPr>
            </w:pPr>
          </w:p>
        </w:tc>
        <w:tc>
          <w:tcPr>
            <w:tcW w:w="1839" w:type="dxa"/>
            <w:vMerge w:val="continue"/>
            <w:noWrap w:val="0"/>
            <w:vAlign w:val="center"/>
          </w:tcPr>
          <w:p>
            <w:pPr>
              <w:spacing w:line="360" w:lineRule="auto"/>
              <w:jc w:val="center"/>
              <w:rPr>
                <w:rFonts w:ascii="仿宋" w:hAnsi="仿宋" w:eastAsia="仿宋"/>
                <w:sz w:val="24"/>
                <w:szCs w:val="24"/>
              </w:rPr>
            </w:pPr>
          </w:p>
        </w:tc>
        <w:tc>
          <w:tcPr>
            <w:tcW w:w="6336" w:type="dxa"/>
            <w:noWrap w:val="0"/>
            <w:vAlign w:val="center"/>
          </w:tcPr>
          <w:p>
            <w:pPr>
              <w:pStyle w:val="44"/>
              <w:spacing w:line="360" w:lineRule="auto"/>
              <w:rPr>
                <w:rFonts w:ascii="仿宋" w:hAnsi="仿宋" w:eastAsia="仿宋"/>
                <w:sz w:val="24"/>
                <w:szCs w:val="24"/>
                <w:lang w:eastAsia="zh-CN"/>
              </w:rPr>
            </w:pPr>
            <w:r>
              <w:rPr>
                <w:rFonts w:ascii="仿宋" w:hAnsi="仿宋" w:eastAsia="仿宋" w:cs="仿宋"/>
                <w:spacing w:val="-1"/>
                <w:sz w:val="24"/>
                <w:szCs w:val="24"/>
              </w:rPr>
              <w:t>支</w:t>
            </w:r>
            <w:r>
              <w:rPr>
                <w:rFonts w:hint="eastAsia" w:ascii="仿宋" w:hAnsi="仿宋" w:eastAsia="仿宋" w:cs="仿宋"/>
                <w:spacing w:val="-1"/>
                <w:sz w:val="24"/>
                <w:szCs w:val="24"/>
                <w:lang w:val="en-US" w:eastAsia="zh-CN"/>
              </w:rPr>
              <w:t>持</w:t>
            </w:r>
            <w:r>
              <w:rPr>
                <w:rFonts w:ascii="仿宋" w:hAnsi="仿宋" w:eastAsia="仿宋"/>
                <w:sz w:val="24"/>
                <w:szCs w:val="24"/>
                <w:lang w:eastAsia="zh-CN"/>
              </w:rPr>
              <w:t>麻醉收费清单功能，支持通过拼音字头检索或通过收费代码，快速录入患者麻醉期间产生的麻醉药品、麻醉操作、麻醉耗材、麻醉监测等各类收费项目明细。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vMerge w:val="continue"/>
            <w:noWrap w:val="0"/>
            <w:vAlign w:val="center"/>
          </w:tcPr>
          <w:p>
            <w:pPr>
              <w:spacing w:line="360" w:lineRule="auto"/>
              <w:jc w:val="center"/>
              <w:rPr>
                <w:rFonts w:ascii="仿宋" w:hAnsi="仿宋" w:eastAsia="仿宋"/>
                <w:sz w:val="24"/>
                <w:szCs w:val="24"/>
              </w:rPr>
            </w:pPr>
          </w:p>
        </w:tc>
        <w:tc>
          <w:tcPr>
            <w:tcW w:w="1839" w:type="dxa"/>
            <w:vMerge w:val="continue"/>
            <w:noWrap w:val="0"/>
            <w:vAlign w:val="center"/>
          </w:tcPr>
          <w:p>
            <w:pPr>
              <w:spacing w:line="360" w:lineRule="auto"/>
              <w:jc w:val="center"/>
              <w:rPr>
                <w:rFonts w:ascii="仿宋" w:hAnsi="仿宋" w:eastAsia="仿宋"/>
                <w:sz w:val="24"/>
                <w:szCs w:val="24"/>
              </w:rPr>
            </w:pPr>
          </w:p>
        </w:tc>
        <w:tc>
          <w:tcPr>
            <w:tcW w:w="6336" w:type="dxa"/>
            <w:noWrap w:val="0"/>
            <w:vAlign w:val="center"/>
          </w:tcPr>
          <w:p>
            <w:pPr>
              <w:pStyle w:val="44"/>
              <w:spacing w:line="360" w:lineRule="auto"/>
              <w:rPr>
                <w:rFonts w:ascii="仿宋" w:hAnsi="仿宋" w:eastAsia="仿宋"/>
                <w:sz w:val="24"/>
                <w:szCs w:val="24"/>
                <w:lang w:eastAsia="zh-CN"/>
              </w:rPr>
            </w:pPr>
            <w:r>
              <w:rPr>
                <w:rFonts w:ascii="仿宋" w:hAnsi="仿宋" w:eastAsia="仿宋" w:cs="仿宋"/>
                <w:spacing w:val="-1"/>
                <w:sz w:val="24"/>
                <w:szCs w:val="24"/>
              </w:rPr>
              <w:t>支</w:t>
            </w:r>
            <w:r>
              <w:rPr>
                <w:rFonts w:hint="eastAsia" w:ascii="仿宋" w:hAnsi="仿宋" w:eastAsia="仿宋" w:cs="仿宋"/>
                <w:spacing w:val="-1"/>
                <w:sz w:val="24"/>
                <w:szCs w:val="24"/>
                <w:lang w:val="en-US" w:eastAsia="zh-CN"/>
              </w:rPr>
              <w:t>持</w:t>
            </w:r>
            <w:r>
              <w:rPr>
                <w:rFonts w:ascii="仿宋" w:hAnsi="仿宋" w:eastAsia="仿宋"/>
                <w:w w:val="105"/>
                <w:sz w:val="24"/>
                <w:szCs w:val="24"/>
                <w:lang w:eastAsia="zh-CN"/>
              </w:rPr>
              <w:t>对收费项目和用量进行维护，可对多</w:t>
            </w:r>
            <w:r>
              <w:rPr>
                <w:rFonts w:ascii="仿宋" w:hAnsi="仿宋" w:eastAsia="仿宋"/>
                <w:sz w:val="24"/>
                <w:szCs w:val="24"/>
                <w:lang w:eastAsia="zh-CN"/>
              </w:rPr>
              <w:t>余的项目进行删除。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vMerge w:val="continue"/>
            <w:noWrap w:val="0"/>
            <w:vAlign w:val="center"/>
          </w:tcPr>
          <w:p>
            <w:pPr>
              <w:spacing w:line="360" w:lineRule="auto"/>
              <w:jc w:val="center"/>
              <w:rPr>
                <w:rFonts w:ascii="仿宋" w:hAnsi="仿宋" w:eastAsia="仿宋"/>
                <w:sz w:val="24"/>
                <w:szCs w:val="24"/>
              </w:rPr>
            </w:pPr>
          </w:p>
        </w:tc>
        <w:tc>
          <w:tcPr>
            <w:tcW w:w="1839" w:type="dxa"/>
            <w:vMerge w:val="continue"/>
            <w:noWrap w:val="0"/>
            <w:vAlign w:val="center"/>
          </w:tcPr>
          <w:p>
            <w:pPr>
              <w:spacing w:line="360" w:lineRule="auto"/>
              <w:jc w:val="center"/>
              <w:rPr>
                <w:rFonts w:ascii="仿宋" w:hAnsi="仿宋" w:eastAsia="仿宋"/>
                <w:sz w:val="24"/>
                <w:szCs w:val="24"/>
              </w:rPr>
            </w:pPr>
          </w:p>
        </w:tc>
        <w:tc>
          <w:tcPr>
            <w:tcW w:w="6336" w:type="dxa"/>
            <w:noWrap w:val="0"/>
            <w:vAlign w:val="center"/>
          </w:tcPr>
          <w:p>
            <w:pPr>
              <w:pStyle w:val="44"/>
              <w:spacing w:line="360" w:lineRule="auto"/>
              <w:rPr>
                <w:rFonts w:ascii="仿宋" w:hAnsi="仿宋" w:eastAsia="仿宋"/>
                <w:sz w:val="24"/>
                <w:szCs w:val="24"/>
                <w:lang w:eastAsia="zh-CN"/>
              </w:rPr>
            </w:pPr>
            <w:r>
              <w:rPr>
                <w:rFonts w:ascii="仿宋" w:hAnsi="仿宋" w:eastAsia="仿宋" w:cs="仿宋"/>
                <w:spacing w:val="-1"/>
                <w:sz w:val="24"/>
                <w:szCs w:val="24"/>
              </w:rPr>
              <w:t>支</w:t>
            </w:r>
            <w:r>
              <w:rPr>
                <w:rFonts w:hint="eastAsia" w:ascii="仿宋" w:hAnsi="仿宋" w:eastAsia="仿宋" w:cs="仿宋"/>
                <w:spacing w:val="-1"/>
                <w:sz w:val="24"/>
                <w:szCs w:val="24"/>
                <w:lang w:val="en-US" w:eastAsia="zh-CN"/>
              </w:rPr>
              <w:t>持</w:t>
            </w:r>
            <w:r>
              <w:rPr>
                <w:rFonts w:ascii="仿宋" w:hAnsi="仿宋" w:eastAsia="仿宋"/>
                <w:w w:val="105"/>
                <w:sz w:val="24"/>
                <w:szCs w:val="24"/>
                <w:lang w:eastAsia="zh-CN"/>
              </w:rPr>
              <w:t>收费项目配置功能，支待权限允许收</w:t>
            </w:r>
            <w:r>
              <w:rPr>
                <w:rFonts w:ascii="仿宋" w:hAnsi="仿宋" w:eastAsia="仿宋"/>
                <w:sz w:val="24"/>
                <w:szCs w:val="24"/>
                <w:lang w:eastAsia="zh-CN"/>
              </w:rPr>
              <w:t>费科室维护收费项目（</w:t>
            </w:r>
            <w:r>
              <w:rPr>
                <w:rFonts w:ascii="仿宋" w:hAnsi="仿宋" w:eastAsia="仿宋"/>
                <w:spacing w:val="6"/>
                <w:sz w:val="24"/>
                <w:szCs w:val="24"/>
                <w:lang w:eastAsia="zh-CN"/>
              </w:rPr>
              <w:t>视</w:t>
            </w:r>
            <w:r>
              <w:rPr>
                <w:rFonts w:ascii="仿宋" w:hAnsi="仿宋" w:eastAsia="仿宋"/>
                <w:sz w:val="24"/>
                <w:szCs w:val="24"/>
                <w:lang w:eastAsia="zh-CN"/>
              </w:rPr>
              <w:t>HIS</w:t>
            </w:r>
            <w:r>
              <w:rPr>
                <w:rFonts w:ascii="仿宋" w:hAnsi="仿宋" w:eastAsia="仿宋"/>
                <w:spacing w:val="-3"/>
                <w:sz w:val="24"/>
                <w:szCs w:val="24"/>
                <w:lang w:eastAsia="zh-CN"/>
              </w:rPr>
              <w:t>收费系统的</w:t>
            </w:r>
            <w:r>
              <w:rPr>
                <w:rFonts w:ascii="仿宋" w:hAnsi="仿宋" w:eastAsia="仿宋"/>
                <w:sz w:val="24"/>
                <w:szCs w:val="24"/>
                <w:lang w:eastAsia="zh-CN"/>
              </w:rPr>
              <w:t>规则而定）。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vMerge w:val="continue"/>
            <w:noWrap w:val="0"/>
            <w:vAlign w:val="center"/>
          </w:tcPr>
          <w:p>
            <w:pPr>
              <w:spacing w:line="360" w:lineRule="auto"/>
              <w:jc w:val="center"/>
              <w:rPr>
                <w:rFonts w:ascii="仿宋" w:hAnsi="仿宋" w:eastAsia="仿宋"/>
                <w:sz w:val="24"/>
                <w:szCs w:val="24"/>
              </w:rPr>
            </w:pPr>
          </w:p>
        </w:tc>
        <w:tc>
          <w:tcPr>
            <w:tcW w:w="1839" w:type="dxa"/>
            <w:vMerge w:val="continue"/>
            <w:noWrap w:val="0"/>
            <w:vAlign w:val="center"/>
          </w:tcPr>
          <w:p>
            <w:pPr>
              <w:spacing w:line="360" w:lineRule="auto"/>
              <w:jc w:val="center"/>
              <w:rPr>
                <w:rFonts w:ascii="仿宋" w:hAnsi="仿宋" w:eastAsia="仿宋"/>
                <w:sz w:val="24"/>
                <w:szCs w:val="24"/>
              </w:rPr>
            </w:pPr>
          </w:p>
        </w:tc>
        <w:tc>
          <w:tcPr>
            <w:tcW w:w="6336" w:type="dxa"/>
            <w:noWrap w:val="0"/>
            <w:vAlign w:val="center"/>
          </w:tcPr>
          <w:p>
            <w:pPr>
              <w:pStyle w:val="44"/>
              <w:spacing w:line="360" w:lineRule="auto"/>
              <w:rPr>
                <w:rFonts w:ascii="仿宋" w:hAnsi="仿宋" w:eastAsia="仿宋"/>
                <w:sz w:val="24"/>
                <w:szCs w:val="24"/>
                <w:lang w:eastAsia="zh-CN"/>
              </w:rPr>
            </w:pPr>
            <w:r>
              <w:rPr>
                <w:rFonts w:ascii="仿宋" w:hAnsi="仿宋" w:eastAsia="仿宋"/>
                <w:w w:val="105"/>
                <w:sz w:val="24"/>
                <w:szCs w:val="24"/>
                <w:lang w:eastAsia="zh-CN"/>
              </w:rPr>
              <w:t>支持费用项目修正功能，有权限的医生可</w:t>
            </w:r>
            <w:r>
              <w:rPr>
                <w:rFonts w:ascii="仿宋" w:hAnsi="仿宋" w:eastAsia="仿宋"/>
                <w:sz w:val="24"/>
                <w:szCs w:val="24"/>
                <w:lang w:eastAsia="zh-CN"/>
              </w:rPr>
              <w:t>对数据进行修正。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vMerge w:val="continue"/>
            <w:noWrap w:val="0"/>
            <w:vAlign w:val="center"/>
          </w:tcPr>
          <w:p>
            <w:pPr>
              <w:spacing w:line="360" w:lineRule="auto"/>
              <w:jc w:val="center"/>
              <w:rPr>
                <w:rFonts w:ascii="仿宋" w:hAnsi="仿宋" w:eastAsia="仿宋"/>
                <w:sz w:val="24"/>
                <w:szCs w:val="24"/>
              </w:rPr>
            </w:pPr>
          </w:p>
        </w:tc>
        <w:tc>
          <w:tcPr>
            <w:tcW w:w="1839" w:type="dxa"/>
            <w:vMerge w:val="continue"/>
            <w:noWrap w:val="0"/>
            <w:vAlign w:val="center"/>
          </w:tcPr>
          <w:p>
            <w:pPr>
              <w:spacing w:line="360" w:lineRule="auto"/>
              <w:jc w:val="center"/>
              <w:rPr>
                <w:rFonts w:ascii="仿宋" w:hAnsi="仿宋" w:eastAsia="仿宋"/>
                <w:sz w:val="24"/>
                <w:szCs w:val="24"/>
              </w:rPr>
            </w:pPr>
          </w:p>
        </w:tc>
        <w:tc>
          <w:tcPr>
            <w:tcW w:w="6336" w:type="dxa"/>
            <w:noWrap w:val="0"/>
            <w:vAlign w:val="center"/>
          </w:tcPr>
          <w:p>
            <w:pPr>
              <w:pStyle w:val="44"/>
              <w:spacing w:line="360" w:lineRule="auto"/>
              <w:rPr>
                <w:rFonts w:ascii="仿宋" w:hAnsi="仿宋" w:eastAsia="仿宋"/>
                <w:sz w:val="24"/>
                <w:szCs w:val="24"/>
                <w:lang w:eastAsia="zh-CN"/>
              </w:rPr>
            </w:pPr>
            <w:r>
              <w:rPr>
                <w:rFonts w:ascii="仿宋" w:hAnsi="仿宋" w:eastAsia="仿宋"/>
                <w:w w:val="110"/>
                <w:sz w:val="24"/>
                <w:szCs w:val="24"/>
                <w:lang w:eastAsia="zh-CN"/>
              </w:rPr>
              <w:t>支持已提交收费系统的项目不允许用户</w:t>
            </w:r>
            <w:r>
              <w:rPr>
                <w:rFonts w:ascii="仿宋" w:hAnsi="仿宋" w:eastAsia="仿宋"/>
                <w:sz w:val="24"/>
                <w:szCs w:val="24"/>
                <w:lang w:eastAsia="zh-CN"/>
              </w:rPr>
              <w:t>删除、修改，但可事后追加收费项目。</w:t>
            </w:r>
            <w:r>
              <w:rPr>
                <w:rFonts w:ascii="仿宋" w:hAnsi="仿宋" w:eastAsia="仿宋"/>
                <w:w w:val="110"/>
                <w:sz w:val="24"/>
                <w:szCs w:val="24"/>
                <w:lang w:eastAsia="zh-CN"/>
              </w:rPr>
              <w:t>支待追加收费项目，收费数量允许为负数。（视HIS收费系统的规则而定）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vMerge w:val="continue"/>
            <w:noWrap w:val="0"/>
            <w:vAlign w:val="center"/>
          </w:tcPr>
          <w:p>
            <w:pPr>
              <w:spacing w:line="360" w:lineRule="auto"/>
              <w:jc w:val="center"/>
              <w:rPr>
                <w:rFonts w:ascii="仿宋" w:hAnsi="仿宋" w:eastAsia="仿宋"/>
                <w:sz w:val="24"/>
                <w:szCs w:val="24"/>
              </w:rPr>
            </w:pPr>
          </w:p>
        </w:tc>
        <w:tc>
          <w:tcPr>
            <w:tcW w:w="1839" w:type="dxa"/>
            <w:vMerge w:val="continue"/>
            <w:noWrap w:val="0"/>
            <w:vAlign w:val="center"/>
          </w:tcPr>
          <w:p>
            <w:pPr>
              <w:spacing w:line="360" w:lineRule="auto"/>
              <w:jc w:val="center"/>
              <w:rPr>
                <w:rFonts w:ascii="仿宋" w:hAnsi="仿宋" w:eastAsia="仿宋"/>
                <w:sz w:val="24"/>
                <w:szCs w:val="24"/>
              </w:rPr>
            </w:pPr>
          </w:p>
        </w:tc>
        <w:tc>
          <w:tcPr>
            <w:tcW w:w="6336" w:type="dxa"/>
            <w:noWrap w:val="0"/>
            <w:vAlign w:val="center"/>
          </w:tcPr>
          <w:p>
            <w:pPr>
              <w:pStyle w:val="44"/>
              <w:spacing w:line="360" w:lineRule="auto"/>
              <w:rPr>
                <w:rFonts w:ascii="仿宋" w:hAnsi="仿宋" w:eastAsia="仿宋"/>
                <w:sz w:val="24"/>
                <w:szCs w:val="24"/>
                <w:lang w:eastAsia="zh-CN"/>
              </w:rPr>
            </w:pPr>
            <w:r>
              <w:rPr>
                <w:rFonts w:ascii="仿宋" w:hAnsi="仿宋" w:eastAsia="仿宋"/>
                <w:sz w:val="24"/>
                <w:szCs w:val="24"/>
                <w:lang w:eastAsia="zh-CN"/>
              </w:rPr>
              <w:t>支持手术收费清单回传功能，</w:t>
            </w:r>
            <w:r>
              <w:rPr>
                <w:rFonts w:hint="eastAsia" w:ascii="仿宋" w:hAnsi="仿宋" w:eastAsia="仿宋"/>
                <w:sz w:val="24"/>
                <w:szCs w:val="24"/>
                <w:lang w:val="en-US" w:eastAsia="zh-CN"/>
              </w:rPr>
              <w:t>支持</w:t>
            </w:r>
            <w:r>
              <w:rPr>
                <w:rFonts w:ascii="仿宋" w:hAnsi="仿宋" w:eastAsia="仿宋"/>
                <w:sz w:val="24"/>
                <w:szCs w:val="24"/>
                <w:lang w:eastAsia="zh-CN"/>
              </w:rPr>
              <w:t>将汇总信息提交至HIS收费系统，完成收费。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noWrap w:val="0"/>
            <w:vAlign w:val="center"/>
          </w:tcPr>
          <w:p>
            <w:pPr>
              <w:spacing w:line="360" w:lineRule="auto"/>
              <w:jc w:val="center"/>
              <w:rPr>
                <w:rFonts w:ascii="仿宋" w:hAnsi="仿宋" w:eastAsia="仿宋"/>
                <w:sz w:val="24"/>
                <w:szCs w:val="24"/>
              </w:rPr>
            </w:pPr>
            <w:r>
              <w:rPr>
                <w:rFonts w:hint="eastAsia" w:ascii="仿宋" w:hAnsi="仿宋" w:eastAsia="仿宋"/>
                <w:sz w:val="24"/>
                <w:szCs w:val="24"/>
              </w:rPr>
              <w:t>2</w:t>
            </w:r>
          </w:p>
        </w:tc>
        <w:tc>
          <w:tcPr>
            <w:tcW w:w="1839" w:type="dxa"/>
            <w:noWrap w:val="0"/>
            <w:vAlign w:val="center"/>
          </w:tcPr>
          <w:p>
            <w:pPr>
              <w:spacing w:line="360" w:lineRule="auto"/>
              <w:jc w:val="center"/>
              <w:rPr>
                <w:rFonts w:ascii="仿宋" w:hAnsi="仿宋" w:eastAsia="仿宋"/>
                <w:sz w:val="24"/>
                <w:szCs w:val="24"/>
              </w:rPr>
            </w:pPr>
            <w:r>
              <w:rPr>
                <w:rFonts w:hint="eastAsia" w:ascii="仿宋" w:hAnsi="仿宋" w:eastAsia="仿宋"/>
                <w:sz w:val="24"/>
                <w:szCs w:val="24"/>
              </w:rPr>
              <w:t>麻醉处方单管理子系统</w:t>
            </w:r>
          </w:p>
          <w:p>
            <w:pPr>
              <w:spacing w:line="360" w:lineRule="auto"/>
              <w:jc w:val="center"/>
              <w:rPr>
                <w:rFonts w:ascii="仿宋" w:hAnsi="仿宋" w:eastAsia="仿宋"/>
                <w:sz w:val="24"/>
                <w:szCs w:val="24"/>
              </w:rPr>
            </w:pPr>
          </w:p>
        </w:tc>
        <w:tc>
          <w:tcPr>
            <w:tcW w:w="6336" w:type="dxa"/>
            <w:noWrap w:val="0"/>
            <w:vAlign w:val="center"/>
          </w:tcPr>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能够支持新增处方功能。</w:t>
            </w:r>
          </w:p>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能够提供处方单药品配置功能。</w:t>
            </w:r>
          </w:p>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能够提供处方单以指定的命名规则确认，保证不会出现重复的处方编号。</w:t>
            </w:r>
          </w:p>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能够提供对处方单文书上的元素布局进行调整。</w:t>
            </w:r>
          </w:p>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能够配置指定药物提取到处方单上。</w:t>
            </w:r>
          </w:p>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能够提供处方药字典维护功能。</w:t>
            </w:r>
          </w:p>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能够自动生成麻醉精神药品处方单。</w:t>
            </w:r>
          </w:p>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能够手工调整处方单用药记录。</w:t>
            </w:r>
          </w:p>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能够对处方单审核并保存记录。</w:t>
            </w:r>
          </w:p>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能够根据科室要求调整处方单格式。能够支持对既有的处方单进行删除处理。</w:t>
            </w:r>
          </w:p>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能够单独、集中打印处方单。</w:t>
            </w:r>
          </w:p>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能够自动汇总麻醉精神药品处方单信息，生成残余药品登记记录表。</w:t>
            </w:r>
          </w:p>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能够支持汇总生成报表。</w:t>
            </w:r>
          </w:p>
          <w:p>
            <w:pPr>
              <w:pStyle w:val="44"/>
              <w:spacing w:line="360" w:lineRule="auto"/>
              <w:rPr>
                <w:rFonts w:hint="eastAsia" w:ascii="仿宋" w:hAnsi="仿宋" w:eastAsia="仿宋"/>
                <w:sz w:val="24"/>
                <w:szCs w:val="24"/>
                <w:lang w:eastAsia="zh-CN"/>
              </w:rPr>
            </w:pPr>
            <w:bookmarkStart w:id="0" w:name="_Hlk148017679"/>
            <w:r>
              <w:rPr>
                <w:rFonts w:hint="eastAsia" w:ascii="仿宋" w:hAnsi="仿宋" w:eastAsia="仿宋"/>
                <w:sz w:val="24"/>
                <w:szCs w:val="24"/>
                <w:lang w:eastAsia="zh-CN"/>
              </w:rPr>
              <w:t>毒麻药品残余液统计及</w:t>
            </w:r>
            <w:r>
              <w:rPr>
                <w:rFonts w:ascii="仿宋" w:hAnsi="仿宋" w:eastAsia="仿宋"/>
                <w:sz w:val="24"/>
                <w:szCs w:val="24"/>
                <w:lang w:eastAsia="zh-CN"/>
              </w:rPr>
              <w:t>处方单，此两处需添加身份证号码。</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noWrap w:val="0"/>
            <w:vAlign w:val="center"/>
          </w:tcPr>
          <w:p>
            <w:pPr>
              <w:spacing w:line="360" w:lineRule="auto"/>
              <w:jc w:val="center"/>
              <w:rPr>
                <w:rFonts w:ascii="仿宋" w:hAnsi="仿宋" w:eastAsia="仿宋"/>
                <w:sz w:val="24"/>
                <w:szCs w:val="24"/>
              </w:rPr>
            </w:pPr>
            <w:r>
              <w:rPr>
                <w:rFonts w:hint="eastAsia" w:ascii="仿宋" w:hAnsi="仿宋" w:eastAsia="仿宋"/>
                <w:sz w:val="24"/>
                <w:szCs w:val="24"/>
              </w:rPr>
              <w:t>3</w:t>
            </w:r>
          </w:p>
        </w:tc>
        <w:tc>
          <w:tcPr>
            <w:tcW w:w="1839" w:type="dxa"/>
            <w:noWrap w:val="0"/>
            <w:vAlign w:val="center"/>
          </w:tcPr>
          <w:p>
            <w:pPr>
              <w:spacing w:line="360" w:lineRule="auto"/>
              <w:jc w:val="center"/>
              <w:rPr>
                <w:rFonts w:ascii="仿宋" w:hAnsi="仿宋" w:eastAsia="仿宋"/>
                <w:sz w:val="24"/>
                <w:szCs w:val="24"/>
              </w:rPr>
            </w:pPr>
            <w:r>
              <w:rPr>
                <w:rFonts w:ascii="仿宋" w:hAnsi="仿宋" w:eastAsia="仿宋"/>
                <w:w w:val="105"/>
                <w:sz w:val="24"/>
                <w:szCs w:val="24"/>
              </w:rPr>
              <w:t>主任中控</w:t>
            </w:r>
          </w:p>
        </w:tc>
        <w:tc>
          <w:tcPr>
            <w:tcW w:w="6336" w:type="dxa"/>
            <w:noWrap w:val="0"/>
            <w:vAlign w:val="center"/>
          </w:tcPr>
          <w:p>
            <w:pPr>
              <w:pStyle w:val="44"/>
              <w:spacing w:line="360" w:lineRule="auto"/>
              <w:rPr>
                <w:rFonts w:ascii="仿宋" w:hAnsi="仿宋" w:eastAsia="仿宋"/>
                <w:sz w:val="24"/>
                <w:szCs w:val="24"/>
                <w:lang w:eastAsia="zh-CN"/>
              </w:rPr>
            </w:pPr>
            <w:r>
              <w:rPr>
                <w:rFonts w:ascii="仿宋" w:hAnsi="仿宋" w:eastAsia="仿宋"/>
                <w:sz w:val="24"/>
                <w:szCs w:val="24"/>
                <w:lang w:eastAsia="zh-CN"/>
              </w:rPr>
              <w:t>能够实时监控各个手术间当前手术麻醉情况，如病人基本信息、诊断、手术名称、麻醉医师、手术状态、麻醉情况、术中体征参数趋势图、术中事件、用药情况、输血补液情况等</w:t>
            </w:r>
          </w:p>
          <w:p>
            <w:pPr>
              <w:pStyle w:val="44"/>
              <w:spacing w:line="360" w:lineRule="auto"/>
              <w:rPr>
                <w:rFonts w:ascii="仿宋" w:hAnsi="仿宋" w:eastAsia="仿宋"/>
                <w:sz w:val="24"/>
                <w:szCs w:val="24"/>
                <w:lang w:eastAsia="zh-CN"/>
              </w:rPr>
            </w:pPr>
            <w:r>
              <w:rPr>
                <w:rFonts w:ascii="仿宋" w:hAnsi="仿宋" w:eastAsia="仿宋"/>
                <w:sz w:val="24"/>
                <w:szCs w:val="24"/>
                <w:lang w:eastAsia="zh-CN"/>
              </w:rPr>
              <w:t>支持对生命体征参数报警阀值的设定，并通过阀值系统即时报警</w:t>
            </w:r>
            <w:r>
              <w:rPr>
                <w:rFonts w:hint="eastAsia" w:ascii="仿宋" w:hAnsi="仿宋" w:eastAsia="仿宋"/>
                <w:sz w:val="24"/>
                <w:szCs w:val="24"/>
                <w:lang w:eastAsia="zh-CN"/>
              </w:rPr>
              <w:t>。</w:t>
            </w:r>
          </w:p>
          <w:p>
            <w:pPr>
              <w:pStyle w:val="44"/>
              <w:spacing w:line="360" w:lineRule="auto"/>
              <w:rPr>
                <w:rFonts w:ascii="仿宋" w:hAnsi="仿宋" w:eastAsia="仿宋"/>
                <w:sz w:val="24"/>
                <w:szCs w:val="24"/>
                <w:lang w:eastAsia="zh-CN"/>
              </w:rPr>
            </w:pPr>
            <w:r>
              <w:rPr>
                <w:rFonts w:ascii="仿宋" w:hAnsi="仿宋" w:eastAsia="仿宋"/>
                <w:sz w:val="24"/>
                <w:szCs w:val="24"/>
                <w:lang w:eastAsia="zh-CN"/>
              </w:rPr>
              <w:t>可以进入某一台手术查看具体的麻醉记录和实时监测数据，所有数据与手术室监控的数据保待同步。</w:t>
            </w:r>
          </w:p>
          <w:p>
            <w:pPr>
              <w:pStyle w:val="44"/>
              <w:spacing w:line="360" w:lineRule="auto"/>
              <w:rPr>
                <w:rFonts w:ascii="仿宋" w:hAnsi="仿宋" w:eastAsia="仿宋"/>
                <w:sz w:val="24"/>
                <w:szCs w:val="24"/>
                <w:lang w:eastAsia="zh-CN"/>
              </w:rPr>
            </w:pPr>
            <w:r>
              <w:rPr>
                <w:rFonts w:ascii="仿宋" w:hAnsi="仿宋" w:eastAsia="仿宋"/>
                <w:sz w:val="24"/>
                <w:szCs w:val="24"/>
                <w:lang w:eastAsia="zh-CN"/>
              </w:rPr>
              <w:t>可以快速一键切换到患者的详细麻醉记录单</w:t>
            </w:r>
            <w:r>
              <w:rPr>
                <w:rFonts w:hint="eastAsia" w:ascii="仿宋" w:hAnsi="仿宋" w:eastAsia="仿宋"/>
                <w:sz w:val="24"/>
                <w:szCs w:val="24"/>
                <w:lang w:eastAsia="zh-CN"/>
              </w:rPr>
              <w:t>。</w:t>
            </w:r>
          </w:p>
          <w:p>
            <w:pPr>
              <w:pStyle w:val="44"/>
              <w:spacing w:line="360" w:lineRule="auto"/>
              <w:rPr>
                <w:rFonts w:ascii="仿宋" w:hAnsi="仿宋" w:eastAsia="仿宋"/>
                <w:sz w:val="24"/>
                <w:szCs w:val="24"/>
                <w:lang w:eastAsia="zh-CN"/>
              </w:rPr>
            </w:pPr>
            <w:r>
              <w:rPr>
                <w:rFonts w:ascii="仿宋" w:hAnsi="仿宋" w:eastAsia="仿宋"/>
                <w:sz w:val="24"/>
                <w:szCs w:val="24"/>
                <w:lang w:eastAsia="zh-CN"/>
              </w:rPr>
              <w:t>高危患者重点标示关注 CASA 分级较高、年龄较大、术前有特殊情况等</w:t>
            </w:r>
            <w:r>
              <w:rPr>
                <w:rFonts w:hint="eastAsia" w:ascii="仿宋" w:hAnsi="仿宋" w:eastAsia="仿宋"/>
                <w:sz w:val="24"/>
                <w:szCs w:val="24"/>
                <w:lang w:eastAsia="zh-CN"/>
              </w:rPr>
              <w:t>。</w:t>
            </w:r>
          </w:p>
          <w:p>
            <w:pPr>
              <w:pStyle w:val="44"/>
              <w:spacing w:line="360" w:lineRule="auto"/>
              <w:rPr>
                <w:rFonts w:ascii="仿宋" w:hAnsi="仿宋" w:eastAsia="仿宋"/>
                <w:sz w:val="24"/>
                <w:szCs w:val="24"/>
                <w:lang w:eastAsia="zh-CN"/>
              </w:rPr>
            </w:pPr>
            <w:r>
              <w:rPr>
                <w:rFonts w:ascii="仿宋" w:hAnsi="仿宋" w:eastAsia="仿宋"/>
                <w:sz w:val="24"/>
                <w:szCs w:val="24"/>
                <w:lang w:eastAsia="zh-CN"/>
              </w:rPr>
              <w:t>该系统能够通过与 HIS、LIS、PACS、电子病历系统联合来统计卫生部所提出的关</w:t>
            </w:r>
            <w:r>
              <w:rPr>
                <w:rFonts w:hint="eastAsia" w:ascii="仿宋" w:hAnsi="仿宋" w:eastAsia="仿宋"/>
                <w:sz w:val="24"/>
                <w:szCs w:val="24"/>
                <w:lang w:val="en-US" w:eastAsia="zh-CN"/>
              </w:rPr>
              <w:t>于</w:t>
            </w:r>
            <w:r>
              <w:rPr>
                <w:rFonts w:ascii="仿宋" w:hAnsi="仿宋" w:eastAsia="仿宋"/>
                <w:sz w:val="24"/>
                <w:szCs w:val="24"/>
                <w:lang w:eastAsia="zh-CN"/>
              </w:rPr>
              <w:t>上报质控数据的要求，需要手术麻醉系统的具体各项数据指标如下：</w:t>
            </w:r>
          </w:p>
          <w:p>
            <w:pPr>
              <w:pStyle w:val="44"/>
              <w:spacing w:line="360" w:lineRule="auto"/>
              <w:rPr>
                <w:rFonts w:ascii="仿宋" w:hAnsi="仿宋" w:eastAsia="仿宋"/>
                <w:sz w:val="24"/>
                <w:szCs w:val="24"/>
                <w:lang w:eastAsia="zh-CN"/>
              </w:rPr>
            </w:pPr>
            <w:r>
              <w:rPr>
                <w:rFonts w:ascii="仿宋" w:hAnsi="仿宋" w:eastAsia="仿宋"/>
                <w:sz w:val="24"/>
                <w:szCs w:val="24"/>
                <w:lang w:eastAsia="zh-CN"/>
              </w:rPr>
              <w:t>1) 麻醉科医患比</w:t>
            </w:r>
          </w:p>
          <w:p>
            <w:pPr>
              <w:pStyle w:val="44"/>
              <w:spacing w:line="360" w:lineRule="auto"/>
              <w:rPr>
                <w:rFonts w:ascii="仿宋" w:hAnsi="仿宋" w:eastAsia="仿宋"/>
                <w:sz w:val="24"/>
                <w:szCs w:val="24"/>
                <w:lang w:eastAsia="zh-CN"/>
              </w:rPr>
            </w:pPr>
            <w:r>
              <w:rPr>
                <w:rFonts w:ascii="仿宋" w:hAnsi="仿宋" w:eastAsia="仿宋"/>
                <w:sz w:val="24"/>
                <w:szCs w:val="24"/>
                <w:lang w:eastAsia="zh-CN"/>
              </w:rPr>
              <w:t>2) 各ASA分级麻醉患者比例</w:t>
            </w:r>
          </w:p>
          <w:p>
            <w:pPr>
              <w:pStyle w:val="44"/>
              <w:spacing w:line="360" w:lineRule="auto"/>
              <w:rPr>
                <w:rFonts w:ascii="仿宋" w:hAnsi="仿宋" w:eastAsia="仿宋"/>
                <w:sz w:val="24"/>
                <w:szCs w:val="24"/>
                <w:lang w:eastAsia="zh-CN"/>
              </w:rPr>
            </w:pPr>
            <w:r>
              <w:rPr>
                <w:rFonts w:ascii="仿宋" w:hAnsi="仿宋" w:eastAsia="仿宋"/>
                <w:sz w:val="24"/>
                <w:szCs w:val="24"/>
                <w:lang w:eastAsia="zh-CN"/>
              </w:rPr>
              <w:t>3) 急诊非择期麻醉比例</w:t>
            </w:r>
          </w:p>
          <w:p>
            <w:pPr>
              <w:pStyle w:val="44"/>
              <w:spacing w:line="360" w:lineRule="auto"/>
              <w:rPr>
                <w:rFonts w:ascii="仿宋" w:hAnsi="仿宋" w:eastAsia="仿宋"/>
                <w:sz w:val="24"/>
                <w:szCs w:val="24"/>
                <w:lang w:eastAsia="zh-CN"/>
              </w:rPr>
            </w:pPr>
            <w:r>
              <w:rPr>
                <w:rFonts w:ascii="仿宋" w:hAnsi="仿宋" w:eastAsia="仿宋"/>
                <w:sz w:val="24"/>
                <w:szCs w:val="24"/>
                <w:lang w:eastAsia="zh-CN"/>
              </w:rPr>
              <w:t>4) 各类麻醉方式比例</w:t>
            </w:r>
          </w:p>
          <w:p>
            <w:pPr>
              <w:pStyle w:val="44"/>
              <w:spacing w:line="360" w:lineRule="auto"/>
              <w:rPr>
                <w:rFonts w:ascii="仿宋" w:hAnsi="仿宋" w:eastAsia="仿宋"/>
                <w:sz w:val="24"/>
                <w:szCs w:val="24"/>
                <w:lang w:eastAsia="zh-CN"/>
              </w:rPr>
            </w:pPr>
            <w:r>
              <w:rPr>
                <w:rFonts w:ascii="仿宋" w:hAnsi="仿宋" w:eastAsia="仿宋"/>
                <w:sz w:val="24"/>
                <w:szCs w:val="24"/>
                <w:lang w:eastAsia="zh-CN"/>
              </w:rPr>
              <w:t>5) 麻醉开始后手术取消率</w:t>
            </w:r>
          </w:p>
          <w:p>
            <w:pPr>
              <w:pStyle w:val="44"/>
              <w:spacing w:line="360" w:lineRule="auto"/>
              <w:rPr>
                <w:rFonts w:ascii="仿宋" w:hAnsi="仿宋" w:eastAsia="仿宋"/>
                <w:sz w:val="24"/>
                <w:szCs w:val="24"/>
                <w:lang w:eastAsia="zh-CN"/>
              </w:rPr>
            </w:pPr>
            <w:r>
              <w:rPr>
                <w:rFonts w:ascii="仿宋" w:hAnsi="仿宋" w:eastAsia="仿宋"/>
                <w:sz w:val="24"/>
                <w:szCs w:val="24"/>
                <w:lang w:eastAsia="zh-CN"/>
              </w:rPr>
              <w:t>6) 麻醉后检测治疗室 C PACU) 转出延迟率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noWrap w:val="0"/>
            <w:vAlign w:val="center"/>
          </w:tcPr>
          <w:p>
            <w:pPr>
              <w:spacing w:line="360" w:lineRule="auto"/>
              <w:jc w:val="center"/>
              <w:rPr>
                <w:rFonts w:ascii="仿宋" w:hAnsi="仿宋" w:eastAsia="仿宋"/>
                <w:sz w:val="24"/>
                <w:szCs w:val="24"/>
              </w:rPr>
            </w:pPr>
            <w:r>
              <w:rPr>
                <w:rFonts w:hint="eastAsia" w:ascii="仿宋" w:hAnsi="仿宋" w:eastAsia="仿宋"/>
                <w:sz w:val="24"/>
                <w:szCs w:val="24"/>
              </w:rPr>
              <w:t>4</w:t>
            </w:r>
          </w:p>
        </w:tc>
        <w:tc>
          <w:tcPr>
            <w:tcW w:w="1839" w:type="dxa"/>
            <w:noWrap w:val="0"/>
            <w:vAlign w:val="center"/>
          </w:tcPr>
          <w:p>
            <w:pPr>
              <w:spacing w:line="360" w:lineRule="auto"/>
              <w:jc w:val="center"/>
              <w:rPr>
                <w:rFonts w:ascii="仿宋" w:hAnsi="仿宋" w:eastAsia="仿宋"/>
                <w:w w:val="105"/>
                <w:sz w:val="24"/>
                <w:szCs w:val="24"/>
              </w:rPr>
            </w:pPr>
            <w:r>
              <w:rPr>
                <w:rFonts w:ascii="仿宋" w:hAnsi="仿宋" w:eastAsia="仿宋"/>
                <w:w w:val="105"/>
                <w:sz w:val="24"/>
                <w:szCs w:val="24"/>
              </w:rPr>
              <w:t>麻醉专业医疗质量控制指标</w:t>
            </w:r>
          </w:p>
        </w:tc>
        <w:tc>
          <w:tcPr>
            <w:tcW w:w="6336" w:type="dxa"/>
            <w:noWrap w:val="0"/>
            <w:vAlign w:val="center"/>
          </w:tcPr>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能够提供麻醉质控单，支持录入26</w:t>
            </w:r>
            <w:r>
              <w:rPr>
                <w:rFonts w:ascii="仿宋" w:hAnsi="仿宋" w:eastAsia="仿宋"/>
                <w:sz w:val="24"/>
                <w:szCs w:val="24"/>
                <w:lang w:eastAsia="zh-CN"/>
              </w:rPr>
              <w:t>项质控所需数据，对质控指标进行监测。具体</w:t>
            </w:r>
            <w:r>
              <w:rPr>
                <w:rFonts w:hint="eastAsia" w:ascii="仿宋" w:hAnsi="仿宋" w:eastAsia="仿宋"/>
                <w:sz w:val="24"/>
                <w:szCs w:val="24"/>
                <w:lang w:eastAsia="zh-CN"/>
              </w:rPr>
              <w:t>26</w:t>
            </w:r>
            <w:r>
              <w:rPr>
                <w:rFonts w:ascii="仿宋" w:hAnsi="仿宋" w:eastAsia="仿宋"/>
                <w:sz w:val="24"/>
                <w:szCs w:val="24"/>
                <w:lang w:eastAsia="zh-CN"/>
              </w:rPr>
              <w:t>项指标为【20</w:t>
            </w:r>
            <w:r>
              <w:rPr>
                <w:rFonts w:hint="eastAsia" w:ascii="仿宋" w:hAnsi="仿宋" w:eastAsia="仿宋"/>
                <w:sz w:val="24"/>
                <w:szCs w:val="24"/>
                <w:lang w:eastAsia="zh-CN"/>
              </w:rPr>
              <w:t>22</w:t>
            </w:r>
            <w:r>
              <w:rPr>
                <w:rFonts w:ascii="仿宋" w:hAnsi="仿宋" w:eastAsia="仿宋"/>
                <w:sz w:val="24"/>
                <w:szCs w:val="24"/>
                <w:lang w:eastAsia="zh-CN"/>
              </w:rPr>
              <w:t>版麻醉专业医疗质量控制指标】</w:t>
            </w:r>
            <w:r>
              <w:rPr>
                <w:rFonts w:hint="eastAsia" w:ascii="仿宋" w:hAnsi="仿宋" w:eastAsia="仿宋"/>
                <w:sz w:val="24"/>
                <w:szCs w:val="24"/>
                <w:lang w:eastAsia="zh-CN"/>
              </w:rPr>
              <w:t>。</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一、麻醉科医护比</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二、麻醉医师人均年麻醉例次数</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三、手术室外麻醉占比</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四、择期手术麻醉前访视率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五、入室后手术麻醉取消率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六、麻醉开始后手术取消率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七、全身麻醉术中体温监测率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八、术中主动保温率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九、术中自体血输注率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十、手术麻醉期间低体温发生率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十一、术中牙齿损伤发生率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十二、麻醉期间严重反流误吸发生率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十三、计划外建立人工气道发生率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十四、术中心脏骤停率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十五、麻醉期间严重过敏反应发生率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十六、全身麻醉术中知晓发生率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十七、PACU 入室低体温发生率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十八、麻醉后 PACU 转出延迟率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十九、非计划二次气管插管率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二十、非计划转入 ICU 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二十一、术后镇痛满意率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二十二、区域阻滞麻醉后严重神经并发症发生率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二十三、全身麻醉气管插管拔管后声音嘶哑发生率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二十四、麻醉后新发昏迷发生率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二十五、麻醉后 24 小时内患者死亡率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二十六、阴道分娩椎管内麻醉使用率</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系统提供质控文书模板，可对单个患者手工录入质控相关数据。</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系统提供麻醉数据库新增2022版麻醉质控专用表。</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系统提供麻醉系统进行新增数据表绑定功能程序修改。</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系统支持提供实时的质控工作内容展现，以及对2022年麻醉质控指标中的各类质控指标结果进行图形分析，便于科室管理者掌控麻醉质控工作，并能够形成质控统计报表，可对质控结果进行月报、季报、年报的统计。</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系统能够提供新增26项麻醉质控统计汇总总表。</w:t>
            </w:r>
          </w:p>
          <w:p>
            <w:pPr>
              <w:pStyle w:val="44"/>
              <w:spacing w:line="360" w:lineRule="auto"/>
              <w:rPr>
                <w:rFonts w:ascii="仿宋" w:hAnsi="仿宋" w:eastAsia="仿宋"/>
                <w:sz w:val="24"/>
                <w:szCs w:val="24"/>
                <w:lang w:eastAsia="zh-CN"/>
              </w:rPr>
            </w:pPr>
            <w:r>
              <w:rPr>
                <w:rFonts w:hint="eastAsia" w:ascii="仿宋" w:hAnsi="仿宋" w:eastAsia="仿宋"/>
                <w:sz w:val="24"/>
                <w:szCs w:val="24"/>
                <w:lang w:eastAsia="zh-CN"/>
              </w:rPr>
              <w:t>系统能够提供单项质控数据麻醉明细查询功能。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vMerge w:val="restart"/>
            <w:noWrap w:val="0"/>
            <w:vAlign w:val="center"/>
          </w:tcPr>
          <w:p>
            <w:pPr>
              <w:pStyle w:val="44"/>
              <w:spacing w:line="360" w:lineRule="auto"/>
              <w:jc w:val="center"/>
              <w:rPr>
                <w:rFonts w:ascii="仿宋" w:hAnsi="仿宋" w:eastAsia="仿宋"/>
                <w:sz w:val="24"/>
                <w:szCs w:val="24"/>
                <w:lang w:eastAsia="zh-CN"/>
              </w:rPr>
            </w:pPr>
            <w:r>
              <w:rPr>
                <w:rFonts w:ascii="仿宋" w:hAnsi="仿宋" w:eastAsia="仿宋"/>
                <w:w w:val="105"/>
                <w:sz w:val="24"/>
                <w:szCs w:val="24"/>
                <w:lang w:eastAsia="zh-CN"/>
              </w:rPr>
              <w:t>5</w:t>
            </w:r>
          </w:p>
        </w:tc>
        <w:tc>
          <w:tcPr>
            <w:tcW w:w="1839" w:type="dxa"/>
            <w:vMerge w:val="restart"/>
            <w:noWrap w:val="0"/>
            <w:vAlign w:val="center"/>
          </w:tcPr>
          <w:p>
            <w:pPr>
              <w:pStyle w:val="44"/>
              <w:spacing w:line="360" w:lineRule="auto"/>
              <w:jc w:val="center"/>
              <w:rPr>
                <w:rFonts w:ascii="仿宋" w:hAnsi="仿宋" w:eastAsia="仿宋"/>
                <w:w w:val="105"/>
                <w:sz w:val="24"/>
                <w:szCs w:val="24"/>
              </w:rPr>
            </w:pPr>
            <w:r>
              <w:rPr>
                <w:rFonts w:ascii="仿宋" w:hAnsi="仿宋" w:eastAsia="仿宋"/>
                <w:w w:val="105"/>
                <w:sz w:val="24"/>
                <w:szCs w:val="24"/>
                <w:lang w:eastAsia="zh-CN"/>
              </w:rPr>
              <w:t>移动设备手术通知家属</w:t>
            </w:r>
          </w:p>
        </w:tc>
        <w:tc>
          <w:tcPr>
            <w:tcW w:w="6336" w:type="dxa"/>
            <w:noWrap w:val="0"/>
            <w:vAlign w:val="center"/>
          </w:tcPr>
          <w:p>
            <w:pPr>
              <w:pStyle w:val="44"/>
              <w:spacing w:line="360" w:lineRule="auto"/>
              <w:rPr>
                <w:rFonts w:ascii="仿宋" w:hAnsi="仿宋" w:eastAsia="仿宋"/>
                <w:sz w:val="24"/>
                <w:szCs w:val="24"/>
                <w:lang w:eastAsia="zh-CN"/>
              </w:rPr>
            </w:pPr>
            <w:r>
              <w:rPr>
                <w:rFonts w:ascii="仿宋" w:hAnsi="仿宋" w:eastAsia="仿宋"/>
                <w:w w:val="110"/>
                <w:sz w:val="24"/>
                <w:szCs w:val="24"/>
                <w:lang w:eastAsia="zh-CN"/>
              </w:rPr>
              <w:t>能够利用短信通知患者家属手术进度信</w:t>
            </w:r>
            <w:r>
              <w:rPr>
                <w:rFonts w:ascii="仿宋" w:hAnsi="仿宋" w:eastAsia="仿宋"/>
                <w:w w:val="106"/>
                <w:sz w:val="24"/>
                <w:szCs w:val="24"/>
                <w:lang w:eastAsia="zh-CN"/>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vMerge w:val="continue"/>
            <w:noWrap w:val="0"/>
            <w:vAlign w:val="center"/>
          </w:tcPr>
          <w:p>
            <w:pPr>
              <w:spacing w:line="360" w:lineRule="auto"/>
              <w:jc w:val="center"/>
              <w:rPr>
                <w:rFonts w:ascii="仿宋" w:hAnsi="仿宋" w:eastAsia="仿宋"/>
                <w:sz w:val="24"/>
                <w:szCs w:val="24"/>
              </w:rPr>
            </w:pPr>
          </w:p>
        </w:tc>
        <w:tc>
          <w:tcPr>
            <w:tcW w:w="1839" w:type="dxa"/>
            <w:vMerge w:val="continue"/>
            <w:noWrap w:val="0"/>
            <w:vAlign w:val="center"/>
          </w:tcPr>
          <w:p>
            <w:pPr>
              <w:pStyle w:val="44"/>
              <w:spacing w:line="360" w:lineRule="auto"/>
              <w:rPr>
                <w:rFonts w:ascii="仿宋" w:hAnsi="仿宋" w:eastAsia="仿宋"/>
                <w:w w:val="105"/>
                <w:sz w:val="24"/>
                <w:szCs w:val="24"/>
              </w:rPr>
            </w:pPr>
          </w:p>
        </w:tc>
        <w:tc>
          <w:tcPr>
            <w:tcW w:w="6336" w:type="dxa"/>
            <w:noWrap w:val="0"/>
            <w:vAlign w:val="center"/>
          </w:tcPr>
          <w:p>
            <w:pPr>
              <w:pStyle w:val="44"/>
              <w:spacing w:line="360" w:lineRule="auto"/>
              <w:rPr>
                <w:rFonts w:hint="default" w:ascii="仿宋" w:hAnsi="仿宋" w:eastAsia="仿宋"/>
                <w:sz w:val="24"/>
                <w:szCs w:val="24"/>
                <w:lang w:val="en-US" w:eastAsia="zh-CN"/>
              </w:rPr>
            </w:pPr>
            <w:r>
              <w:rPr>
                <w:rFonts w:ascii="仿宋" w:hAnsi="仿宋" w:eastAsia="仿宋"/>
                <w:w w:val="110"/>
                <w:sz w:val="24"/>
                <w:szCs w:val="24"/>
                <w:lang w:eastAsia="zh-CN"/>
              </w:rPr>
              <w:t>能够利用微信通知患者家属手术进度信</w:t>
            </w:r>
            <w:r>
              <w:rPr>
                <w:rFonts w:hint="eastAsia" w:ascii="仿宋" w:hAnsi="仿宋" w:eastAsia="仿宋"/>
                <w:w w:val="110"/>
                <w:sz w:val="24"/>
                <w:szCs w:val="24"/>
                <w:lang w:val="en-US" w:eastAsia="zh-CN"/>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noWrap w:val="0"/>
            <w:vAlign w:val="center"/>
          </w:tcPr>
          <w:p>
            <w:pPr>
              <w:spacing w:line="360" w:lineRule="auto"/>
              <w:jc w:val="center"/>
              <w:rPr>
                <w:rFonts w:ascii="仿宋" w:hAnsi="仿宋" w:eastAsia="仿宋"/>
                <w:sz w:val="24"/>
                <w:szCs w:val="24"/>
              </w:rPr>
            </w:pPr>
            <w:r>
              <w:rPr>
                <w:rFonts w:hint="eastAsia" w:ascii="仿宋" w:hAnsi="仿宋" w:eastAsia="仿宋"/>
                <w:sz w:val="24"/>
                <w:szCs w:val="24"/>
              </w:rPr>
              <w:t>6</w:t>
            </w:r>
          </w:p>
        </w:tc>
        <w:tc>
          <w:tcPr>
            <w:tcW w:w="1839" w:type="dxa"/>
            <w:noWrap w:val="0"/>
            <w:vAlign w:val="center"/>
          </w:tcPr>
          <w:p>
            <w:pPr>
              <w:pStyle w:val="44"/>
              <w:spacing w:line="360" w:lineRule="auto"/>
              <w:rPr>
                <w:rFonts w:ascii="仿宋" w:hAnsi="仿宋" w:eastAsia="仿宋"/>
                <w:w w:val="105"/>
                <w:sz w:val="24"/>
                <w:szCs w:val="24"/>
                <w:lang w:eastAsia="zh-CN"/>
              </w:rPr>
            </w:pPr>
            <w:r>
              <w:rPr>
                <w:rFonts w:hint="eastAsia" w:ascii="仿宋" w:hAnsi="仿宋" w:eastAsia="仿宋"/>
                <w:w w:val="105"/>
                <w:sz w:val="24"/>
                <w:szCs w:val="24"/>
                <w:lang w:eastAsia="zh-CN"/>
              </w:rPr>
              <w:t>病房工作沟通</w:t>
            </w:r>
          </w:p>
        </w:tc>
        <w:tc>
          <w:tcPr>
            <w:tcW w:w="6336" w:type="dxa"/>
            <w:noWrap w:val="0"/>
            <w:vAlign w:val="center"/>
          </w:tcPr>
          <w:p>
            <w:pPr>
              <w:pStyle w:val="44"/>
              <w:spacing w:line="360" w:lineRule="auto"/>
              <w:rPr>
                <w:rFonts w:ascii="仿宋" w:hAnsi="仿宋" w:eastAsia="仿宋"/>
                <w:w w:val="110"/>
                <w:sz w:val="24"/>
                <w:szCs w:val="24"/>
                <w:lang w:eastAsia="zh-CN"/>
              </w:rPr>
            </w:pPr>
            <w:r>
              <w:rPr>
                <w:rFonts w:hint="eastAsia" w:ascii="仿宋" w:hAnsi="仿宋" w:eastAsia="仿宋"/>
                <w:w w:val="110"/>
                <w:sz w:val="24"/>
                <w:szCs w:val="24"/>
                <w:lang w:eastAsia="zh-CN"/>
              </w:rPr>
              <w:t>能够通知病房运送患者到手术室</w:t>
            </w:r>
          </w:p>
          <w:p>
            <w:pPr>
              <w:pStyle w:val="44"/>
              <w:spacing w:line="360" w:lineRule="auto"/>
              <w:rPr>
                <w:rFonts w:ascii="仿宋" w:hAnsi="仿宋" w:eastAsia="仿宋"/>
                <w:w w:val="110"/>
                <w:sz w:val="24"/>
                <w:szCs w:val="24"/>
                <w:lang w:eastAsia="zh-CN"/>
              </w:rPr>
            </w:pPr>
            <w:r>
              <w:rPr>
                <w:rFonts w:hint="eastAsia" w:ascii="仿宋" w:hAnsi="仿宋" w:eastAsia="仿宋"/>
                <w:w w:val="110"/>
                <w:sz w:val="24"/>
                <w:szCs w:val="24"/>
                <w:lang w:eastAsia="zh-CN"/>
              </w:rPr>
              <w:t>能够给通知病房接收患者到病房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noWrap w:val="0"/>
            <w:vAlign w:val="center"/>
          </w:tcPr>
          <w:p>
            <w:pPr>
              <w:spacing w:line="360" w:lineRule="auto"/>
              <w:jc w:val="center"/>
              <w:rPr>
                <w:rFonts w:ascii="仿宋" w:hAnsi="仿宋" w:eastAsia="仿宋"/>
                <w:sz w:val="24"/>
                <w:szCs w:val="24"/>
              </w:rPr>
            </w:pPr>
            <w:r>
              <w:rPr>
                <w:rFonts w:hint="eastAsia" w:ascii="仿宋" w:hAnsi="仿宋" w:eastAsia="仿宋"/>
                <w:sz w:val="24"/>
                <w:szCs w:val="24"/>
              </w:rPr>
              <w:t>7</w:t>
            </w:r>
          </w:p>
        </w:tc>
        <w:tc>
          <w:tcPr>
            <w:tcW w:w="1839" w:type="dxa"/>
            <w:noWrap w:val="0"/>
            <w:vAlign w:val="center"/>
          </w:tcPr>
          <w:p>
            <w:pPr>
              <w:spacing w:line="360" w:lineRule="auto"/>
              <w:rPr>
                <w:rFonts w:ascii="仿宋" w:hAnsi="仿宋" w:eastAsia="仿宋"/>
                <w:w w:val="110"/>
                <w:sz w:val="24"/>
                <w:szCs w:val="24"/>
              </w:rPr>
            </w:pPr>
            <w:r>
              <w:rPr>
                <w:rFonts w:hint="eastAsia" w:ascii="仿宋" w:hAnsi="仿宋" w:eastAsia="仿宋"/>
                <w:w w:val="110"/>
                <w:sz w:val="24"/>
                <w:szCs w:val="24"/>
              </w:rPr>
              <w:t>移动访视</w:t>
            </w:r>
          </w:p>
        </w:tc>
        <w:tc>
          <w:tcPr>
            <w:tcW w:w="6336" w:type="dxa"/>
            <w:noWrap w:val="0"/>
            <w:vAlign w:val="center"/>
          </w:tcPr>
          <w:p>
            <w:pPr>
              <w:spacing w:line="360" w:lineRule="auto"/>
              <w:rPr>
                <w:rFonts w:ascii="仿宋" w:hAnsi="仿宋" w:eastAsia="仿宋"/>
                <w:w w:val="110"/>
                <w:sz w:val="24"/>
                <w:szCs w:val="24"/>
              </w:rPr>
            </w:pPr>
            <w:r>
              <w:rPr>
                <w:rFonts w:hint="eastAsia" w:ascii="仿宋" w:hAnsi="仿宋" w:eastAsia="仿宋"/>
                <w:w w:val="110"/>
                <w:sz w:val="24"/>
                <w:szCs w:val="24"/>
              </w:rPr>
              <w:t>增加移动访视功能：提供可在移动端平板电脑安装的客户端app，方便医生在进行术前术后访视时实时记录文书数据。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noWrap w:val="0"/>
            <w:vAlign w:val="center"/>
          </w:tcPr>
          <w:p>
            <w:pPr>
              <w:spacing w:line="360" w:lineRule="auto"/>
              <w:jc w:val="center"/>
              <w:rPr>
                <w:rFonts w:ascii="仿宋" w:hAnsi="仿宋" w:eastAsia="仿宋"/>
                <w:sz w:val="24"/>
                <w:szCs w:val="24"/>
              </w:rPr>
            </w:pPr>
            <w:r>
              <w:rPr>
                <w:rFonts w:hint="eastAsia" w:ascii="仿宋" w:hAnsi="仿宋" w:eastAsia="仿宋"/>
                <w:sz w:val="24"/>
                <w:szCs w:val="24"/>
              </w:rPr>
              <w:t>8</w:t>
            </w:r>
          </w:p>
        </w:tc>
        <w:tc>
          <w:tcPr>
            <w:tcW w:w="1839" w:type="dxa"/>
            <w:noWrap w:val="0"/>
            <w:vAlign w:val="center"/>
          </w:tcPr>
          <w:p>
            <w:pPr>
              <w:spacing w:line="360" w:lineRule="auto"/>
              <w:rPr>
                <w:rFonts w:hint="default" w:ascii="仿宋" w:hAnsi="仿宋" w:eastAsia="仿宋"/>
                <w:w w:val="110"/>
                <w:sz w:val="24"/>
                <w:szCs w:val="24"/>
                <w:lang w:val="en-US" w:eastAsia="zh-CN"/>
              </w:rPr>
            </w:pPr>
            <w:r>
              <w:rPr>
                <w:rFonts w:hint="eastAsia" w:ascii="仿宋" w:hAnsi="仿宋" w:eastAsia="仿宋"/>
                <w:w w:val="110"/>
                <w:sz w:val="24"/>
                <w:szCs w:val="24"/>
                <w:lang w:val="en-US" w:eastAsia="zh-CN"/>
              </w:rPr>
              <w:t>移动端科室管理子系统</w:t>
            </w:r>
          </w:p>
        </w:tc>
        <w:tc>
          <w:tcPr>
            <w:tcW w:w="6336" w:type="dxa"/>
            <w:noWrap w:val="0"/>
            <w:vAlign w:val="center"/>
          </w:tcPr>
          <w:p>
            <w:pPr>
              <w:spacing w:line="360" w:lineRule="auto"/>
              <w:rPr>
                <w:rFonts w:ascii="仿宋" w:hAnsi="仿宋" w:eastAsia="仿宋"/>
                <w:w w:val="110"/>
                <w:sz w:val="24"/>
                <w:szCs w:val="24"/>
              </w:rPr>
            </w:pPr>
            <w:r>
              <w:rPr>
                <w:rFonts w:hint="eastAsia" w:ascii="仿宋" w:hAnsi="仿宋" w:eastAsia="仿宋"/>
                <w:w w:val="110"/>
                <w:sz w:val="24"/>
                <w:szCs w:val="24"/>
              </w:rPr>
              <w:t>增加</w:t>
            </w:r>
            <w:r>
              <w:rPr>
                <w:rFonts w:hint="eastAsia" w:ascii="仿宋" w:hAnsi="仿宋" w:eastAsia="仿宋"/>
                <w:w w:val="110"/>
                <w:sz w:val="24"/>
                <w:szCs w:val="24"/>
                <w:lang w:val="en-US" w:eastAsia="zh-CN"/>
              </w:rPr>
              <w:t>移动端</w:t>
            </w:r>
            <w:r>
              <w:rPr>
                <w:rFonts w:hint="eastAsia" w:ascii="仿宋" w:hAnsi="仿宋" w:eastAsia="仿宋"/>
                <w:w w:val="110"/>
                <w:sz w:val="24"/>
                <w:szCs w:val="24"/>
              </w:rPr>
              <w:t>app,方便医生护士在手机上查看手术安排情况等。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2" w:type="dxa"/>
            <w:noWrap w:val="0"/>
            <w:vAlign w:val="center"/>
          </w:tcPr>
          <w:p>
            <w:pPr>
              <w:spacing w:line="360" w:lineRule="auto"/>
              <w:jc w:val="center"/>
              <w:rPr>
                <w:rFonts w:ascii="仿宋" w:hAnsi="仿宋" w:eastAsia="仿宋"/>
                <w:sz w:val="24"/>
                <w:szCs w:val="24"/>
              </w:rPr>
            </w:pPr>
            <w:r>
              <w:rPr>
                <w:rFonts w:hint="eastAsia" w:ascii="仿宋" w:hAnsi="仿宋" w:eastAsia="仿宋"/>
                <w:sz w:val="24"/>
                <w:szCs w:val="24"/>
              </w:rPr>
              <w:t>9</w:t>
            </w:r>
          </w:p>
        </w:tc>
        <w:tc>
          <w:tcPr>
            <w:tcW w:w="1839" w:type="dxa"/>
            <w:noWrap w:val="0"/>
            <w:vAlign w:val="center"/>
          </w:tcPr>
          <w:p>
            <w:pPr>
              <w:spacing w:line="360" w:lineRule="auto"/>
              <w:rPr>
                <w:rFonts w:ascii="仿宋" w:hAnsi="仿宋" w:eastAsia="仿宋"/>
                <w:w w:val="110"/>
                <w:sz w:val="24"/>
                <w:szCs w:val="24"/>
              </w:rPr>
            </w:pPr>
            <w:bookmarkStart w:id="1" w:name="_Hlk146198913"/>
            <w:r>
              <w:rPr>
                <w:rFonts w:hint="eastAsia" w:ascii="仿宋" w:hAnsi="仿宋" w:eastAsia="仿宋"/>
                <w:w w:val="110"/>
                <w:sz w:val="24"/>
                <w:szCs w:val="24"/>
              </w:rPr>
              <w:t>围术期管理决策平台</w:t>
            </w:r>
            <w:bookmarkEnd w:id="1"/>
          </w:p>
        </w:tc>
        <w:tc>
          <w:tcPr>
            <w:tcW w:w="6336" w:type="dxa"/>
            <w:noWrap w:val="0"/>
            <w:vAlign w:val="center"/>
          </w:tcPr>
          <w:p>
            <w:pPr>
              <w:spacing w:line="360" w:lineRule="auto"/>
              <w:rPr>
                <w:rFonts w:ascii="仿宋" w:hAnsi="仿宋" w:eastAsia="仿宋"/>
                <w:w w:val="110"/>
                <w:sz w:val="24"/>
                <w:szCs w:val="24"/>
              </w:rPr>
            </w:pPr>
            <w:r>
              <w:rPr>
                <w:rFonts w:hint="eastAsia" w:ascii="仿宋" w:hAnsi="仿宋" w:eastAsia="仿宋"/>
                <w:w w:val="110"/>
                <w:sz w:val="24"/>
                <w:szCs w:val="24"/>
              </w:rPr>
              <w:t>旧版网页版查询统计升级为新版围术期管理决策平台，包括内容有麻醉专业质控统计（2020版）、首台手术准时开台率分析、手术临时停台原因分析、择期手术取消手术原因分析、接台手术时长分析、二次手术情况分析、手术平均时长分析等。</w:t>
            </w:r>
          </w:p>
          <w:p>
            <w:pPr>
              <w:spacing w:line="360" w:lineRule="auto"/>
              <w:rPr>
                <w:rFonts w:hint="eastAsia" w:ascii="仿宋" w:hAnsi="仿宋" w:eastAsia="仿宋"/>
                <w:w w:val="110"/>
                <w:sz w:val="24"/>
                <w:szCs w:val="24"/>
              </w:rPr>
            </w:pPr>
            <w:bookmarkStart w:id="2" w:name="_Hlk148017590"/>
            <w:r>
              <w:rPr>
                <w:rFonts w:ascii="仿宋" w:hAnsi="仿宋" w:eastAsia="仿宋"/>
                <w:w w:val="110"/>
                <w:sz w:val="24"/>
                <w:szCs w:val="24"/>
              </w:rPr>
              <w:t>1、有射线手术统计（含病人资料及手术相关人员）。2、感染手术的统计。3、日间手术和门诊手术量的统计。4、每台仪器设备的使用率。5、升级后与院内各系统互联互通。</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7" w:hRule="atLeast"/>
          <w:jc w:val="center"/>
        </w:trPr>
        <w:tc>
          <w:tcPr>
            <w:tcW w:w="892" w:type="dxa"/>
            <w:noWrap w:val="0"/>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c>
          <w:tcPr>
            <w:tcW w:w="1839" w:type="dxa"/>
            <w:noWrap w:val="0"/>
            <w:vAlign w:val="center"/>
          </w:tcPr>
          <w:p>
            <w:pPr>
              <w:spacing w:line="360" w:lineRule="auto"/>
              <w:jc w:val="center"/>
              <w:rPr>
                <w:rFonts w:hint="default" w:ascii="仿宋" w:hAnsi="仿宋" w:eastAsia="仿宋"/>
                <w:w w:val="110"/>
                <w:sz w:val="24"/>
                <w:szCs w:val="24"/>
                <w:lang w:val="en-US" w:eastAsia="zh-CN"/>
              </w:rPr>
            </w:pPr>
            <w:r>
              <w:rPr>
                <w:rFonts w:hint="eastAsia" w:ascii="仿宋" w:hAnsi="仿宋" w:eastAsia="仿宋"/>
                <w:w w:val="110"/>
                <w:sz w:val="24"/>
                <w:szCs w:val="24"/>
                <w:lang w:val="en-US" w:eastAsia="zh-CN"/>
              </w:rPr>
              <w:t>手术分级和权限管理</w:t>
            </w:r>
          </w:p>
        </w:tc>
        <w:tc>
          <w:tcPr>
            <w:tcW w:w="6336" w:type="dxa"/>
            <w:noWrap w:val="0"/>
            <w:vAlign w:val="center"/>
          </w:tcPr>
          <w:p>
            <w:pPr>
              <w:spacing w:line="360" w:lineRule="auto"/>
              <w:rPr>
                <w:rFonts w:ascii="仿宋" w:hAnsi="仿宋" w:eastAsia="仿宋"/>
                <w:w w:val="110"/>
                <w:sz w:val="24"/>
                <w:szCs w:val="24"/>
              </w:rPr>
            </w:pPr>
            <w:r>
              <w:rPr>
                <w:rFonts w:hint="eastAsia" w:ascii="仿宋" w:hAnsi="仿宋" w:eastAsia="仿宋" w:cs="Times New Roman"/>
                <w:w w:val="110"/>
                <w:sz w:val="24"/>
                <w:szCs w:val="24"/>
                <w:lang w:val="en-US" w:eastAsia="zh-CN"/>
              </w:rPr>
              <w:t>在手术预约排班系统可以维护的手术分级管理和权限控制。手术申请列表显示的手术编码和手术名称要和电子病历系统开的手术申请保持一致，当安排手术排班时，如果医生没有做该手术的权限，系统拦截并弹框提示该医生没有该手术权限的信息。</w:t>
            </w:r>
          </w:p>
        </w:tc>
      </w:tr>
    </w:tbl>
    <w:p>
      <w:pPr>
        <w:tabs>
          <w:tab w:val="left" w:pos="1890"/>
        </w:tabs>
        <w:spacing w:line="360" w:lineRule="auto"/>
        <w:ind w:firstLine="482" w:firstLineChars="200"/>
        <w:rPr>
          <w:rFonts w:ascii="宋体" w:hAnsi="宋体"/>
          <w:b/>
          <w:kern w:val="0"/>
          <w:sz w:val="24"/>
          <w:szCs w:val="24"/>
        </w:rPr>
      </w:pPr>
    </w:p>
    <w:p>
      <w:pPr>
        <w:tabs>
          <w:tab w:val="left" w:pos="1890"/>
        </w:tabs>
        <w:spacing w:line="360" w:lineRule="auto"/>
        <w:ind w:firstLine="482" w:firstLineChars="200"/>
        <w:rPr>
          <w:rFonts w:ascii="宋体" w:hAnsi="宋体"/>
          <w:b/>
          <w:kern w:val="0"/>
          <w:sz w:val="24"/>
          <w:szCs w:val="24"/>
        </w:rPr>
      </w:pPr>
      <w:r>
        <w:rPr>
          <w:rFonts w:hint="eastAsia" w:ascii="宋体" w:hAnsi="宋体"/>
          <w:b/>
          <w:kern w:val="0"/>
          <w:sz w:val="24"/>
          <w:szCs w:val="24"/>
        </w:rPr>
        <w:t>备注</w:t>
      </w:r>
      <w:r>
        <w:rPr>
          <w:rFonts w:ascii="宋体" w:hAnsi="宋体"/>
          <w:b/>
          <w:kern w:val="0"/>
          <w:sz w:val="24"/>
          <w:szCs w:val="24"/>
        </w:rPr>
        <w:t>：</w:t>
      </w:r>
    </w:p>
    <w:p>
      <w:pPr>
        <w:tabs>
          <w:tab w:val="left" w:pos="1890"/>
        </w:tabs>
        <w:spacing w:line="360" w:lineRule="auto"/>
        <w:ind w:firstLine="480" w:firstLineChars="200"/>
        <w:rPr>
          <w:rFonts w:ascii="宋体" w:hAnsi="宋体"/>
          <w:sz w:val="24"/>
          <w:szCs w:val="24"/>
        </w:rPr>
      </w:pPr>
      <w:r>
        <w:rPr>
          <w:rFonts w:hint="eastAsia" w:ascii="宋体" w:hAnsi="宋体"/>
          <w:sz w:val="24"/>
          <w:szCs w:val="24"/>
        </w:rPr>
        <w:t>1.本项目不接受联合体投标。</w:t>
      </w:r>
    </w:p>
    <w:p>
      <w:pPr>
        <w:tabs>
          <w:tab w:val="left" w:pos="1890"/>
        </w:tabs>
        <w:spacing w:line="360" w:lineRule="auto"/>
        <w:ind w:firstLine="480" w:firstLineChars="200"/>
        <w:rPr>
          <w:rFonts w:ascii="宋体" w:hAnsi="宋体"/>
          <w:sz w:val="24"/>
          <w:szCs w:val="24"/>
        </w:rPr>
      </w:pPr>
      <w:r>
        <w:rPr>
          <w:rFonts w:hint="eastAsia" w:ascii="宋体" w:hAnsi="宋体"/>
          <w:sz w:val="24"/>
          <w:szCs w:val="24"/>
        </w:rPr>
        <w:t>2.带“★”号条款为不可偏离条款，响应文件未完全满足询价文件中带“★”号的条款和指标，或非实质性响应有重大偏离的，将导致响应文件无效。</w:t>
      </w:r>
    </w:p>
    <w:p>
      <w:pPr>
        <w:tabs>
          <w:tab w:val="left" w:pos="1890"/>
        </w:tabs>
        <w:spacing w:line="360" w:lineRule="auto"/>
        <w:ind w:firstLine="420" w:firstLineChars="200"/>
      </w:pPr>
    </w:p>
    <w:p>
      <w:pPr>
        <w:widowControl/>
        <w:spacing w:line="360" w:lineRule="auto"/>
        <w:jc w:val="left"/>
        <w:rPr>
          <w:rFonts w:ascii="宋体" w:hAnsi="宋体"/>
          <w:b/>
          <w:kern w:val="0"/>
          <w:sz w:val="24"/>
          <w:szCs w:val="24"/>
        </w:rPr>
      </w:pPr>
      <w:r>
        <w:rPr>
          <w:rFonts w:hint="eastAsia" w:ascii="宋体" w:hAnsi="宋体"/>
          <w:b/>
          <w:kern w:val="0"/>
          <w:sz w:val="24"/>
          <w:szCs w:val="24"/>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（一）项目实施要求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1、项目实施进度要求及控制：要求响应供应商根据项目建设单位的实际情况，科学合理的定出项目集成实施的时间表；对项目实施的进度计划及控制中各阶段中响应供应商所要做的工作及保障措施做出详细安排。</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2、响应供应商应具有健全的项目管理制度和流程，以及合格的项目实施人员，对本项目建设进行全过程质量管理，确保项目实施的顺利。</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（二）项目培训要求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培训是保证项目成功的一个重要手段，因此为了保证系统顺利完成，响应供应商需要准备一份完整的培训计划，对采购人各类人员进行相关的培训，包括现场培训和集中培训等多种方式，培训的内容、次数和方式由采购人提出，采购人仅负责提供培训场地、培训电脑和培训人员的召集，培训环境的搭建、培训文档的准备、培训的实施、培训人员的考核等由响应供应商负责。</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对与本项目的相关技术，响应供应商也需要提供必要的手段保证能够将其传授与采购人。与培训相关的费用，响应供应商应当一并计算在投标报价中。</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（三）售后服务要求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1.服务承诺</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（1）响应供应商应有良好的服务理念和完善的售后服务体系，能够提供本地技术服务。质保期：从项目验收通过之日起</w:t>
      </w:r>
      <w:r>
        <w:rPr>
          <w:rFonts w:hint="eastAsia" w:ascii="宋体" w:hAnsi="宋体"/>
          <w:bCs/>
          <w:sz w:val="24"/>
          <w:szCs w:val="24"/>
          <w:lang w:val="en-US" w:eastAsia="zh-CN"/>
        </w:rPr>
        <w:t>不少于</w:t>
      </w:r>
      <w:r>
        <w:rPr>
          <w:rFonts w:hint="eastAsia" w:ascii="宋体" w:hAnsi="宋体"/>
          <w:bCs/>
          <w:sz w:val="24"/>
          <w:szCs w:val="24"/>
        </w:rPr>
        <w:t>1年。质保期内，</w:t>
      </w:r>
      <w:r>
        <w:rPr>
          <w:rFonts w:hint="eastAsia" w:ascii="宋体" w:hAnsi="宋体"/>
          <w:bCs/>
          <w:sz w:val="24"/>
          <w:szCs w:val="24"/>
          <w:lang w:eastAsia="zh-CN"/>
        </w:rPr>
        <w:t>系统</w:t>
      </w:r>
      <w:r>
        <w:rPr>
          <w:rFonts w:hint="eastAsia" w:ascii="宋体" w:hAnsi="宋体"/>
          <w:bCs/>
          <w:sz w:val="24"/>
          <w:szCs w:val="24"/>
        </w:rPr>
        <w:t>的升级、维护均免费。</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（2）提供热线电话、传真和Email等多种途径随时回答与项目有关的技术问题，对存在的问题在24小时内提出解决方案。</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（3）定期跟踪和回访使用情况（每</w:t>
      </w:r>
      <w:r>
        <w:rPr>
          <w:rFonts w:hint="eastAsia" w:ascii="宋体" w:hAnsi="宋体"/>
          <w:bCs/>
          <w:sz w:val="24"/>
          <w:szCs w:val="24"/>
          <w:lang w:val="en-US" w:eastAsia="zh-CN"/>
        </w:rPr>
        <w:t>季度</w:t>
      </w:r>
      <w:r>
        <w:rPr>
          <w:rFonts w:hint="eastAsia" w:ascii="宋体" w:hAnsi="宋体"/>
          <w:bCs/>
          <w:sz w:val="24"/>
          <w:szCs w:val="24"/>
        </w:rPr>
        <w:t>至少一次），及时了解存在的问题，并随时给予解决。</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（4）针对本项目，提出完整而切实可行的服务方案。其中，至少应提供7×24小时热线电话、远程网络、现场等服务方式。热线电话和远程网络提供技术咨询和即时服务，</w:t>
      </w:r>
      <w:r>
        <w:rPr>
          <w:rFonts w:hint="eastAsia" w:ascii="宋体" w:hAnsi="宋体"/>
          <w:bCs/>
          <w:sz w:val="24"/>
          <w:szCs w:val="24"/>
          <w:lang w:val="en-US" w:eastAsia="zh-CN"/>
        </w:rPr>
        <w:t>1</w:t>
      </w:r>
      <w:r>
        <w:rPr>
          <w:rFonts w:hint="eastAsia" w:ascii="宋体" w:hAnsi="宋体"/>
          <w:bCs/>
          <w:sz w:val="24"/>
          <w:szCs w:val="24"/>
        </w:rPr>
        <w:t>小时内给予明确的响应并解决；现场服务适用于排解重大故障，应在接到医院服务请求后</w:t>
      </w:r>
      <w:r>
        <w:rPr>
          <w:rFonts w:hint="eastAsia" w:ascii="宋体" w:hAnsi="宋体"/>
          <w:bCs/>
          <w:sz w:val="24"/>
          <w:szCs w:val="24"/>
          <w:lang w:val="en-US" w:eastAsia="zh-CN"/>
        </w:rPr>
        <w:t>24</w:t>
      </w:r>
      <w:r>
        <w:rPr>
          <w:rFonts w:hint="eastAsia" w:ascii="宋体" w:hAnsi="宋体"/>
          <w:bCs/>
          <w:sz w:val="24"/>
          <w:szCs w:val="24"/>
        </w:rPr>
        <w:t>小时内到达现场解决。</w:t>
      </w:r>
    </w:p>
    <w:p>
      <w:pPr>
        <w:widowControl/>
        <w:spacing w:line="360" w:lineRule="auto"/>
        <w:ind w:firstLine="480" w:firstLineChars="200"/>
        <w:jc w:val="left"/>
        <w:rPr>
          <w:rFonts w:hint="eastAsia" w:ascii="宋体" w:hAnsi="宋体"/>
          <w:bCs/>
          <w:sz w:val="24"/>
          <w:szCs w:val="24"/>
        </w:rPr>
      </w:pPr>
      <w:r>
        <w:rPr>
          <w:rFonts w:hint="eastAsia" w:ascii="宋体" w:hAnsi="宋体" w:eastAsia="宋体" w:cs="宋体"/>
          <w:bCs/>
          <w:sz w:val="24"/>
          <w:szCs w:val="24"/>
        </w:rPr>
        <w:t>▲</w:t>
      </w:r>
      <w:r>
        <w:rPr>
          <w:rFonts w:hint="eastAsia" w:ascii="宋体" w:hAnsi="宋体"/>
          <w:bCs/>
          <w:sz w:val="24"/>
          <w:szCs w:val="24"/>
        </w:rPr>
        <w:t>（5）质保期过后，响应供应商应提供系统软件终身维护和服务，具体维护费用由采购人和响应供应商通过合同或协议商定，但</w:t>
      </w:r>
      <w:r>
        <w:rPr>
          <w:rFonts w:hint="eastAsia" w:ascii="宋体" w:hAnsi="宋体"/>
          <w:bCs/>
          <w:sz w:val="24"/>
          <w:szCs w:val="24"/>
          <w:lang w:val="en-US" w:eastAsia="zh-CN"/>
        </w:rPr>
        <w:t>每年应</w:t>
      </w:r>
      <w:r>
        <w:rPr>
          <w:rFonts w:hint="eastAsia" w:ascii="宋体" w:hAnsi="宋体"/>
          <w:bCs/>
          <w:sz w:val="24"/>
          <w:szCs w:val="24"/>
        </w:rPr>
        <w:t>不超过总投资费用的</w:t>
      </w:r>
      <w:r>
        <w:rPr>
          <w:rFonts w:hint="eastAsia" w:ascii="宋体" w:hAnsi="宋体"/>
          <w:bCs/>
          <w:sz w:val="24"/>
          <w:szCs w:val="24"/>
          <w:lang w:val="en-US" w:eastAsia="zh-CN"/>
        </w:rPr>
        <w:t>8</w:t>
      </w:r>
      <w:r>
        <w:rPr>
          <w:rFonts w:hint="eastAsia" w:ascii="宋体" w:hAnsi="宋体"/>
          <w:bCs/>
          <w:sz w:val="24"/>
          <w:szCs w:val="24"/>
        </w:rPr>
        <w:t>%。</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2.解决问题、排除故障响应时限要求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（1）在实施期内（即系统终验合格前），有常驻的服务人员，保障系统的正常运行，在出现故障时及时响应。</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2）在实施结束后，影响系统正常运行的故障响应时间不得超过1小时。对于电话咨询无法解决的问题，经采购人信息中心授权通过远程登录到网络系统进行的故障诊断和排除。远程登录也未能排除故障的，安排后备支撑团队人员提供上门服务。</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（3）在免费维护期内，在出现故障时响应时间不得超过1小时；免费服务期过后，出现故障时工程师</w:t>
      </w:r>
      <w:r>
        <w:rPr>
          <w:rFonts w:hint="eastAsia" w:ascii="宋体" w:hAnsi="宋体"/>
          <w:bCs/>
          <w:sz w:val="24"/>
          <w:szCs w:val="24"/>
          <w:lang w:val="en-US" w:eastAsia="zh-CN"/>
        </w:rPr>
        <w:t>响</w:t>
      </w:r>
      <w:r>
        <w:rPr>
          <w:rFonts w:hint="eastAsia" w:ascii="宋体" w:hAnsi="宋体"/>
          <w:bCs/>
          <w:sz w:val="24"/>
          <w:szCs w:val="24"/>
        </w:rPr>
        <w:t>应时间不得超过1小时；解决不了的技术问题，响应供应商安排后备支撑团队支持，响应时间不得超过24小时。</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3.数据安全要求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因建设本项目会涉及到医院信息系统数据，系统设计所涉及到的数据、需求图表等知识产权归采购人所有，未经采购人允许，不得将系统数据、需求等知识产权进行对外宣传。</w:t>
      </w:r>
    </w:p>
    <w:p>
      <w:pPr>
        <w:pStyle w:val="2"/>
        <w:numPr>
          <w:ilvl w:val="0"/>
          <w:numId w:val="2"/>
        </w:num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报价要求</w:t>
      </w:r>
    </w:p>
    <w:p>
      <w:pPr>
        <w:pStyle w:val="2"/>
        <w:numPr>
          <w:numId w:val="0"/>
        </w:num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本项目以人民币进行报价，报价应包括：设计、设备制造、包装、仓储、运输、安装（含安装所需材料）、第三方检测验收、保修期与备品备件发生的所有含税费用以及合同实施过程中不可预见费用等，所有货物都必须由供应商专人送达，采购人不代收快递传送货物。设备拆箱、安装时成交供应商与厂家均应在场。项目执行期间项目总金额不变，采购人无须另向成交供应商支付其他任何费用。</w:t>
      </w:r>
    </w:p>
    <w:p>
      <w:pPr>
        <w:widowControl/>
        <w:spacing w:line="360" w:lineRule="auto"/>
        <w:ind w:firstLine="480" w:firstLineChars="200"/>
        <w:jc w:val="left"/>
        <w:rPr>
          <w:rFonts w:hint="eastAsia" w:ascii="宋体" w:hAnsi="宋体"/>
          <w:bCs/>
          <w:sz w:val="24"/>
          <w:szCs w:val="24"/>
        </w:rPr>
      </w:pPr>
    </w:p>
    <w:p>
      <w:pPr>
        <w:widowControl/>
        <w:jc w:val="left"/>
        <w:rPr>
          <w:rFonts w:ascii="宋体" w:hAnsi="宋体"/>
          <w:b/>
        </w:rPr>
      </w:pPr>
    </w:p>
    <w:p>
      <w:pPr>
        <w:widowControl/>
        <w:jc w:val="left"/>
        <w:rPr>
          <w:rFonts w:ascii="宋体" w:hAnsi="宋体"/>
          <w:b/>
        </w:rPr>
      </w:pPr>
      <w:r>
        <w:rPr>
          <w:rFonts w:ascii="宋体" w:hAnsi="宋体"/>
          <w:b/>
        </w:rPr>
        <w:br w:type="page"/>
      </w:r>
    </w:p>
    <w:p>
      <w:pPr>
        <w:spacing w:line="360" w:lineRule="auto"/>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spacing w:line="360" w:lineRule="auto"/>
        <w:rPr>
          <w:rFonts w:ascii="宋体" w:hAnsi="宋体" w:cs="宋体"/>
          <w:b/>
          <w:bCs/>
        </w:rPr>
      </w:pPr>
      <w:r>
        <w:rPr>
          <w:rFonts w:hint="eastAsia" w:ascii="宋体" w:hAnsi="宋体" w:cs="宋体"/>
          <w:b/>
          <w:bCs/>
        </w:rPr>
        <w:t>5</w:t>
      </w:r>
      <w:r>
        <w:rPr>
          <w:rFonts w:ascii="宋体" w:hAnsi="宋体" w:cs="宋体"/>
          <w:b/>
          <w:bCs/>
        </w:rPr>
        <w:t>.</w:t>
      </w:r>
      <w:r>
        <w:rPr>
          <w:rFonts w:hint="eastAsia" w:hAnsi="宋体" w:cs="宋体"/>
          <w:b/>
          <w:bCs/>
        </w:rPr>
        <w:t>本文件的解释权归采购人所有</w:t>
      </w:r>
      <w:r>
        <w:rPr>
          <w:rFonts w:hint="eastAsia" w:hAnsi="宋体" w:cs="宋体"/>
        </w:rPr>
        <w:t>。</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10"/>
        <w:spacing w:line="680" w:lineRule="auto"/>
        <w:ind w:firstLine="482"/>
        <w:jc w:val="center"/>
        <w:rPr>
          <w:rFonts w:hAnsi="宋体" w:cs="仿宋"/>
          <w:b/>
          <w:szCs w:val="24"/>
        </w:rPr>
      </w:pPr>
    </w:p>
    <w:p>
      <w:pPr>
        <w:pStyle w:val="10"/>
        <w:spacing w:line="440" w:lineRule="auto"/>
        <w:ind w:firstLine="482"/>
        <w:jc w:val="center"/>
        <w:rPr>
          <w:rFonts w:hAnsi="宋体" w:cs="仿宋"/>
          <w:b/>
          <w:szCs w:val="24"/>
        </w:rPr>
      </w:pPr>
    </w:p>
    <w:p>
      <w:pPr>
        <w:pStyle w:val="9"/>
        <w:spacing w:line="440" w:lineRule="auto"/>
        <w:ind w:firstLine="0" w:firstLineChars="0"/>
        <w:rPr>
          <w:rFonts w:ascii="宋体" w:hAnsi="宋体" w:eastAsia="宋体" w:cs="仿宋"/>
          <w:sz w:val="24"/>
          <w:szCs w:val="24"/>
          <w:u w:val="single"/>
        </w:rPr>
      </w:pPr>
    </w:p>
    <w:p>
      <w:pPr>
        <w:pStyle w:val="9"/>
        <w:spacing w:line="440" w:lineRule="auto"/>
        <w:ind w:firstLine="1687" w:firstLineChars="700"/>
        <w:rPr>
          <w:rFonts w:ascii="宋体" w:hAnsi="宋体" w:eastAsia="宋体" w:cs="仿宋"/>
          <w:b/>
          <w:bCs/>
          <w:sz w:val="24"/>
          <w:szCs w:val="24"/>
        </w:rPr>
      </w:pPr>
      <w:r>
        <w:rPr>
          <w:rFonts w:hint="eastAsia" w:ascii="宋体" w:hAnsi="宋体" w:eastAsia="宋体" w:cs="仿宋"/>
          <w:b/>
          <w:sz w:val="24"/>
          <w:szCs w:val="24"/>
        </w:rPr>
        <w:t>项目名称</w:t>
      </w:r>
      <w:r>
        <w:rPr>
          <w:rFonts w:hint="eastAsia" w:ascii="宋体" w:hAnsi="宋体" w:eastAsia="宋体" w:cs="仿宋"/>
          <w:sz w:val="24"/>
          <w:szCs w:val="24"/>
        </w:rPr>
        <w:t>：</w:t>
      </w:r>
    </w:p>
    <w:p>
      <w:pPr>
        <w:pStyle w:val="10"/>
        <w:spacing w:line="440" w:lineRule="auto"/>
        <w:ind w:firstLine="1687" w:firstLineChars="700"/>
        <w:rPr>
          <w:rFonts w:hAnsi="宋体" w:cs="仿宋"/>
          <w:b/>
          <w:szCs w:val="24"/>
        </w:rPr>
      </w:pPr>
      <w:r>
        <w:rPr>
          <w:rFonts w:hint="eastAsia" w:hAnsi="宋体" w:cs="仿宋"/>
          <w:b/>
          <w:szCs w:val="24"/>
        </w:rPr>
        <w:t>项目编号：</w:t>
      </w:r>
    </w:p>
    <w:p>
      <w:pPr>
        <w:pStyle w:val="10"/>
        <w:spacing w:line="440" w:lineRule="auto"/>
        <w:ind w:firstLine="1687" w:firstLineChars="7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80" w:lineRule="exact"/>
        <w:rPr>
          <w:rFonts w:ascii="宋体" w:hAnsi="宋体" w:cs="仿宋"/>
          <w:u w:val="single"/>
        </w:rPr>
      </w:pPr>
      <w:r>
        <w:rPr>
          <w:rFonts w:hint="eastAsia" w:ascii="宋体" w:hAnsi="宋体" w:cs="仿宋"/>
          <w:b/>
          <w:bCs/>
        </w:rPr>
        <w:t>一．法定代表人/负责人资格证明书及授权委托书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10"/>
        <w:ind w:firstLine="0" w:firstLineChars="0"/>
        <w:rPr>
          <w:rFonts w:hAnsi="宋体"/>
          <w:b/>
          <w:bCs/>
          <w:sz w:val="21"/>
        </w:rPr>
      </w:pP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pStyle w:val="28"/>
        <w:ind w:firstLine="480"/>
        <w:rPr>
          <w:rFonts w:ascii="宋体" w:hAnsi="宋体"/>
        </w:rPr>
      </w:pPr>
      <w:r>
        <w:rPr>
          <w:rFonts w:hint="eastAsia" w:ascii="宋体" w:hAnsi="宋体" w:cs="宋体"/>
        </w:rPr>
        <w:br w:type="page"/>
      </w:r>
    </w:p>
    <w:p>
      <w:pPr>
        <w:pStyle w:val="28"/>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二．关于资格的声明函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b/>
          <w:bCs/>
          <w:u w:val="single"/>
        </w:rPr>
        <w:t xml:space="preserve"> </w:t>
      </w:r>
      <w:r>
        <w:rPr>
          <w:rFonts w:ascii="宋体" w:hAnsi="宋体" w:cs="仿宋"/>
          <w:b/>
          <w:bCs/>
          <w:u w:val="single"/>
        </w:rPr>
        <w:t xml:space="preserve">             </w:t>
      </w:r>
      <w:r>
        <w:rPr>
          <w:rFonts w:hint="eastAsia" w:ascii="宋体" w:hAnsi="宋体" w:cs="仿宋"/>
          <w:u w:val="single"/>
        </w:rPr>
        <w:t>采购</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zCs w:val="24"/>
          <w:lang w:val="zh-CN"/>
        </w:rPr>
      </w:pPr>
      <w:r>
        <w:rPr>
          <w:rFonts w:hint="eastAsia" w:ascii="宋体" w:hAnsi="宋体" w:cs="仿宋"/>
          <w:snapToGrid w:val="0"/>
          <w:kern w:val="0"/>
        </w:rPr>
        <w:t>2、</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ascii="宋体" w:hAnsi="宋体" w:cs="仿宋"/>
          <w:szCs w:val="24"/>
          <w:lang w:val="zh-CN"/>
        </w:rPr>
        <w:t>3</w:t>
      </w:r>
      <w:r>
        <w:rPr>
          <w:rFonts w:hint="eastAsia" w:ascii="宋体" w:hAnsi="宋体" w:cs="仿宋"/>
          <w:szCs w:val="24"/>
          <w:lang w:val="zh-CN"/>
        </w:rPr>
        <w:t>、参加政府采购活动前三年内，在经营活动中没有重大违法记录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宋体"/>
          <w:color w:val="000000"/>
          <w:kern w:val="0"/>
          <w:sz w:val="22"/>
          <w:lang w:val="hr-HR"/>
        </w:rPr>
      </w:pPr>
      <w:r>
        <w:rPr>
          <w:rFonts w:ascii="宋体" w:hAnsi="宋体" w:cs="仿宋"/>
          <w:lang w:val="hr-HR"/>
        </w:rPr>
        <w:t>4</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p>
    <w:p>
      <w:pPr>
        <w:spacing w:line="360" w:lineRule="auto"/>
        <w:ind w:firstLine="480"/>
        <w:rPr>
          <w:rFonts w:ascii="宋体" w:hAnsi="宋体" w:cs="仿宋"/>
          <w:lang w:val="hr-HR"/>
        </w:rPr>
      </w:pPr>
      <w:r>
        <w:rPr>
          <w:rFonts w:ascii="宋体" w:hAnsi="宋体" w:cs="仿宋"/>
          <w:lang w:val="hr-HR"/>
        </w:rPr>
        <w:t>5</w:t>
      </w:r>
      <w:r>
        <w:rPr>
          <w:rFonts w:hint="eastAsia" w:ascii="宋体" w:hAnsi="宋体" w:cs="仿宋"/>
          <w:lang w:val="hr-HR"/>
        </w:rPr>
        <w:t>、</w:t>
      </w:r>
      <w:r>
        <w:rPr>
          <w:rFonts w:hint="eastAsia" w:ascii="宋体" w:hAnsi="宋体" w:cs="仿宋"/>
          <w:lang w:val="hr-HR"/>
        </w:rPr>
        <w:tab/>
      </w:r>
      <w:r>
        <w:rPr>
          <w:rFonts w:hint="eastAsia" w:ascii="宋体" w:hAnsi="宋体" w:cs="仿宋"/>
          <w:lang w:val="hr-HR"/>
        </w:rPr>
        <w:t>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3" w:name="_Toc202254106"/>
      <w:bookmarkStart w:id="4" w:name="_Toc395800949"/>
      <w:bookmarkStart w:id="5" w:name="_Toc202816997"/>
      <w:bookmarkStart w:id="6" w:name="_Toc202820352"/>
      <w:bookmarkStart w:id="7" w:name="_Toc31980"/>
      <w:bookmarkStart w:id="8" w:name="_Toc202819879"/>
      <w:bookmarkStart w:id="9" w:name="_Toc202251076"/>
      <w:bookmarkStart w:id="10" w:name="_Toc202252035"/>
      <w:bookmarkStart w:id="11" w:name="_Toc202251701"/>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3"/>
    <w:bookmarkEnd w:id="4"/>
    <w:bookmarkEnd w:id="5"/>
    <w:bookmarkEnd w:id="6"/>
    <w:bookmarkEnd w:id="7"/>
    <w:bookmarkEnd w:id="8"/>
    <w:bookmarkEnd w:id="9"/>
    <w:bookmarkEnd w:id="10"/>
    <w:bookmarkEnd w:id="11"/>
    <w:p>
      <w:pPr>
        <w:jc w:val="left"/>
        <w:outlineLvl w:val="1"/>
        <w:rPr>
          <w:rFonts w:ascii="宋体" w:hAnsi="宋体" w:cs="仿宋"/>
          <w:b/>
        </w:rPr>
      </w:pPr>
      <w:bookmarkStart w:id="12" w:name="_Toc6273"/>
      <w:r>
        <w:rPr>
          <w:rFonts w:hint="eastAsia" w:ascii="宋体" w:hAnsi="宋体" w:cs="仿宋"/>
          <w:b/>
        </w:rPr>
        <w:t>三、拟提供产品技术参数（参照用户需求书的需求一览表内容提供产品的详细的技术参数）</w:t>
      </w:r>
    </w:p>
    <w:p>
      <w:pPr>
        <w:jc w:val="left"/>
        <w:outlineLvl w:val="1"/>
        <w:rPr>
          <w:rFonts w:ascii="宋体" w:hAnsi="宋体" w:cs="仿宋"/>
          <w: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center"/>
        <w:outlineLvl w:val="1"/>
        <w:rPr>
          <w:rFonts w:ascii="宋体" w:hAnsi="宋体" w:cs="仿宋"/>
          <w:b/>
        </w:rPr>
      </w:pPr>
      <w:r>
        <w:rPr>
          <w:rFonts w:hint="eastAsia" w:ascii="宋体" w:hAnsi="宋体" w:cs="仿宋"/>
          <w:b/>
        </w:rPr>
        <w:t>四、商务部分</w:t>
      </w:r>
      <w:r>
        <w:rPr>
          <w:rFonts w:ascii="宋体" w:hAnsi="宋体" w:cs="仿宋"/>
          <w:b/>
        </w:rPr>
        <w:t xml:space="preserve"> </w:t>
      </w:r>
    </w:p>
    <w:p>
      <w:pPr>
        <w:pStyle w:val="36"/>
        <w:ind w:firstLine="0" w:firstLineChars="0"/>
        <w:rPr>
          <w:rFonts w:ascii="宋体" w:hAnsi="宋体" w:cs="仿宋"/>
          <w:b/>
          <w:spacing w:val="0"/>
          <w:kern w:val="2"/>
        </w:rPr>
      </w:pPr>
      <w:r>
        <w:rPr>
          <w:rFonts w:ascii="宋体" w:hAnsi="宋体" w:cs="仿宋"/>
          <w:b/>
          <w:spacing w:val="0"/>
          <w:kern w:val="2"/>
        </w:rPr>
        <w:t>4</w:t>
      </w:r>
      <w:r>
        <w:rPr>
          <w:rFonts w:hint="eastAsia" w:ascii="宋体" w:hAnsi="宋体" w:cs="仿宋"/>
          <w:b/>
          <w:spacing w:val="0"/>
          <w:kern w:val="2"/>
        </w:rPr>
        <w:t>.1同类项目业绩介绍</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5"/>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注：业绩是必须以响应供应商名义完成并已验收的项目。报价人/响应供应商必须提供合同关键页复印件及验收报告。</w:t>
      </w:r>
    </w:p>
    <w:p>
      <w:pPr>
        <w:pStyle w:val="36"/>
        <w:ind w:firstLine="0" w:firstLineChars="0"/>
        <w:rPr>
          <w:rFonts w:ascii="宋体" w:hAnsi="宋体" w:cs="仿宋"/>
          <w:b/>
          <w:spacing w:val="0"/>
          <w:kern w:val="2"/>
        </w:rPr>
      </w:pPr>
      <w:r>
        <w:rPr>
          <w:rFonts w:ascii="宋体" w:hAnsi="宋体" w:cs="仿宋"/>
          <w:b/>
          <w:spacing w:val="0"/>
          <w:kern w:val="2"/>
          <w:lang w:val="en-GB"/>
        </w:rPr>
        <w:t>4.2</w:t>
      </w:r>
      <w:r>
        <w:rPr>
          <w:rFonts w:hint="eastAsia" w:ascii="宋体" w:hAnsi="宋体" w:cs="仿宋"/>
          <w:b/>
          <w:spacing w:val="0"/>
          <w:kern w:val="2"/>
        </w:rPr>
        <w:t>履约进度计划表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6"/>
        <w:ind w:firstLine="0" w:firstLineChars="0"/>
        <w:rPr>
          <w:rFonts w:ascii="宋体" w:hAnsi="宋体" w:cs="仿宋"/>
          <w:b/>
          <w:spacing w:val="0"/>
          <w:kern w:val="2"/>
          <w:lang w:val="en-GB"/>
        </w:rPr>
      </w:pPr>
    </w:p>
    <w:p>
      <w:pPr>
        <w:widowControl/>
        <w:jc w:val="left"/>
        <w:rPr>
          <w:rFonts w:ascii="宋体" w:hAnsi="宋体" w:cs="仿宋"/>
          <w:b/>
          <w:lang w:val="en-GB"/>
        </w:rPr>
      </w:pPr>
      <w:r>
        <w:rPr>
          <w:rFonts w:hint="eastAsia" w:ascii="宋体" w:hAnsi="宋体" w:cs="仿宋"/>
          <w:b/>
          <w:lang w:val="en-GB"/>
        </w:rPr>
        <w:t>3.4商务条款</w:t>
      </w:r>
      <w:r>
        <w:rPr>
          <w:rFonts w:ascii="宋体" w:hAnsi="宋体" w:cs="仿宋"/>
          <w:b/>
          <w:lang w:val="en-GB"/>
        </w:rPr>
        <w:t>响应情况</w:t>
      </w:r>
    </w:p>
    <w:p>
      <w:pPr>
        <w:pStyle w:val="36"/>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5"/>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36"/>
        <w:ind w:firstLine="0" w:firstLineChars="0"/>
        <w:rPr>
          <w:rFonts w:ascii="宋体" w:hAnsi="宋体" w:cs="仿宋"/>
          <w:b/>
          <w:spacing w:val="0"/>
          <w:kern w:val="2"/>
          <w:lang w:val="en-GB"/>
        </w:rPr>
      </w:pPr>
    </w:p>
    <w:p>
      <w:pPr>
        <w:jc w:val="left"/>
        <w:outlineLvl w:val="1"/>
        <w:rPr>
          <w:rFonts w:ascii="宋体" w:hAnsi="宋体" w:cs="仿宋"/>
          <w: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p>
      <w:pPr>
        <w:jc w:val="center"/>
        <w:outlineLvl w:val="1"/>
        <w:rPr>
          <w:rFonts w:ascii="宋体" w:hAnsi="宋体" w:cs="仿宋"/>
          <w:b/>
        </w:rPr>
      </w:pPr>
      <w:r>
        <w:rPr>
          <w:rFonts w:hint="eastAsia" w:ascii="宋体" w:hAnsi="宋体" w:cs="仿宋"/>
          <w:b/>
        </w:rPr>
        <w:t>四、价格部分</w:t>
      </w:r>
    </w:p>
    <w:p>
      <w:pPr>
        <w:jc w:val="center"/>
        <w:rPr>
          <w:rFonts w:ascii="宋体" w:hAnsi="宋体" w:cs="仿宋"/>
          <w:b/>
          <w:bCs/>
        </w:rPr>
      </w:pPr>
      <w:r>
        <w:rPr>
          <w:rFonts w:hint="eastAsia" w:ascii="宋体" w:hAnsi="宋体" w:cs="仿宋"/>
          <w:b/>
          <w:bCs/>
        </w:rPr>
        <w:t>报价一览表</w:t>
      </w:r>
      <w:bookmarkStart w:id="13" w:name="_GoBack"/>
      <w:bookmarkEnd w:id="13"/>
    </w:p>
    <w:tbl>
      <w:tblPr>
        <w:tblStyle w:val="15"/>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728" w:type="dxa"/>
            <w:vAlign w:val="center"/>
          </w:tcPr>
          <w:p>
            <w:pPr>
              <w:jc w:val="center"/>
              <w:rPr>
                <w:rFonts w:hint="default" w:ascii="宋体" w:hAnsi="宋体" w:eastAsia="宋体" w:cs="仿宋"/>
                <w:lang w:val="en-US" w:eastAsia="zh-CN"/>
              </w:rPr>
            </w:pPr>
            <w:r>
              <w:rPr>
                <w:rFonts w:hint="eastAsia" w:ascii="宋体" w:hAnsi="宋体" w:cs="仿宋"/>
                <w:lang w:val="en-US" w:eastAsia="zh-CN"/>
              </w:rPr>
              <w:t>质保期外维保服务报价（年）</w:t>
            </w:r>
          </w:p>
        </w:tc>
        <w:tc>
          <w:tcPr>
            <w:tcW w:w="7632" w:type="dxa"/>
            <w:vAlign w:val="center"/>
          </w:tcPr>
          <w:p>
            <w:pPr>
              <w:jc w:val="center"/>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p>
    <w:p>
      <w:pPr>
        <w:pStyle w:val="2"/>
        <w:rPr>
          <w:rFonts w:ascii="宋体" w:hAnsi="宋体" w:cs="仿宋"/>
        </w:rPr>
      </w:pPr>
    </w:p>
    <w:p>
      <w:pPr>
        <w:pStyle w:val="2"/>
        <w:rPr>
          <w:rFonts w:ascii="宋体" w:hAnsi="宋体" w:cs="仿宋"/>
        </w:rPr>
      </w:pPr>
    </w:p>
    <w:p>
      <w:pPr>
        <w:pStyle w:val="2"/>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5"/>
        <w:tblW w:w="8820" w:type="dxa"/>
        <w:jc w:val="center"/>
        <w:tblLayout w:type="fixed"/>
        <w:tblCellMar>
          <w:top w:w="0" w:type="dxa"/>
          <w:left w:w="108" w:type="dxa"/>
          <w:bottom w:w="0" w:type="dxa"/>
          <w:right w:w="108" w:type="dxa"/>
        </w:tblCellMar>
      </w:tblPr>
      <w:tblGrid>
        <w:gridCol w:w="1242"/>
        <w:gridCol w:w="2674"/>
        <w:gridCol w:w="946"/>
        <w:gridCol w:w="945"/>
        <w:gridCol w:w="1313"/>
        <w:gridCol w:w="1700"/>
      </w:tblGrid>
      <w:tr>
        <w:tblPrEx>
          <w:tblCellMar>
            <w:top w:w="0" w:type="dxa"/>
            <w:left w:w="108" w:type="dxa"/>
            <w:bottom w:w="0" w:type="dxa"/>
            <w:right w:w="108" w:type="dxa"/>
          </w:tblCellMar>
        </w:tblPrEx>
        <w:trPr>
          <w:trHeight w:val="898"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67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项目名称</w:t>
            </w:r>
          </w:p>
        </w:tc>
        <w:tc>
          <w:tcPr>
            <w:tcW w:w="94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9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31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7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1FD9"/>
    <w:multiLevelType w:val="singleLevel"/>
    <w:tmpl w:val="91B11FD9"/>
    <w:lvl w:ilvl="0" w:tentative="0">
      <w:start w:val="4"/>
      <w:numFmt w:val="chineseCounting"/>
      <w:suff w:val="nothing"/>
      <w:lvlText w:val="（%1）"/>
      <w:lvlJc w:val="left"/>
      <w:rPr>
        <w:rFonts w:hint="eastAsia"/>
      </w:rPr>
    </w:lvl>
  </w:abstractNum>
  <w:abstractNum w:abstractNumId="1">
    <w:nsid w:val="66CA0DCA"/>
    <w:multiLevelType w:val="multilevel"/>
    <w:tmpl w:val="66CA0DCA"/>
    <w:lvl w:ilvl="0" w:tentative="0">
      <w:start w:val="1"/>
      <w:numFmt w:val="bullet"/>
      <w:pStyle w:val="38"/>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23D87429"/>
    <w:rsid w:val="3ED94930"/>
    <w:rsid w:val="6BAA3311"/>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lang w:val="zh-CN" w:eastAsia="zh-CN"/>
    </w:rPr>
  </w:style>
  <w:style w:type="paragraph" w:styleId="4">
    <w:name w:val="heading 2"/>
    <w:basedOn w:val="1"/>
    <w:next w:val="1"/>
    <w:link w:val="42"/>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33"/>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7">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before="120" w:after="120"/>
      <w:ind w:firstLine="582"/>
    </w:pPr>
    <w:rPr>
      <w:rFonts w:eastAsia="仿宋_GB2312" w:cs="宋体"/>
      <w:kern w:val="10"/>
      <w:sz w:val="28"/>
      <w:szCs w:val="28"/>
    </w:rPr>
  </w:style>
  <w:style w:type="paragraph" w:styleId="6">
    <w:name w:val="caption"/>
    <w:basedOn w:val="1"/>
    <w:next w:val="1"/>
    <w:qFormat/>
    <w:uiPriority w:val="35"/>
    <w:rPr>
      <w:rFonts w:ascii="Cambria" w:hAnsi="Cambria" w:eastAsia="黑体"/>
      <w:sz w:val="20"/>
      <w:szCs w:val="20"/>
    </w:rPr>
  </w:style>
  <w:style w:type="paragraph" w:styleId="7">
    <w:name w:val="Body Text"/>
    <w:basedOn w:val="1"/>
    <w:next w:val="8"/>
    <w:unhideWhenUsed/>
    <w:qFormat/>
    <w:uiPriority w:val="99"/>
    <w:pPr>
      <w:spacing w:after="120"/>
    </w:pPr>
  </w:style>
  <w:style w:type="paragraph" w:styleId="8">
    <w:name w:val="toc 2"/>
    <w:basedOn w:val="1"/>
    <w:next w:val="1"/>
    <w:unhideWhenUsed/>
    <w:qFormat/>
    <w:uiPriority w:val="39"/>
    <w:pPr>
      <w:ind w:left="240"/>
      <w:jc w:val="left"/>
    </w:pPr>
    <w:rPr>
      <w:rFonts w:ascii="Calibri" w:hAnsi="Calibri" w:cs="Calibri"/>
      <w:smallCaps/>
      <w:sz w:val="20"/>
      <w:szCs w:val="20"/>
    </w:rPr>
  </w:style>
  <w:style w:type="paragraph" w:styleId="9">
    <w:name w:val="Body Text Indent"/>
    <w:basedOn w:val="1"/>
    <w:link w:val="25"/>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10">
    <w:name w:val="Plain Text"/>
    <w:basedOn w:val="1"/>
    <w:link w:val="22"/>
    <w:unhideWhenUsed/>
    <w:qFormat/>
    <w:uiPriority w:val="99"/>
    <w:pPr>
      <w:spacing w:line="440" w:lineRule="exact"/>
      <w:ind w:firstLine="880" w:firstLineChars="200"/>
    </w:pPr>
    <w:rPr>
      <w:rFonts w:ascii="宋体" w:hAnsi="Courier New"/>
      <w:kern w:val="0"/>
      <w:sz w:val="24"/>
      <w:szCs w:val="21"/>
      <w:lang w:val="zh-CN" w:eastAsia="zh-CN"/>
    </w:rPr>
  </w:style>
  <w:style w:type="paragraph" w:styleId="11">
    <w:name w:val="Balloon Text"/>
    <w:basedOn w:val="1"/>
    <w:link w:val="30"/>
    <w:unhideWhenUsed/>
    <w:qFormat/>
    <w:uiPriority w:val="99"/>
    <w:rPr>
      <w:kern w:val="0"/>
      <w:sz w:val="18"/>
      <w:szCs w:val="18"/>
      <w:lang w:val="zh-CN" w:eastAsia="zh-CN"/>
    </w:rPr>
  </w:style>
  <w:style w:type="paragraph" w:styleId="12">
    <w:name w:val="footer"/>
    <w:basedOn w:val="1"/>
    <w:link w:val="32"/>
    <w:unhideWhenUsed/>
    <w:qFormat/>
    <w:uiPriority w:val="99"/>
    <w:pPr>
      <w:tabs>
        <w:tab w:val="center" w:pos="4153"/>
        <w:tab w:val="right" w:pos="8306"/>
      </w:tabs>
      <w:snapToGrid w:val="0"/>
      <w:jc w:val="left"/>
    </w:pPr>
    <w:rPr>
      <w:kern w:val="0"/>
      <w:sz w:val="18"/>
      <w:szCs w:val="18"/>
      <w:lang w:val="zh-CN" w:eastAsia="zh-CN"/>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22"/>
    <w:rPr>
      <w:b/>
    </w:rPr>
  </w:style>
  <w:style w:type="character" w:styleId="19">
    <w:name w:val="Hyperlink"/>
    <w:unhideWhenUsed/>
    <w:uiPriority w:val="99"/>
    <w:rPr>
      <w:color w:val="0563C1"/>
      <w:u w:val="single"/>
    </w:rPr>
  </w:style>
  <w:style w:type="character" w:customStyle="1" w:styleId="20">
    <w:name w:val="页脚 Char"/>
    <w:uiPriority w:val="0"/>
    <w:rPr>
      <w:rFonts w:eastAsia="宋体"/>
      <w:kern w:val="2"/>
      <w:sz w:val="18"/>
      <w:szCs w:val="18"/>
      <w:lang w:val="en-US" w:eastAsia="zh-CN" w:bidi="ar-SA"/>
    </w:rPr>
  </w:style>
  <w:style w:type="character" w:customStyle="1" w:styleId="21">
    <w:name w:val="fontstyle01"/>
    <w:qFormat/>
    <w:uiPriority w:val="0"/>
    <w:rPr>
      <w:rFonts w:hint="eastAsia" w:ascii="宋体" w:hAnsi="宋体" w:eastAsia="宋体"/>
      <w:color w:val="000000"/>
      <w:sz w:val="28"/>
      <w:szCs w:val="28"/>
    </w:rPr>
  </w:style>
  <w:style w:type="character" w:customStyle="1" w:styleId="22">
    <w:name w:val="纯文本 字符"/>
    <w:link w:val="10"/>
    <w:qFormat/>
    <w:uiPriority w:val="99"/>
    <w:rPr>
      <w:rFonts w:ascii="宋体" w:hAnsi="Courier New" w:eastAsia="宋体" w:cs="Courier New"/>
      <w:sz w:val="24"/>
      <w:szCs w:val="21"/>
    </w:rPr>
  </w:style>
  <w:style w:type="character" w:customStyle="1" w:styleId="23">
    <w:name w:val="列表段落 字符"/>
    <w:link w:val="24"/>
    <w:qFormat/>
    <w:locked/>
    <w:uiPriority w:val="34"/>
    <w:rPr>
      <w:rFonts w:ascii="Calibri" w:hAnsi="Calibri" w:eastAsia="宋体" w:cs="Times New Roman"/>
    </w:rPr>
  </w:style>
  <w:style w:type="paragraph" w:styleId="24">
    <w:name w:val="List Paragraph"/>
    <w:basedOn w:val="1"/>
    <w:link w:val="23"/>
    <w:qFormat/>
    <w:uiPriority w:val="34"/>
    <w:pPr>
      <w:ind w:firstLine="420" w:firstLineChars="200"/>
    </w:pPr>
    <w:rPr>
      <w:kern w:val="0"/>
      <w:sz w:val="20"/>
      <w:szCs w:val="20"/>
      <w:lang w:val="zh-CN" w:eastAsia="zh-CN"/>
    </w:rPr>
  </w:style>
  <w:style w:type="character" w:customStyle="1" w:styleId="25">
    <w:name w:val="正文文本缩进 字符"/>
    <w:link w:val="9"/>
    <w:qFormat/>
    <w:uiPriority w:val="99"/>
    <w:rPr>
      <w:rFonts w:ascii="仿宋_GB2312" w:hAnsi="Times New Roman" w:eastAsia="仿宋_GB2312" w:cs="Times New Roman"/>
      <w:sz w:val="32"/>
      <w:szCs w:val="20"/>
    </w:rPr>
  </w:style>
  <w:style w:type="character" w:customStyle="1" w:styleId="26">
    <w:name w:val="页眉 字符"/>
    <w:link w:val="13"/>
    <w:qFormat/>
    <w:uiPriority w:val="99"/>
    <w:rPr>
      <w:sz w:val="18"/>
      <w:szCs w:val="18"/>
    </w:rPr>
  </w:style>
  <w:style w:type="character" w:customStyle="1" w:styleId="27">
    <w:name w:val="1J Char"/>
    <w:link w:val="28"/>
    <w:qFormat/>
    <w:uiPriority w:val="0"/>
    <w:rPr>
      <w:rFonts w:eastAsia="宋体"/>
      <w:b/>
      <w:sz w:val="24"/>
      <w:szCs w:val="24"/>
    </w:rPr>
  </w:style>
  <w:style w:type="paragraph" w:customStyle="1" w:styleId="28">
    <w:name w:val="1J"/>
    <w:basedOn w:val="1"/>
    <w:link w:val="27"/>
    <w:qFormat/>
    <w:uiPriority w:val="0"/>
    <w:pPr>
      <w:jc w:val="center"/>
    </w:pPr>
    <w:rPr>
      <w:b/>
      <w:kern w:val="0"/>
      <w:sz w:val="24"/>
      <w:szCs w:val="24"/>
      <w:lang w:val="zh-CN" w:eastAsia="zh-CN"/>
    </w:rPr>
  </w:style>
  <w:style w:type="character" w:customStyle="1" w:styleId="29">
    <w:name w:val="fontstyle31"/>
    <w:qFormat/>
    <w:uiPriority w:val="0"/>
    <w:rPr>
      <w:rFonts w:hint="default" w:ascii="Calibri" w:hAnsi="Calibri"/>
      <w:color w:val="000000"/>
      <w:sz w:val="22"/>
      <w:szCs w:val="22"/>
    </w:rPr>
  </w:style>
  <w:style w:type="character" w:customStyle="1" w:styleId="30">
    <w:name w:val="批注框文本 字符"/>
    <w:link w:val="11"/>
    <w:semiHidden/>
    <w:qFormat/>
    <w:uiPriority w:val="99"/>
    <w:rPr>
      <w:sz w:val="18"/>
      <w:szCs w:val="18"/>
    </w:rPr>
  </w:style>
  <w:style w:type="character" w:customStyle="1" w:styleId="31">
    <w:name w:val="fontstyle21"/>
    <w:qFormat/>
    <w:uiPriority w:val="0"/>
    <w:rPr>
      <w:rFonts w:hint="default" w:ascii="TimesNewRomanPSMT" w:hAnsi="TimesNewRomanPSMT"/>
      <w:color w:val="000000"/>
      <w:sz w:val="18"/>
      <w:szCs w:val="18"/>
    </w:rPr>
  </w:style>
  <w:style w:type="character" w:customStyle="1" w:styleId="32">
    <w:name w:val="页脚 字符"/>
    <w:link w:val="12"/>
    <w:qFormat/>
    <w:uiPriority w:val="99"/>
    <w:rPr>
      <w:sz w:val="18"/>
      <w:szCs w:val="18"/>
    </w:rPr>
  </w:style>
  <w:style w:type="character" w:customStyle="1" w:styleId="33">
    <w:name w:val="标题 3 字符"/>
    <w:link w:val="5"/>
    <w:qFormat/>
    <w:uiPriority w:val="9"/>
    <w:rPr>
      <w:rFonts w:ascii="Times New Roman" w:hAnsi="Times New Roman" w:eastAsia="宋体" w:cs="Times New Roman"/>
      <w:b/>
      <w:kern w:val="0"/>
      <w:sz w:val="28"/>
      <w:szCs w:val="20"/>
    </w:rPr>
  </w:style>
  <w:style w:type="paragraph" w:customStyle="1" w:styleId="34">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5">
    <w:name w:val="题注4"/>
    <w:basedOn w:val="1"/>
    <w:next w:val="6"/>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6">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7">
    <w:name w:val="列表段落1"/>
    <w:basedOn w:val="1"/>
    <w:qFormat/>
    <w:uiPriority w:val="0"/>
    <w:pPr>
      <w:ind w:firstLine="420" w:firstLineChars="200"/>
    </w:pPr>
    <w:rPr>
      <w:rFonts w:ascii="Times New Roman" w:hAnsi="Times New Roman"/>
      <w:sz w:val="28"/>
      <w:szCs w:val="24"/>
    </w:rPr>
  </w:style>
  <w:style w:type="paragraph" w:customStyle="1" w:styleId="38">
    <w:name w:val="编号1"/>
    <w:basedOn w:val="1"/>
    <w:qFormat/>
    <w:uiPriority w:val="0"/>
    <w:pPr>
      <w:numPr>
        <w:ilvl w:val="0"/>
        <w:numId w:val="1"/>
      </w:numPr>
    </w:pPr>
    <w:rPr>
      <w:rFonts w:ascii="Times New Roman" w:hAnsi="Times New Roman"/>
      <w:szCs w:val="24"/>
    </w:rPr>
  </w:style>
  <w:style w:type="character" w:customStyle="1" w:styleId="39">
    <w:name w:val="标题 1 字符"/>
    <w:link w:val="3"/>
    <w:qFormat/>
    <w:uiPriority w:val="9"/>
    <w:rPr>
      <w:b/>
      <w:bCs/>
      <w:kern w:val="44"/>
      <w:sz w:val="44"/>
      <w:szCs w:val="44"/>
    </w:rPr>
  </w:style>
  <w:style w:type="character" w:customStyle="1" w:styleId="40">
    <w:name w:val="Unresolved Mention"/>
    <w:semiHidden/>
    <w:unhideWhenUsed/>
    <w:qFormat/>
    <w:uiPriority w:val="99"/>
    <w:rPr>
      <w:color w:val="605E5C"/>
      <w:shd w:val="clear" w:color="auto" w:fill="E1DFDD"/>
    </w:rPr>
  </w:style>
  <w:style w:type="paragraph" w:customStyle="1" w:styleId="41">
    <w:name w:val="列出段落1"/>
    <w:basedOn w:val="1"/>
    <w:qFormat/>
    <w:uiPriority w:val="34"/>
    <w:pPr>
      <w:ind w:firstLine="420" w:firstLineChars="200"/>
    </w:pPr>
  </w:style>
  <w:style w:type="character" w:customStyle="1" w:styleId="42">
    <w:name w:val="标题 2 字符"/>
    <w:link w:val="4"/>
    <w:semiHidden/>
    <w:qFormat/>
    <w:uiPriority w:val="9"/>
    <w:rPr>
      <w:rFonts w:ascii="等线 Light" w:hAnsi="等线 Light" w:eastAsia="等线 Light" w:cs="Times New Roman"/>
      <w:b/>
      <w:bCs/>
      <w:kern w:val="2"/>
      <w:sz w:val="32"/>
      <w:szCs w:val="32"/>
    </w:rPr>
  </w:style>
  <w:style w:type="table" w:customStyle="1" w:styleId="43">
    <w:name w:val="网格型1"/>
    <w:basedOn w:val="1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25</TotalTime>
  <ScaleCrop>false</ScaleCrop>
  <LinksUpToDate>false</LinksUpToDate>
  <CharactersWithSpaces>9911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    GDragonª  </cp:lastModifiedBy>
  <cp:lastPrinted>2019-05-06T07:16:00Z</cp:lastPrinted>
  <dcterms:modified xsi:type="dcterms:W3CDTF">2023-11-06T09:23:37Z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