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茂名市人民医院智慧用电安全监管系统采购项目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rPr>
        <w:t>3</w:t>
      </w:r>
      <w:r>
        <w:rPr>
          <w:rFonts w:hint="eastAsia" w:ascii="仿宋" w:hAnsi="仿宋" w:eastAsia="仿宋" w:cs="仿宋"/>
          <w:b/>
          <w:w w:val="110"/>
          <w:sz w:val="36"/>
          <w:szCs w:val="36"/>
        </w:rPr>
        <w:t>年</w:t>
      </w:r>
      <w:r>
        <w:rPr>
          <w:rFonts w:ascii="仿宋" w:hAnsi="仿宋" w:eastAsia="仿宋" w:cs="仿宋"/>
          <w:b/>
          <w:w w:val="110"/>
          <w:sz w:val="36"/>
          <w:szCs w:val="36"/>
        </w:rPr>
        <w:t>6</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21</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Cs/>
          <w:color w:val="000000"/>
          <w:kern w:val="0"/>
          <w:sz w:val="22"/>
        </w:rPr>
        <w:t>茂名市人民医院智慧用电安全监管系统</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color w:val="000000"/>
          <w:kern w:val="0"/>
          <w:sz w:val="22"/>
        </w:rPr>
      </w:pPr>
      <w:r>
        <w:rPr>
          <w:rFonts w:hint="eastAsia" w:ascii="宋体" w:hAnsi="宋体" w:cs="宋体"/>
          <w:b/>
          <w:bCs/>
          <w:color w:val="000000"/>
          <w:kern w:val="0"/>
          <w:sz w:val="22"/>
        </w:rPr>
        <w:t>一</w:t>
      </w:r>
      <w:r>
        <w:rPr>
          <w:rFonts w:ascii="宋体" w:hAnsi="宋体" w:cs="宋体"/>
          <w:b/>
          <w:bCs/>
          <w:color w:val="000000"/>
          <w:kern w:val="0"/>
          <w:sz w:val="22"/>
        </w:rPr>
        <w:t>、项目名称：</w:t>
      </w:r>
      <w:r>
        <w:rPr>
          <w:rFonts w:hint="eastAsia" w:ascii="宋体" w:hAnsi="宋体" w:cs="宋体"/>
          <w:b/>
          <w:bCs/>
          <w:color w:val="000000"/>
          <w:kern w:val="0"/>
          <w:sz w:val="22"/>
        </w:rPr>
        <w:t>茂名市人民医院智慧用电安全监管系统采购项目</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1、内容：具体要求详见用户需求书；</w:t>
      </w:r>
    </w:p>
    <w:p>
      <w:pPr>
        <w:spacing w:line="360" w:lineRule="auto"/>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供货</w:t>
      </w:r>
      <w:r>
        <w:rPr>
          <w:rFonts w:ascii="宋体" w:hAnsi="宋体" w:cs="宋体"/>
          <w:color w:val="000000"/>
          <w:kern w:val="0"/>
          <w:sz w:val="22"/>
        </w:rPr>
        <w:t>期限：</w:t>
      </w:r>
      <w:r>
        <w:rPr>
          <w:rFonts w:hint="eastAsia" w:ascii="宋体" w:hAnsi="宋体" w:cs="宋体"/>
          <w:color w:val="000000"/>
          <w:kern w:val="0"/>
          <w:sz w:val="22"/>
        </w:rPr>
        <w:t>双方签订合同，自采购人通知发货之日起6</w:t>
      </w:r>
      <w:r>
        <w:rPr>
          <w:rFonts w:ascii="宋体" w:hAnsi="宋体" w:cs="宋体"/>
          <w:color w:val="000000"/>
          <w:kern w:val="0"/>
          <w:sz w:val="22"/>
        </w:rPr>
        <w:t>0</w:t>
      </w:r>
      <w:r>
        <w:rPr>
          <w:rFonts w:hint="eastAsia" w:ascii="宋体" w:hAnsi="宋体" w:cs="宋体"/>
          <w:color w:val="000000"/>
          <w:kern w:val="0"/>
          <w:sz w:val="22"/>
        </w:rPr>
        <w:t>个日历日内完成并交付使用。</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供货</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pPr>
        <w:spacing w:line="360" w:lineRule="auto"/>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w:t>
      </w:r>
      <w:r>
        <w:rPr>
          <w:rFonts w:hint="eastAsia" w:ascii="宋体" w:hAnsi="宋体" w:cs="宋体"/>
          <w:color w:val="000000"/>
          <w:kern w:val="0"/>
          <w:sz w:val="22"/>
        </w:rPr>
        <w:t>提交时间：</w:t>
      </w:r>
      <w:r>
        <w:rPr>
          <w:rFonts w:ascii="宋体" w:hAnsi="宋体" w:cs="宋体"/>
          <w:color w:val="000000"/>
          <w:kern w:val="0"/>
          <w:sz w:val="22"/>
        </w:rPr>
        <w:t>202</w:t>
      </w:r>
      <w:r>
        <w:rPr>
          <w:rFonts w:hint="eastAsia" w:ascii="宋体" w:hAnsi="宋体" w:cs="宋体"/>
          <w:color w:val="000000"/>
          <w:kern w:val="0"/>
          <w:sz w:val="22"/>
        </w:rPr>
        <w:t>3年</w:t>
      </w:r>
      <w:r>
        <w:rPr>
          <w:rFonts w:ascii="宋体" w:hAnsi="宋体" w:cs="宋体"/>
          <w:color w:val="000000"/>
          <w:kern w:val="0"/>
          <w:sz w:val="22"/>
        </w:rPr>
        <w:t>6</w:t>
      </w:r>
      <w:r>
        <w:rPr>
          <w:rFonts w:hint="eastAsia" w:ascii="宋体" w:hAnsi="宋体" w:cs="宋体"/>
          <w:color w:val="000000"/>
          <w:kern w:val="0"/>
          <w:sz w:val="22"/>
        </w:rPr>
        <w:t>月</w:t>
      </w:r>
      <w:r>
        <w:rPr>
          <w:rFonts w:hint="eastAsia" w:ascii="宋体" w:hAnsi="宋体" w:cs="宋体"/>
          <w:color w:val="000000"/>
          <w:kern w:val="0"/>
          <w:sz w:val="22"/>
          <w:lang w:val="en-US" w:eastAsia="zh-CN"/>
        </w:rPr>
        <w:t>21</w:t>
      </w:r>
      <w:r>
        <w:rPr>
          <w:rFonts w:hint="eastAsia" w:ascii="宋体" w:hAnsi="宋体" w:cs="宋体"/>
          <w:color w:val="000000"/>
          <w:kern w:val="0"/>
          <w:sz w:val="22"/>
        </w:rPr>
        <w:t>日起至</w:t>
      </w:r>
      <w:r>
        <w:rPr>
          <w:rFonts w:ascii="宋体" w:hAnsi="宋体" w:cs="宋体"/>
          <w:color w:val="000000"/>
          <w:kern w:val="0"/>
          <w:sz w:val="22"/>
        </w:rPr>
        <w:t>202</w:t>
      </w:r>
      <w:r>
        <w:rPr>
          <w:rFonts w:hint="eastAsia" w:ascii="宋体" w:hAnsi="宋体" w:cs="宋体"/>
          <w:color w:val="000000"/>
          <w:kern w:val="0"/>
          <w:sz w:val="22"/>
        </w:rPr>
        <w:t>3年6月</w:t>
      </w:r>
      <w:r>
        <w:rPr>
          <w:rFonts w:hint="eastAsia" w:ascii="宋体" w:hAnsi="宋体" w:cs="宋体"/>
          <w:color w:val="000000"/>
          <w:kern w:val="0"/>
          <w:sz w:val="22"/>
          <w:lang w:val="en-US" w:eastAsia="zh-CN"/>
        </w:rPr>
        <w:t>29</w:t>
      </w:r>
      <w:r>
        <w:rPr>
          <w:rFonts w:hint="eastAsia" w:ascii="宋体" w:hAnsi="宋体" w:cs="宋体"/>
          <w:color w:val="000000"/>
          <w:kern w:val="0"/>
          <w:sz w:val="22"/>
        </w:rPr>
        <w:t>日上午7:30-11:30，下午2:30-5:30，节假日除外。</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提交地点：茂名市为民路101号茂名市人民医院5号楼2楼招标采购办公室。</w:t>
      </w:r>
    </w:p>
    <w:p>
      <w:pPr>
        <w:spacing w:line="360" w:lineRule="auto"/>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w:t>
      </w:r>
      <w:r>
        <w:rPr>
          <w:rFonts w:hint="eastAsia" w:ascii="宋体" w:hAnsi="宋体" w:cs="宋体"/>
          <w:color w:val="000000"/>
          <w:kern w:val="0"/>
          <w:sz w:val="22"/>
        </w:rPr>
        <w:t>费用：不收取任何费用</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六、需提交的书面资料</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响应文件（样板详见需求征集文件）</w:t>
      </w:r>
    </w:p>
    <w:p>
      <w:pPr>
        <w:spacing w:line="360" w:lineRule="auto"/>
        <w:rPr>
          <w:rFonts w:ascii="宋体" w:hAnsi="宋体" w:cs="宋体"/>
          <w:b/>
          <w:bCs/>
          <w:color w:val="000000"/>
          <w:kern w:val="0"/>
          <w:sz w:val="22"/>
        </w:rPr>
      </w:pPr>
      <w:r>
        <w:rPr>
          <w:rFonts w:hint="eastAsia" w:ascii="宋体" w:hAnsi="宋体" w:cs="宋体"/>
          <w:b/>
          <w:bCs/>
          <w:color w:val="000000"/>
          <w:kern w:val="0"/>
          <w:sz w:val="22"/>
        </w:rPr>
        <w:t>注：以上资料纸质版加盖公章递交到茂名市为民路101号茂名市人民医院5号楼2楼招标采购办公室</w:t>
      </w:r>
    </w:p>
    <w:p>
      <w:pPr>
        <w:spacing w:line="360" w:lineRule="auto"/>
        <w:rPr>
          <w:rFonts w:ascii="宋体" w:hAnsi="宋体" w:cs="宋体"/>
          <w:color w:val="000000"/>
          <w:kern w:val="0"/>
          <w:sz w:val="22"/>
        </w:rPr>
      </w:pPr>
      <w:r>
        <w:rPr>
          <w:rFonts w:hint="eastAsia" w:ascii="宋体" w:hAnsi="宋体" w:cs="宋体"/>
          <w:color w:val="000000"/>
          <w:kern w:val="0"/>
          <w:sz w:val="22"/>
        </w:rPr>
        <w:t>七、</w:t>
      </w:r>
      <w:r>
        <w:rPr>
          <w:rFonts w:hint="eastAsia" w:ascii="宋体" w:hAnsi="宋体"/>
          <w:b/>
        </w:rPr>
        <w:t>联系方式</w:t>
      </w:r>
    </w:p>
    <w:p>
      <w:pPr>
        <w:spacing w:line="360" w:lineRule="auto"/>
        <w:ind w:firstLine="420" w:firstLineChars="200"/>
        <w:rPr>
          <w:rFonts w:ascii="宋体" w:hAnsi="宋体"/>
        </w:rPr>
      </w:pPr>
      <w:r>
        <w:rPr>
          <w:rFonts w:hint="eastAsia" w:ascii="宋体" w:hAnsi="宋体"/>
        </w:rPr>
        <w:t>联系人：邵先生</w:t>
      </w:r>
    </w:p>
    <w:p>
      <w:pPr>
        <w:spacing w:line="360" w:lineRule="auto"/>
        <w:ind w:firstLine="420" w:firstLineChars="200"/>
        <w:rPr>
          <w:rFonts w:ascii="宋体" w:hAnsi="宋体"/>
        </w:rPr>
      </w:pPr>
      <w:r>
        <w:rPr>
          <w:rFonts w:hint="eastAsia" w:ascii="宋体" w:hAnsi="宋体"/>
        </w:rPr>
        <w:t>联系电话：0668-2922921、0668-2922306</w:t>
      </w:r>
    </w:p>
    <w:p>
      <w:pPr>
        <w:spacing w:line="360" w:lineRule="auto"/>
        <w:ind w:firstLine="420" w:firstLineChars="200"/>
        <w:rPr>
          <w:rFonts w:ascii="宋体" w:hAnsi="宋体"/>
        </w:rPr>
      </w:pPr>
      <w:r>
        <w:rPr>
          <w:rFonts w:hint="eastAsia" w:ascii="宋体" w:hAnsi="宋体"/>
        </w:rPr>
        <w:t>邮箱：569437953@qq.com</w:t>
      </w:r>
    </w:p>
    <w:p>
      <w:pPr>
        <w:pStyle w:val="7"/>
        <w:tabs>
          <w:tab w:val="left" w:pos="1260"/>
        </w:tabs>
        <w:spacing w:line="360" w:lineRule="auto"/>
        <w:ind w:firstLine="0" w:firstLineChars="0"/>
        <w:jc w:val="center"/>
        <w:rPr>
          <w:rFonts w:hAnsi="宋体"/>
          <w:lang w:val="en-US"/>
        </w:rPr>
      </w:pPr>
    </w:p>
    <w:p>
      <w:pPr>
        <w:pStyle w:val="7"/>
        <w:tabs>
          <w:tab w:val="left" w:pos="1260"/>
        </w:tabs>
        <w:spacing w:line="360" w:lineRule="auto"/>
        <w:ind w:firstLine="0" w:firstLineChars="0"/>
        <w:jc w:val="center"/>
        <w:rPr>
          <w:rFonts w:hAnsi="宋体"/>
          <w:lang w:val="en-US"/>
        </w:rPr>
      </w:pPr>
      <w:r>
        <w:rPr>
          <w:rFonts w:hint="eastAsia" w:hAnsi="宋体"/>
          <w:lang w:val="en-US"/>
        </w:rPr>
        <w:t xml:space="preserve"> </w:t>
      </w:r>
      <w:r>
        <w:rPr>
          <w:rFonts w:hAnsi="宋体"/>
          <w:lang w:val="en-US"/>
        </w:rPr>
        <w:t xml:space="preserve">                                    </w:t>
      </w:r>
      <w:r>
        <w:rPr>
          <w:rFonts w:hint="eastAsia" w:hAnsi="宋体"/>
          <w:lang w:val="en-US"/>
        </w:rPr>
        <w:t>茂名市人民医院</w:t>
      </w:r>
    </w:p>
    <w:p>
      <w:pPr>
        <w:pStyle w:val="7"/>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rPr>
        <w:t>3年</w:t>
      </w:r>
      <w:r>
        <w:rPr>
          <w:rFonts w:hAnsi="宋体"/>
          <w:lang w:val="en-US"/>
        </w:rPr>
        <w:t>6</w:t>
      </w:r>
      <w:r>
        <w:rPr>
          <w:rFonts w:hint="eastAsia" w:hAnsi="宋体"/>
          <w:lang w:val="en-US"/>
        </w:rPr>
        <w:t>月</w:t>
      </w:r>
      <w:r>
        <w:rPr>
          <w:rFonts w:hint="eastAsia" w:hAnsi="宋体"/>
          <w:lang w:val="en-US" w:eastAsia="zh-CN"/>
        </w:rPr>
        <w:t>21</w:t>
      </w:r>
      <w:bookmarkStart w:id="15" w:name="_GoBack"/>
      <w:bookmarkEnd w:id="15"/>
      <w:r>
        <w:rPr>
          <w:rFonts w:hint="eastAsia" w:hAnsi="宋体"/>
          <w:lang w:val="en-US"/>
        </w:rPr>
        <w:t>日</w:t>
      </w:r>
    </w:p>
    <w:p>
      <w:pPr>
        <w:pStyle w:val="7"/>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ind w:left="142"/>
        <w:jc w:val="left"/>
        <w:rPr>
          <w:rFonts w:ascii="宋体" w:hAnsi="宋体"/>
          <w:bCs/>
          <w:sz w:val="24"/>
        </w:rPr>
      </w:pPr>
      <w:bookmarkStart w:id="0" w:name="_Toc133701352"/>
      <w:r>
        <w:rPr>
          <w:rFonts w:hint="eastAsia" w:ascii="宋体" w:hAnsi="宋体"/>
          <w:bCs/>
          <w:sz w:val="24"/>
        </w:rPr>
        <w:t>一、项目概况</w:t>
      </w:r>
      <w:bookmarkEnd w:id="0"/>
    </w:p>
    <w:p>
      <w:pPr>
        <w:widowControl/>
        <w:spacing w:line="360" w:lineRule="auto"/>
        <w:ind w:left="142" w:firstLine="480" w:firstLineChars="200"/>
        <w:jc w:val="left"/>
        <w:rPr>
          <w:rFonts w:ascii="宋体" w:hAnsi="宋体"/>
          <w:bCs/>
          <w:sz w:val="24"/>
        </w:rPr>
      </w:pPr>
      <w:r>
        <w:rPr>
          <w:rFonts w:hint="eastAsia" w:ascii="宋体" w:hAnsi="宋体"/>
          <w:bCs/>
          <w:sz w:val="24"/>
        </w:rPr>
        <w:t>本项目主要针对茂名市人民医院用电安全隐患问题，重点保护场所配电回路的短路、过载情况并在故障时能及时知晓。同时对部分线路用电环境实时检测，从而判断电源设备是否有过流、剩余电流超限、温度超限等故障。</w:t>
      </w:r>
    </w:p>
    <w:p>
      <w:pPr>
        <w:widowControl/>
        <w:spacing w:line="360" w:lineRule="auto"/>
        <w:jc w:val="left"/>
        <w:rPr>
          <w:rFonts w:ascii="宋体" w:hAnsi="宋体"/>
          <w:bCs/>
          <w:sz w:val="24"/>
        </w:rPr>
      </w:pPr>
      <w:bookmarkStart w:id="1" w:name="_Toc133701353"/>
      <w:r>
        <w:rPr>
          <w:rFonts w:hint="eastAsia" w:ascii="宋体" w:hAnsi="宋体"/>
          <w:bCs/>
          <w:sz w:val="24"/>
        </w:rPr>
        <w:t>二、</w:t>
      </w:r>
      <w:bookmarkEnd w:id="1"/>
      <w:bookmarkStart w:id="2" w:name="_Toc133701354"/>
      <w:r>
        <w:rPr>
          <w:rFonts w:hint="eastAsia" w:ascii="宋体" w:hAnsi="宋体"/>
          <w:bCs/>
          <w:sz w:val="24"/>
        </w:rPr>
        <w:t>技术</w:t>
      </w:r>
      <w:bookmarkEnd w:id="2"/>
      <w:r>
        <w:rPr>
          <w:rFonts w:hint="eastAsia" w:ascii="宋体" w:hAnsi="宋体"/>
          <w:bCs/>
          <w:sz w:val="24"/>
        </w:rPr>
        <w:t>路线</w:t>
      </w:r>
    </w:p>
    <w:p>
      <w:pPr>
        <w:widowControl/>
        <w:spacing w:line="360" w:lineRule="auto"/>
        <w:ind w:left="142" w:firstLine="480" w:firstLineChars="200"/>
        <w:jc w:val="left"/>
        <w:rPr>
          <w:rFonts w:ascii="宋体" w:hAnsi="宋体"/>
          <w:bCs/>
          <w:sz w:val="24"/>
        </w:rPr>
      </w:pPr>
      <w:r>
        <w:rPr>
          <w:rFonts w:hint="eastAsia" w:ascii="宋体" w:hAnsi="宋体"/>
          <w:bCs/>
          <w:sz w:val="24"/>
        </w:rPr>
        <w:t xml:space="preserve">通过智能化数字化网络监控技术对配电回路和供电线路的漏电流、过载电流、过压/缺相、线路温升、功率等火灾危险参数实施监控和管理，一旦供电线路发生漏电、过载、短路、过压、缺相、过热等超过设定值信号时，能快速准确发出声光语音预警（报警）信号，指示报警部位，记录报警时间，显示报警类型，并通过通信网络(GPRS、NB-IOT)无线传输等手段将报警信息用无线网络技术远程发送给监控中心和监控客户端，通过多种手段提醒相关人员及时处理险情，并能指导用户实现处理信息从监控中心反馈到前端探测设备，从而达到预防电气火灾的发生；将管理数据实时提供给监管部门，使监管部门准确全面地掌握电气安全形势，有序地安排部署相关工作的开展，提高监管效率和针对性。              </w:t>
      </w:r>
    </w:p>
    <w:p>
      <w:pPr>
        <w:widowControl/>
        <w:spacing w:line="360" w:lineRule="auto"/>
        <w:ind w:left="142" w:firstLine="480" w:firstLineChars="200"/>
        <w:jc w:val="left"/>
        <w:rPr>
          <w:rFonts w:ascii="宋体" w:hAnsi="宋体"/>
          <w:bCs/>
          <w:sz w:val="24"/>
        </w:rPr>
      </w:pPr>
      <w:r>
        <w:rPr>
          <w:rFonts w:hint="eastAsia" w:ascii="宋体" w:hAnsi="宋体"/>
          <w:bCs/>
          <w:sz w:val="24"/>
        </w:rPr>
        <w:t>系统需具备集漏电、过载、温度过高、烟雾检测、电压、功率因素等电气故障和功率、电量等能耗数据于一体的全电量用电安全探测器，通过内置GSM模块以无线通讯的方式实现智慧安全用电云平台的远程监控，实时接收并显示报警、故障等状态信息。</w:t>
      </w:r>
    </w:p>
    <w:p>
      <w:pPr>
        <w:widowControl/>
        <w:spacing w:line="360" w:lineRule="auto"/>
        <w:ind w:left="142" w:firstLine="480" w:firstLineChars="200"/>
        <w:jc w:val="left"/>
        <w:rPr>
          <w:rFonts w:ascii="宋体" w:hAnsi="宋体"/>
          <w:bCs/>
          <w:sz w:val="24"/>
        </w:rPr>
      </w:pPr>
      <w:r>
        <w:rPr>
          <w:rFonts w:hint="eastAsia" w:ascii="宋体" w:hAnsi="宋体"/>
          <w:bCs/>
          <w:sz w:val="24"/>
        </w:rPr>
        <w:t>云平台可直接管理接入到平台上的所有监控探测器数据，并提供实时报警、短信报警、自动巡检、报表统计等功能，人机界面友好，操作直观方便。</w:t>
      </w:r>
      <w:bookmarkStart w:id="3" w:name="_Toc133701359"/>
      <w:bookmarkStart w:id="4" w:name="_Toc40945856"/>
    </w:p>
    <w:p>
      <w:pPr>
        <w:widowControl/>
        <w:numPr>
          <w:ilvl w:val="0"/>
          <w:numId w:val="2"/>
        </w:numPr>
        <w:spacing w:line="360" w:lineRule="auto"/>
        <w:jc w:val="left"/>
        <w:rPr>
          <w:rFonts w:ascii="宋体" w:hAnsi="宋体"/>
          <w:bCs/>
          <w:sz w:val="24"/>
        </w:rPr>
      </w:pPr>
      <w:r>
        <w:rPr>
          <w:rFonts w:hint="eastAsia" w:ascii="宋体" w:hAnsi="宋体"/>
          <w:bCs/>
          <w:sz w:val="24"/>
        </w:rPr>
        <w:t>采购需求</w:t>
      </w:r>
    </w:p>
    <w:p>
      <w:pPr>
        <w:pStyle w:val="2"/>
      </w:pPr>
    </w:p>
    <w:p/>
    <w:p>
      <w:pPr>
        <w:pStyle w:val="2"/>
      </w:pPr>
    </w:p>
    <w:tbl>
      <w:tblPr>
        <w:tblStyle w:val="15"/>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03"/>
        <w:gridCol w:w="3196"/>
        <w:gridCol w:w="846"/>
        <w:gridCol w:w="74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34" w:type="dxa"/>
          </w:tcPr>
          <w:p>
            <w:pPr>
              <w:widowControl/>
              <w:spacing w:line="360" w:lineRule="auto"/>
              <w:jc w:val="center"/>
              <w:rPr>
                <w:rFonts w:ascii="宋体" w:hAnsi="宋体"/>
                <w:bCs/>
                <w:sz w:val="24"/>
                <w:szCs w:val="24"/>
              </w:rPr>
            </w:pPr>
            <w:r>
              <w:rPr>
                <w:rFonts w:hint="eastAsia" w:ascii="宋体" w:hAnsi="宋体"/>
                <w:bCs/>
                <w:sz w:val="24"/>
                <w:szCs w:val="24"/>
              </w:rPr>
              <w:t>序号</w:t>
            </w:r>
          </w:p>
        </w:tc>
        <w:tc>
          <w:tcPr>
            <w:tcW w:w="1503" w:type="dxa"/>
          </w:tcPr>
          <w:p>
            <w:pPr>
              <w:widowControl/>
              <w:spacing w:line="360" w:lineRule="auto"/>
              <w:jc w:val="center"/>
              <w:rPr>
                <w:rFonts w:ascii="宋体" w:hAnsi="宋体"/>
                <w:bCs/>
                <w:sz w:val="24"/>
                <w:szCs w:val="24"/>
              </w:rPr>
            </w:pPr>
            <w:r>
              <w:rPr>
                <w:rFonts w:hint="eastAsia" w:ascii="宋体" w:hAnsi="宋体"/>
                <w:bCs/>
                <w:sz w:val="24"/>
                <w:szCs w:val="24"/>
              </w:rPr>
              <w:t>设备名称</w:t>
            </w:r>
          </w:p>
        </w:tc>
        <w:tc>
          <w:tcPr>
            <w:tcW w:w="3196" w:type="dxa"/>
          </w:tcPr>
          <w:p>
            <w:pPr>
              <w:widowControl/>
              <w:spacing w:line="360" w:lineRule="auto"/>
              <w:jc w:val="center"/>
              <w:rPr>
                <w:rFonts w:ascii="宋体" w:hAnsi="宋体"/>
                <w:bCs/>
                <w:sz w:val="24"/>
                <w:szCs w:val="24"/>
              </w:rPr>
            </w:pPr>
            <w:r>
              <w:rPr>
                <w:rFonts w:hint="eastAsia" w:ascii="宋体" w:hAnsi="宋体"/>
                <w:bCs/>
                <w:sz w:val="24"/>
                <w:szCs w:val="24"/>
              </w:rPr>
              <w:t>参数</w:t>
            </w:r>
          </w:p>
        </w:tc>
        <w:tc>
          <w:tcPr>
            <w:tcW w:w="846" w:type="dxa"/>
          </w:tcPr>
          <w:p>
            <w:pPr>
              <w:widowControl/>
              <w:spacing w:line="360" w:lineRule="auto"/>
              <w:jc w:val="center"/>
              <w:rPr>
                <w:rFonts w:ascii="宋体" w:hAnsi="宋体"/>
                <w:bCs/>
                <w:sz w:val="24"/>
                <w:szCs w:val="24"/>
              </w:rPr>
            </w:pPr>
            <w:r>
              <w:rPr>
                <w:rFonts w:hint="eastAsia" w:ascii="宋体" w:hAnsi="宋体"/>
                <w:bCs/>
                <w:sz w:val="24"/>
                <w:szCs w:val="24"/>
              </w:rPr>
              <w:t>单位</w:t>
            </w:r>
          </w:p>
        </w:tc>
        <w:tc>
          <w:tcPr>
            <w:tcW w:w="744" w:type="dxa"/>
          </w:tcPr>
          <w:p>
            <w:pPr>
              <w:widowControl/>
              <w:spacing w:line="360" w:lineRule="auto"/>
              <w:jc w:val="center"/>
              <w:rPr>
                <w:rFonts w:ascii="宋体" w:hAnsi="宋体"/>
                <w:bCs/>
                <w:sz w:val="24"/>
                <w:szCs w:val="24"/>
              </w:rPr>
            </w:pPr>
            <w:r>
              <w:rPr>
                <w:rFonts w:hint="eastAsia" w:ascii="宋体" w:hAnsi="宋体"/>
                <w:bCs/>
                <w:sz w:val="24"/>
                <w:szCs w:val="24"/>
              </w:rPr>
              <w:t>数量</w:t>
            </w:r>
          </w:p>
        </w:tc>
        <w:tc>
          <w:tcPr>
            <w:tcW w:w="1279" w:type="dxa"/>
          </w:tcPr>
          <w:p>
            <w:pPr>
              <w:widowControl/>
              <w:spacing w:line="360" w:lineRule="auto"/>
              <w:jc w:val="center"/>
              <w:rPr>
                <w:rFonts w:ascii="宋体" w:hAnsi="宋体"/>
                <w:bCs/>
                <w:sz w:val="24"/>
                <w:szCs w:val="24"/>
              </w:rPr>
            </w:pPr>
            <w:r>
              <w:rPr>
                <w:rFonts w:hint="eastAsia" w:ascii="宋体" w:hAnsi="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3" w:hRule="atLeast"/>
        </w:trPr>
        <w:tc>
          <w:tcPr>
            <w:tcW w:w="734" w:type="dxa"/>
          </w:tcPr>
          <w:p>
            <w:pPr>
              <w:widowControl/>
              <w:spacing w:line="360" w:lineRule="auto"/>
              <w:jc w:val="center"/>
              <w:rPr>
                <w:rFonts w:ascii="宋体" w:hAnsi="宋体"/>
                <w:bCs/>
                <w:sz w:val="24"/>
                <w:szCs w:val="24"/>
              </w:rPr>
            </w:pPr>
            <w:r>
              <w:rPr>
                <w:rFonts w:hint="eastAsia" w:ascii="宋体" w:hAnsi="宋体"/>
                <w:bCs/>
                <w:sz w:val="24"/>
                <w:szCs w:val="24"/>
              </w:rPr>
              <w:t>1</w:t>
            </w:r>
          </w:p>
        </w:tc>
        <w:tc>
          <w:tcPr>
            <w:tcW w:w="1503" w:type="dxa"/>
          </w:tcPr>
          <w:p>
            <w:pPr>
              <w:widowControl/>
              <w:jc w:val="left"/>
            </w:pPr>
            <w:r>
              <w:rPr>
                <w:rFonts w:hint="eastAsia" w:ascii="宋体" w:hAnsi="宋体" w:cs="宋体"/>
                <w:color w:val="000000"/>
                <w:kern w:val="0"/>
                <w:sz w:val="20"/>
                <w:szCs w:val="20"/>
                <w:lang w:bidi="ar"/>
              </w:rPr>
              <w:t xml:space="preserve">智慧安全用 </w:t>
            </w:r>
          </w:p>
          <w:p>
            <w:pPr>
              <w:widowControl/>
              <w:jc w:val="left"/>
            </w:pPr>
            <w:r>
              <w:rPr>
                <w:rFonts w:hint="eastAsia" w:ascii="宋体" w:hAnsi="宋体" w:cs="宋体"/>
                <w:color w:val="000000"/>
                <w:kern w:val="0"/>
                <w:sz w:val="20"/>
                <w:szCs w:val="20"/>
                <w:lang w:bidi="ar"/>
              </w:rPr>
              <w:t xml:space="preserve">电监管设备 </w:t>
            </w:r>
          </w:p>
          <w:p>
            <w:pPr>
              <w:widowControl/>
              <w:jc w:val="left"/>
            </w:pPr>
            <w:r>
              <w:rPr>
                <w:rFonts w:hint="eastAsia" w:ascii="宋体" w:hAnsi="宋体" w:cs="宋体"/>
                <w:color w:val="000000"/>
                <w:kern w:val="0"/>
                <w:sz w:val="20"/>
                <w:szCs w:val="20"/>
                <w:lang w:bidi="ar"/>
              </w:rPr>
              <w:t>探测终端</w:t>
            </w:r>
          </w:p>
          <w:p>
            <w:pPr>
              <w:widowControl/>
              <w:spacing w:line="360" w:lineRule="auto"/>
              <w:jc w:val="center"/>
              <w:rPr>
                <w:rFonts w:ascii="宋体" w:hAnsi="宋体"/>
                <w:bCs/>
                <w:sz w:val="24"/>
                <w:szCs w:val="24"/>
              </w:rPr>
            </w:pPr>
          </w:p>
        </w:tc>
        <w:tc>
          <w:tcPr>
            <w:tcW w:w="3196" w:type="dxa"/>
          </w:tcPr>
          <w:p>
            <w:pPr>
              <w:widowControl/>
              <w:jc w:val="left"/>
            </w:pPr>
            <w:r>
              <w:rPr>
                <w:rFonts w:hint="eastAsia" w:ascii="宋体" w:hAnsi="宋体" w:cs="宋体"/>
                <w:color w:val="000000"/>
                <w:kern w:val="0"/>
                <w:sz w:val="20"/>
                <w:szCs w:val="20"/>
                <w:lang w:bidi="ar"/>
              </w:rPr>
              <w:t xml:space="preserve">主要参数： </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▲1.支持环境量探测设备的接入（温感、烟雾、水浸、振动、有害气体等探测设备）。 </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2.支持1路烟感、3 路电流检测、4 路温度检测和1路漏电流检测。 </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3.可本地对主机各项参数进行设置。</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▲4.探测终端自带液晶屏幕，能同时显示实时检测数据。</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▲5.通过 4G/5G 网络将检测数据、报警信息等传输到网络管理平台。</w:t>
            </w:r>
          </w:p>
          <w:p>
            <w:pPr>
              <w:widowControl/>
              <w:numPr>
                <w:ilvl w:val="255"/>
                <w:numId w:val="0"/>
              </w:numPr>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6.工作电源：范围AC220V，功耗≦3W;</w:t>
            </w:r>
          </w:p>
          <w:p>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7.额定电流：50A-630A；</w:t>
            </w:r>
          </w:p>
          <w:p>
            <w:pPr>
              <w:widowControl/>
              <w:spacing w:line="360" w:lineRule="auto"/>
              <w:jc w:val="left"/>
              <w:rPr>
                <w:rFonts w:ascii="宋体" w:hAnsi="宋体"/>
                <w:bCs/>
                <w:sz w:val="24"/>
                <w:szCs w:val="24"/>
              </w:rPr>
            </w:pPr>
            <w:r>
              <w:rPr>
                <w:rFonts w:hint="eastAsia" w:ascii="宋体" w:hAnsi="宋体" w:cs="宋体"/>
                <w:color w:val="000000"/>
                <w:kern w:val="0"/>
                <w:sz w:val="20"/>
                <w:szCs w:val="20"/>
                <w:lang w:bidi="ar"/>
              </w:rPr>
              <w:t>8.通讯方式：无线通信、支持手机SIM卡</w:t>
            </w:r>
          </w:p>
        </w:tc>
        <w:tc>
          <w:tcPr>
            <w:tcW w:w="846" w:type="dxa"/>
          </w:tcPr>
          <w:p>
            <w:pPr>
              <w:widowControl/>
              <w:spacing w:line="360" w:lineRule="auto"/>
              <w:jc w:val="center"/>
              <w:rPr>
                <w:rFonts w:ascii="宋体" w:hAnsi="宋体"/>
                <w:bCs/>
                <w:sz w:val="24"/>
                <w:szCs w:val="24"/>
              </w:rPr>
            </w:pPr>
            <w:r>
              <w:rPr>
                <w:rFonts w:hint="eastAsia" w:ascii="宋体" w:hAnsi="宋体"/>
                <w:bCs/>
                <w:sz w:val="24"/>
                <w:szCs w:val="24"/>
              </w:rPr>
              <w:t>台</w:t>
            </w:r>
          </w:p>
        </w:tc>
        <w:tc>
          <w:tcPr>
            <w:tcW w:w="744" w:type="dxa"/>
          </w:tcPr>
          <w:p>
            <w:pPr>
              <w:widowControl/>
              <w:spacing w:line="360" w:lineRule="auto"/>
              <w:jc w:val="center"/>
              <w:rPr>
                <w:rFonts w:ascii="宋体" w:hAnsi="宋体"/>
                <w:bCs/>
                <w:sz w:val="24"/>
                <w:szCs w:val="24"/>
              </w:rPr>
            </w:pPr>
            <w:r>
              <w:rPr>
                <w:rFonts w:hint="eastAsia" w:ascii="宋体" w:hAnsi="宋体"/>
                <w:bCs/>
                <w:sz w:val="24"/>
                <w:szCs w:val="24"/>
              </w:rPr>
              <w:t>369</w:t>
            </w:r>
          </w:p>
        </w:tc>
        <w:tc>
          <w:tcPr>
            <w:tcW w:w="1279" w:type="dxa"/>
          </w:tcPr>
          <w:p>
            <w:pPr>
              <w:widowControl/>
              <w:spacing w:line="360" w:lineRule="auto"/>
              <w:jc w:val="left"/>
              <w:rPr>
                <w:rFonts w:ascii="宋体" w:hAnsi="宋体"/>
                <w:bCs/>
                <w:sz w:val="24"/>
                <w:szCs w:val="24"/>
              </w:rPr>
            </w:pPr>
            <w:r>
              <w:rPr>
                <w:rFonts w:hint="eastAsia" w:ascii="宋体" w:hAnsi="宋体"/>
                <w:bCs/>
                <w:sz w:val="24"/>
                <w:szCs w:val="24"/>
              </w:rPr>
              <w:t>其中接入</w:t>
            </w:r>
            <w:r>
              <w:rPr>
                <w:rFonts w:cs="Calibri"/>
                <w:bCs/>
                <w:sz w:val="24"/>
                <w:szCs w:val="24"/>
              </w:rPr>
              <w:t>①</w:t>
            </w:r>
            <w:r>
              <w:rPr>
                <w:rFonts w:hint="eastAsia" w:ascii="宋体" w:hAnsi="宋体"/>
                <w:bCs/>
                <w:sz w:val="24"/>
                <w:szCs w:val="24"/>
              </w:rPr>
              <w:t>600A：38台；</w:t>
            </w:r>
            <w:r>
              <w:rPr>
                <w:rFonts w:hint="eastAsia" w:ascii="宋体" w:hAnsi="宋体"/>
                <w:bCs/>
                <w:sz w:val="24"/>
                <w:szCs w:val="24"/>
              </w:rPr>
              <w:br w:type="textWrapping"/>
            </w:r>
            <w:r>
              <w:rPr>
                <w:rFonts w:cs="Calibri"/>
                <w:bCs/>
                <w:sz w:val="24"/>
                <w:szCs w:val="24"/>
              </w:rPr>
              <w:t>②</w:t>
            </w:r>
            <w:r>
              <w:rPr>
                <w:rFonts w:hint="eastAsia" w:ascii="宋体" w:hAnsi="宋体"/>
                <w:bCs/>
                <w:sz w:val="24"/>
                <w:szCs w:val="24"/>
              </w:rPr>
              <w:t>400A：50台；</w:t>
            </w:r>
            <w:r>
              <w:rPr>
                <w:rFonts w:hint="eastAsia" w:ascii="宋体" w:hAnsi="宋体"/>
                <w:bCs/>
                <w:sz w:val="24"/>
                <w:szCs w:val="24"/>
              </w:rPr>
              <w:br w:type="textWrapping"/>
            </w:r>
            <w:r>
              <w:rPr>
                <w:rFonts w:cs="Calibri"/>
                <w:bCs/>
                <w:sz w:val="24"/>
                <w:szCs w:val="24"/>
              </w:rPr>
              <w:t>③</w:t>
            </w:r>
            <w:r>
              <w:rPr>
                <w:rFonts w:hint="eastAsia" w:cs="Calibri"/>
                <w:bCs/>
                <w:sz w:val="24"/>
                <w:szCs w:val="24"/>
              </w:rPr>
              <w:t>200A：146台；</w:t>
            </w:r>
            <w:r>
              <w:rPr>
                <w:rFonts w:hint="eastAsia" w:cs="Calibri"/>
                <w:bCs/>
                <w:sz w:val="24"/>
                <w:szCs w:val="24"/>
              </w:rPr>
              <w:br w:type="textWrapping"/>
            </w:r>
            <w:r>
              <w:rPr>
                <w:rFonts w:hint="eastAsia" w:ascii="仿宋" w:hAnsi="仿宋" w:eastAsia="仿宋" w:cs="仿宋"/>
                <w:bCs/>
                <w:sz w:val="24"/>
                <w:szCs w:val="24"/>
              </w:rPr>
              <w:t>④</w:t>
            </w:r>
            <w:r>
              <w:rPr>
                <w:rFonts w:hint="eastAsia" w:cs="Calibri"/>
                <w:bCs/>
                <w:sz w:val="24"/>
                <w:szCs w:val="24"/>
              </w:rPr>
              <w:t>100A：135台。</w:t>
            </w:r>
            <w:r>
              <w:rPr>
                <w:rFonts w:hint="eastAsia" w:cs="Calibri"/>
                <w:bCs/>
                <w:sz w:val="24"/>
                <w:szCs w:val="24"/>
              </w:rPr>
              <w:br w:type="textWrapping"/>
            </w:r>
            <w:r>
              <w:rPr>
                <w:rFonts w:hint="eastAsia" w:cs="Calibri"/>
                <w:bCs/>
                <w:sz w:val="24"/>
                <w:szCs w:val="24"/>
              </w:rPr>
              <w:t>以上均为暂估量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widowControl/>
              <w:spacing w:line="360" w:lineRule="auto"/>
              <w:jc w:val="center"/>
              <w:rPr>
                <w:rFonts w:ascii="宋体" w:hAnsi="宋体"/>
                <w:bCs/>
                <w:sz w:val="24"/>
                <w:szCs w:val="24"/>
              </w:rPr>
            </w:pPr>
            <w:r>
              <w:rPr>
                <w:rFonts w:hint="eastAsia" w:ascii="宋体" w:hAnsi="宋体"/>
                <w:bCs/>
                <w:sz w:val="24"/>
                <w:szCs w:val="24"/>
              </w:rPr>
              <w:t>2</w:t>
            </w:r>
          </w:p>
        </w:tc>
        <w:tc>
          <w:tcPr>
            <w:tcW w:w="1503" w:type="dxa"/>
          </w:tcPr>
          <w:p>
            <w:pPr>
              <w:widowControl/>
              <w:spacing w:line="360" w:lineRule="auto"/>
              <w:jc w:val="center"/>
              <w:rPr>
                <w:rFonts w:ascii="宋体" w:hAnsi="宋体"/>
                <w:bCs/>
                <w:sz w:val="24"/>
                <w:szCs w:val="24"/>
              </w:rPr>
            </w:pPr>
            <w:r>
              <w:rPr>
                <w:rFonts w:hint="eastAsia" w:ascii="宋体" w:hAnsi="宋体"/>
                <w:bCs/>
                <w:sz w:val="24"/>
                <w:szCs w:val="24"/>
              </w:rPr>
              <w:t>物联网通讯费</w:t>
            </w:r>
          </w:p>
        </w:tc>
        <w:tc>
          <w:tcPr>
            <w:tcW w:w="3196" w:type="dxa"/>
          </w:tcPr>
          <w:p>
            <w:pPr>
              <w:widowControl/>
              <w:spacing w:line="360" w:lineRule="auto"/>
              <w:jc w:val="center"/>
              <w:rPr>
                <w:rFonts w:ascii="宋体" w:hAnsi="宋体"/>
                <w:bCs/>
                <w:sz w:val="24"/>
                <w:szCs w:val="24"/>
              </w:rPr>
            </w:pPr>
            <w:r>
              <w:rPr>
                <w:rFonts w:hint="eastAsia" w:ascii="宋体" w:hAnsi="宋体"/>
                <w:bCs/>
                <w:sz w:val="24"/>
                <w:szCs w:val="24"/>
              </w:rPr>
              <w:t>物联网数据卡，数据上传服务</w:t>
            </w:r>
          </w:p>
        </w:tc>
        <w:tc>
          <w:tcPr>
            <w:tcW w:w="846" w:type="dxa"/>
          </w:tcPr>
          <w:p>
            <w:pPr>
              <w:widowControl/>
              <w:spacing w:line="360" w:lineRule="auto"/>
              <w:jc w:val="center"/>
              <w:rPr>
                <w:rFonts w:ascii="宋体" w:hAnsi="宋体"/>
                <w:bCs/>
                <w:sz w:val="24"/>
                <w:szCs w:val="24"/>
              </w:rPr>
            </w:pPr>
            <w:r>
              <w:rPr>
                <w:rFonts w:hint="eastAsia" w:ascii="宋体" w:hAnsi="宋体"/>
                <w:bCs/>
                <w:sz w:val="24"/>
                <w:szCs w:val="24"/>
              </w:rPr>
              <w:t>张</w:t>
            </w:r>
          </w:p>
        </w:tc>
        <w:tc>
          <w:tcPr>
            <w:tcW w:w="744" w:type="dxa"/>
          </w:tcPr>
          <w:p>
            <w:pPr>
              <w:widowControl/>
              <w:spacing w:line="360" w:lineRule="auto"/>
              <w:jc w:val="center"/>
              <w:rPr>
                <w:rFonts w:ascii="宋体" w:hAnsi="宋体"/>
                <w:bCs/>
                <w:sz w:val="24"/>
                <w:szCs w:val="24"/>
              </w:rPr>
            </w:pPr>
            <w:r>
              <w:rPr>
                <w:rFonts w:hint="eastAsia" w:ascii="宋体" w:hAnsi="宋体"/>
                <w:bCs/>
                <w:sz w:val="24"/>
                <w:szCs w:val="24"/>
              </w:rPr>
              <w:t>369</w:t>
            </w:r>
          </w:p>
        </w:tc>
        <w:tc>
          <w:tcPr>
            <w:tcW w:w="1279" w:type="dxa"/>
          </w:tcPr>
          <w:p>
            <w:pPr>
              <w:widowControl/>
              <w:spacing w:line="360" w:lineRule="auto"/>
              <w:jc w:val="left"/>
              <w:rPr>
                <w:rFonts w:ascii="宋体" w:hAnsi="宋体"/>
                <w:bCs/>
                <w:sz w:val="24"/>
                <w:szCs w:val="24"/>
              </w:rPr>
            </w:pPr>
            <w:r>
              <w:rPr>
                <w:rFonts w:hint="eastAsia" w:ascii="宋体" w:hAnsi="宋体"/>
                <w:bCs/>
                <w:sz w:val="24"/>
                <w:szCs w:val="24"/>
              </w:rPr>
              <w:t>质保期内免费，需列明质保期外费用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widowControl/>
              <w:spacing w:line="360" w:lineRule="auto"/>
              <w:jc w:val="center"/>
              <w:rPr>
                <w:rFonts w:ascii="宋体" w:hAnsi="宋体"/>
                <w:bCs/>
                <w:sz w:val="24"/>
                <w:szCs w:val="24"/>
              </w:rPr>
            </w:pPr>
            <w:r>
              <w:rPr>
                <w:rFonts w:hint="eastAsia" w:ascii="宋体" w:hAnsi="宋体"/>
                <w:bCs/>
                <w:sz w:val="24"/>
                <w:szCs w:val="24"/>
              </w:rPr>
              <w:t>3</w:t>
            </w:r>
          </w:p>
        </w:tc>
        <w:tc>
          <w:tcPr>
            <w:tcW w:w="1503" w:type="dxa"/>
          </w:tcPr>
          <w:p>
            <w:pPr>
              <w:widowControl/>
              <w:jc w:val="left"/>
            </w:pPr>
            <w:r>
              <w:rPr>
                <w:rFonts w:hint="eastAsia" w:ascii="宋体" w:hAnsi="宋体" w:cs="宋体"/>
                <w:color w:val="000000"/>
                <w:kern w:val="0"/>
                <w:sz w:val="20"/>
                <w:szCs w:val="20"/>
                <w:lang w:bidi="ar"/>
              </w:rPr>
              <w:t xml:space="preserve">平台（云平台）管理软 </w:t>
            </w:r>
          </w:p>
          <w:p>
            <w:pPr>
              <w:widowControl/>
              <w:jc w:val="left"/>
            </w:pPr>
            <w:r>
              <w:rPr>
                <w:rFonts w:hint="eastAsia" w:ascii="宋体" w:hAnsi="宋体" w:cs="宋体"/>
                <w:color w:val="000000"/>
                <w:kern w:val="0"/>
                <w:sz w:val="20"/>
                <w:szCs w:val="20"/>
                <w:lang w:bidi="ar"/>
              </w:rPr>
              <w:t>件</w:t>
            </w:r>
          </w:p>
          <w:p>
            <w:pPr>
              <w:widowControl/>
              <w:spacing w:line="360" w:lineRule="auto"/>
              <w:jc w:val="center"/>
              <w:rPr>
                <w:rFonts w:ascii="宋体" w:hAnsi="宋体"/>
                <w:bCs/>
                <w:sz w:val="24"/>
                <w:szCs w:val="24"/>
              </w:rPr>
            </w:pPr>
          </w:p>
        </w:tc>
        <w:tc>
          <w:tcPr>
            <w:tcW w:w="3196" w:type="dxa"/>
          </w:tcPr>
          <w:p>
            <w:pPr>
              <w:widowControl/>
              <w:jc w:val="left"/>
            </w:pPr>
            <w:r>
              <w:rPr>
                <w:rFonts w:hint="eastAsia" w:ascii="宋体" w:hAnsi="宋体" w:cs="宋体"/>
                <w:color w:val="000000"/>
                <w:kern w:val="0"/>
                <w:sz w:val="20"/>
                <w:szCs w:val="20"/>
                <w:lang w:bidi="ar"/>
              </w:rPr>
              <w:t xml:space="preserve">可实现的主要功能： </w:t>
            </w:r>
          </w:p>
          <w:p>
            <w:pPr>
              <w:widowControl/>
              <w:jc w:val="left"/>
            </w:pPr>
            <w:r>
              <w:rPr>
                <w:rFonts w:hint="eastAsia" w:ascii="宋体" w:hAnsi="宋体" w:cs="宋体"/>
                <w:color w:val="000000"/>
                <w:kern w:val="0"/>
                <w:sz w:val="20"/>
                <w:szCs w:val="20"/>
                <w:lang w:bidi="ar"/>
              </w:rPr>
              <w:t xml:space="preserve">1.在线地图定位；报告查询、操作日志查询、 微信管理、巡逻管理、电力监测及设备的数据报表、曲线图表分析等。 </w:t>
            </w:r>
          </w:p>
          <w:p>
            <w:pPr>
              <w:widowControl/>
              <w:jc w:val="left"/>
            </w:pPr>
            <w:r>
              <w:rPr>
                <w:rFonts w:hint="eastAsia" w:ascii="宋体" w:hAnsi="宋体" w:cs="宋体"/>
                <w:color w:val="000000"/>
                <w:kern w:val="0"/>
                <w:sz w:val="20"/>
                <w:szCs w:val="20"/>
                <w:lang w:bidi="ar"/>
              </w:rPr>
              <w:t>▲</w:t>
            </w:r>
            <w:r>
              <w:rPr>
                <w:rFonts w:ascii="Times New Roman" w:hAnsi="Times New Roman"/>
                <w:color w:val="000000"/>
                <w:kern w:val="0"/>
                <w:sz w:val="20"/>
                <w:szCs w:val="20"/>
                <w:lang w:bidi="ar"/>
              </w:rPr>
              <w:t>2.</w:t>
            </w:r>
            <w:r>
              <w:rPr>
                <w:rFonts w:hint="eastAsia" w:ascii="宋体" w:hAnsi="宋体" w:cs="宋体"/>
                <w:color w:val="000000"/>
                <w:kern w:val="0"/>
                <w:sz w:val="20"/>
                <w:szCs w:val="20"/>
                <w:lang w:bidi="ar"/>
              </w:rPr>
              <w:t xml:space="preserve">平台管理软件采用的架构可支持在电脑端、手机端进行操作。 </w:t>
            </w:r>
          </w:p>
          <w:p>
            <w:pPr>
              <w:widowControl/>
              <w:jc w:val="left"/>
            </w:pPr>
            <w:r>
              <w:rPr>
                <w:rFonts w:hint="eastAsia" w:ascii="宋体" w:hAnsi="宋体" w:cs="宋体"/>
                <w:color w:val="000000"/>
                <w:kern w:val="0"/>
                <w:sz w:val="20"/>
                <w:szCs w:val="20"/>
                <w:lang w:bidi="ar"/>
              </w:rPr>
              <w:t xml:space="preserve">3.实时监测：24 小时监视各探测点的剩余电流、温度、电压、电流、状态等信息；历史记录：所有告警信息及远程控制均被记录入日志，并可供用户方便查询，至少保存30 天日志；数据分析：针对采集的数据进行各种模型分析，为客户消除安全隐患；报警提醒：当平台监测到某数据超过报警阀值时，会发出报警信息，提醒关注故障状况，并采取相应的措施消除隐患； </w:t>
            </w:r>
          </w:p>
          <w:p>
            <w:pPr>
              <w:widowControl/>
              <w:jc w:val="left"/>
            </w:pPr>
            <w:r>
              <w:rPr>
                <w:rFonts w:hint="eastAsia" w:ascii="宋体" w:hAnsi="宋体" w:cs="宋体"/>
                <w:color w:val="000000"/>
                <w:kern w:val="0"/>
                <w:sz w:val="20"/>
                <w:szCs w:val="20"/>
                <w:lang w:bidi="ar"/>
              </w:rPr>
              <w:t xml:space="preserve">4.权限管理：不同的操作人员可设置分配不同的权限，从而提高系统整体安全性； </w:t>
            </w:r>
          </w:p>
          <w:p>
            <w:pPr>
              <w:widowControl/>
              <w:jc w:val="left"/>
            </w:pPr>
            <w:r>
              <w:rPr>
                <w:rFonts w:hint="eastAsia" w:ascii="宋体" w:hAnsi="宋体" w:cs="宋体"/>
                <w:color w:val="000000"/>
                <w:kern w:val="0"/>
                <w:sz w:val="20"/>
                <w:szCs w:val="20"/>
                <w:lang w:bidi="ar"/>
              </w:rPr>
              <w:t>5.远程设置：具备权限的操作人员可以远程设定探测器的各种参数值，方便管理，同时提高工作效率；</w:t>
            </w:r>
          </w:p>
          <w:p>
            <w:pPr>
              <w:widowControl/>
              <w:jc w:val="left"/>
            </w:pPr>
            <w:r>
              <w:rPr>
                <w:rFonts w:hint="eastAsia" w:ascii="宋体" w:hAnsi="宋体" w:cs="宋体"/>
                <w:color w:val="000000"/>
                <w:kern w:val="0"/>
                <w:sz w:val="20"/>
                <w:szCs w:val="20"/>
                <w:lang w:bidi="ar"/>
              </w:rPr>
              <w:t xml:space="preserve">▲6.微信管理：支持微信和设备的绑定，及与管理平台的消息互动。 </w:t>
            </w:r>
          </w:p>
          <w:p>
            <w:pPr>
              <w:widowControl/>
              <w:jc w:val="left"/>
            </w:pPr>
            <w:r>
              <w:rPr>
                <w:rFonts w:hint="eastAsia" w:ascii="宋体" w:hAnsi="宋体" w:cs="宋体"/>
                <w:color w:val="000000"/>
                <w:kern w:val="0"/>
                <w:sz w:val="20"/>
                <w:szCs w:val="20"/>
                <w:lang w:bidi="ar"/>
              </w:rPr>
              <w:t xml:space="preserve">7.多中心/多账号管理：可实现总中心、分中心独立接警；多点异 </w:t>
            </w:r>
          </w:p>
          <w:p>
            <w:pPr>
              <w:widowControl/>
              <w:jc w:val="left"/>
            </w:pPr>
            <w:r>
              <w:rPr>
                <w:rFonts w:hint="eastAsia" w:ascii="宋体" w:hAnsi="宋体" w:cs="宋体"/>
                <w:color w:val="000000"/>
                <w:kern w:val="0"/>
                <w:sz w:val="20"/>
                <w:szCs w:val="20"/>
                <w:lang w:bidi="ar"/>
              </w:rPr>
              <w:t xml:space="preserve">地独立接警。每个中心对应一个账户，用对应账户登入管理端软件， </w:t>
            </w:r>
          </w:p>
          <w:p>
            <w:pPr>
              <w:widowControl/>
              <w:jc w:val="left"/>
            </w:pPr>
            <w:r>
              <w:rPr>
                <w:rFonts w:hint="eastAsia" w:ascii="宋体" w:hAnsi="宋体" w:cs="宋体"/>
                <w:color w:val="000000"/>
                <w:kern w:val="0"/>
                <w:sz w:val="20"/>
                <w:szCs w:val="20"/>
                <w:lang w:bidi="ar"/>
              </w:rPr>
              <w:t xml:space="preserve">只能查看到对应的中心下的设备信息，用电设备功耗监测统计。 </w:t>
            </w:r>
          </w:p>
          <w:p>
            <w:pPr>
              <w:widowControl/>
              <w:jc w:val="left"/>
            </w:pPr>
            <w:r>
              <w:rPr>
                <w:rFonts w:ascii="Times New Roman" w:hAnsi="Times New Roman"/>
                <w:color w:val="000000"/>
                <w:kern w:val="0"/>
                <w:sz w:val="20"/>
                <w:szCs w:val="20"/>
                <w:lang w:bidi="ar"/>
              </w:rPr>
              <w:t>8</w:t>
            </w:r>
            <w:r>
              <w:rPr>
                <w:rFonts w:hint="eastAsia" w:ascii="宋体" w:hAnsi="宋体" w:cs="宋体"/>
                <w:color w:val="000000"/>
                <w:kern w:val="0"/>
                <w:sz w:val="20"/>
                <w:szCs w:val="20"/>
                <w:lang w:bidi="ar"/>
              </w:rPr>
              <w:t xml:space="preserve">.环境监测管理：系统可对于环境量（温度、烟雾、水浸、振动、 </w:t>
            </w:r>
          </w:p>
          <w:p>
            <w:pPr>
              <w:widowControl/>
              <w:jc w:val="left"/>
            </w:pPr>
            <w:r>
              <w:rPr>
                <w:rFonts w:hint="eastAsia" w:ascii="宋体" w:hAnsi="宋体" w:cs="宋体"/>
                <w:color w:val="000000"/>
                <w:kern w:val="0"/>
                <w:sz w:val="20"/>
                <w:szCs w:val="20"/>
                <w:lang w:bidi="ar"/>
              </w:rPr>
              <w:t xml:space="preserve">有害气体）要求管控严的区域，通过增加环境监测设备，可对严管 </w:t>
            </w:r>
          </w:p>
          <w:p>
            <w:pPr>
              <w:widowControl/>
              <w:jc w:val="left"/>
            </w:pPr>
            <w:r>
              <w:rPr>
                <w:rFonts w:hint="eastAsia" w:ascii="宋体" w:hAnsi="宋体" w:cs="宋体"/>
                <w:color w:val="000000"/>
                <w:kern w:val="0"/>
                <w:sz w:val="20"/>
                <w:szCs w:val="20"/>
                <w:lang w:bidi="ar"/>
              </w:rPr>
              <w:t xml:space="preserve">区域内的环境量变化进行实时监控，如异常则触发报警。   </w:t>
            </w:r>
          </w:p>
          <w:p>
            <w:pPr>
              <w:widowControl/>
              <w:jc w:val="left"/>
            </w:pPr>
            <w:r>
              <w:rPr>
                <w:rFonts w:hint="eastAsia" w:ascii="宋体" w:hAnsi="宋体" w:cs="宋体"/>
                <w:color w:val="000000"/>
                <w:kern w:val="0"/>
                <w:sz w:val="20"/>
                <w:szCs w:val="20"/>
                <w:lang w:bidi="ar"/>
              </w:rPr>
              <w:t>▲9.提供平台管理软件著作权登记证明文件。</w:t>
            </w:r>
          </w:p>
          <w:p>
            <w:pPr>
              <w:widowControl/>
              <w:spacing w:line="360" w:lineRule="auto"/>
              <w:jc w:val="center"/>
              <w:rPr>
                <w:rFonts w:ascii="宋体" w:hAnsi="宋体"/>
                <w:bCs/>
                <w:sz w:val="24"/>
                <w:szCs w:val="24"/>
              </w:rPr>
            </w:pPr>
          </w:p>
        </w:tc>
        <w:tc>
          <w:tcPr>
            <w:tcW w:w="846" w:type="dxa"/>
          </w:tcPr>
          <w:p>
            <w:pPr>
              <w:widowControl/>
              <w:spacing w:line="360" w:lineRule="auto"/>
              <w:jc w:val="center"/>
              <w:rPr>
                <w:rFonts w:ascii="宋体" w:hAnsi="宋体"/>
                <w:bCs/>
                <w:sz w:val="24"/>
                <w:szCs w:val="24"/>
              </w:rPr>
            </w:pPr>
            <w:r>
              <w:rPr>
                <w:rFonts w:hint="eastAsia" w:ascii="宋体" w:hAnsi="宋体"/>
                <w:bCs/>
                <w:sz w:val="24"/>
                <w:szCs w:val="24"/>
              </w:rPr>
              <w:t>套</w:t>
            </w:r>
          </w:p>
        </w:tc>
        <w:tc>
          <w:tcPr>
            <w:tcW w:w="744" w:type="dxa"/>
          </w:tcPr>
          <w:p>
            <w:pPr>
              <w:widowControl/>
              <w:spacing w:line="360" w:lineRule="auto"/>
              <w:jc w:val="center"/>
              <w:rPr>
                <w:rFonts w:ascii="宋体" w:hAnsi="宋体"/>
                <w:bCs/>
                <w:sz w:val="24"/>
                <w:szCs w:val="24"/>
              </w:rPr>
            </w:pPr>
            <w:r>
              <w:rPr>
                <w:rFonts w:hint="eastAsia" w:ascii="宋体" w:hAnsi="宋体"/>
                <w:bCs/>
                <w:sz w:val="24"/>
                <w:szCs w:val="24"/>
              </w:rPr>
              <w:t>1</w:t>
            </w:r>
          </w:p>
        </w:tc>
        <w:tc>
          <w:tcPr>
            <w:tcW w:w="1279" w:type="dxa"/>
          </w:tcPr>
          <w:p>
            <w:pPr>
              <w:widowControl/>
              <w:spacing w:line="360" w:lineRule="auto"/>
              <w:jc w:val="left"/>
              <w:rPr>
                <w:rFonts w:ascii="宋体" w:hAnsi="宋体"/>
                <w:bCs/>
                <w:sz w:val="24"/>
                <w:szCs w:val="24"/>
              </w:rPr>
            </w:pPr>
            <w:r>
              <w:rPr>
                <w:rFonts w:hint="eastAsia" w:ascii="宋体" w:hAnsi="宋体"/>
                <w:bCs/>
                <w:sz w:val="24"/>
              </w:rPr>
              <w:t>须提供平台软件主界面及相关功能界面彩色截图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widowControl/>
              <w:spacing w:line="360" w:lineRule="auto"/>
              <w:jc w:val="center"/>
              <w:rPr>
                <w:rFonts w:ascii="宋体" w:hAnsi="宋体"/>
                <w:bCs/>
                <w:sz w:val="24"/>
                <w:szCs w:val="24"/>
              </w:rPr>
            </w:pPr>
            <w:r>
              <w:rPr>
                <w:rFonts w:hint="eastAsia" w:ascii="宋体" w:hAnsi="宋体"/>
                <w:bCs/>
                <w:sz w:val="24"/>
                <w:szCs w:val="24"/>
              </w:rPr>
              <w:t>4</w:t>
            </w:r>
          </w:p>
        </w:tc>
        <w:tc>
          <w:tcPr>
            <w:tcW w:w="1503" w:type="dxa"/>
          </w:tcPr>
          <w:p>
            <w:pPr>
              <w:widowControl/>
              <w:spacing w:line="360" w:lineRule="auto"/>
              <w:jc w:val="center"/>
              <w:rPr>
                <w:rFonts w:ascii="宋体" w:hAnsi="宋体"/>
                <w:bCs/>
                <w:sz w:val="24"/>
                <w:szCs w:val="24"/>
              </w:rPr>
            </w:pPr>
            <w:r>
              <w:rPr>
                <w:rFonts w:hint="eastAsia" w:ascii="宋体" w:hAnsi="宋体"/>
                <w:bCs/>
                <w:sz w:val="24"/>
                <w:szCs w:val="24"/>
              </w:rPr>
              <w:t>系统运维</w:t>
            </w:r>
          </w:p>
        </w:tc>
        <w:tc>
          <w:tcPr>
            <w:tcW w:w="3196" w:type="dxa"/>
          </w:tcPr>
          <w:p>
            <w:pPr>
              <w:widowControl/>
              <w:jc w:val="left"/>
            </w:pPr>
            <w:r>
              <w:rPr>
                <w:rFonts w:hint="eastAsia" w:ascii="宋体" w:hAnsi="宋体" w:cs="宋体"/>
                <w:color w:val="000000"/>
                <w:kern w:val="0"/>
                <w:sz w:val="20"/>
                <w:szCs w:val="20"/>
                <w:lang w:bidi="ar"/>
              </w:rPr>
              <w:t xml:space="preserve">需保证系统长期稳定工作，包括但不限于物联数据上传服务、管理平台推送服务、探测终端维护服务等。 </w:t>
            </w:r>
          </w:p>
          <w:p>
            <w:pPr>
              <w:widowControl/>
              <w:jc w:val="left"/>
            </w:pPr>
            <w:r>
              <w:rPr>
                <w:rFonts w:hint="eastAsia" w:ascii="宋体" w:hAnsi="宋体" w:cs="宋体"/>
                <w:color w:val="000000"/>
                <w:kern w:val="0"/>
                <w:sz w:val="20"/>
                <w:szCs w:val="20"/>
                <w:lang w:bidi="ar"/>
              </w:rPr>
              <w:t>提供加盖厂家公章的系统运维配合服务承诺函。</w:t>
            </w:r>
          </w:p>
          <w:p>
            <w:pPr>
              <w:widowControl/>
              <w:spacing w:line="360" w:lineRule="auto"/>
              <w:jc w:val="center"/>
              <w:rPr>
                <w:rFonts w:ascii="宋体" w:hAnsi="宋体"/>
                <w:bCs/>
                <w:sz w:val="24"/>
                <w:szCs w:val="24"/>
              </w:rPr>
            </w:pPr>
          </w:p>
        </w:tc>
        <w:tc>
          <w:tcPr>
            <w:tcW w:w="846" w:type="dxa"/>
          </w:tcPr>
          <w:p>
            <w:pPr>
              <w:widowControl/>
              <w:spacing w:line="360" w:lineRule="auto"/>
              <w:jc w:val="center"/>
              <w:rPr>
                <w:rFonts w:ascii="宋体" w:hAnsi="宋体"/>
                <w:bCs/>
                <w:sz w:val="24"/>
                <w:szCs w:val="24"/>
              </w:rPr>
            </w:pPr>
            <w:r>
              <w:rPr>
                <w:rFonts w:hint="eastAsia" w:ascii="宋体" w:hAnsi="宋体"/>
                <w:bCs/>
                <w:sz w:val="24"/>
                <w:szCs w:val="24"/>
              </w:rPr>
              <w:t>年</w:t>
            </w:r>
          </w:p>
        </w:tc>
        <w:tc>
          <w:tcPr>
            <w:tcW w:w="744" w:type="dxa"/>
          </w:tcPr>
          <w:p>
            <w:pPr>
              <w:widowControl/>
              <w:spacing w:line="360" w:lineRule="auto"/>
              <w:jc w:val="center"/>
              <w:rPr>
                <w:rFonts w:ascii="宋体" w:hAnsi="宋体"/>
                <w:bCs/>
                <w:sz w:val="24"/>
                <w:szCs w:val="24"/>
              </w:rPr>
            </w:pPr>
            <w:r>
              <w:rPr>
                <w:rFonts w:hint="eastAsia" w:ascii="宋体" w:hAnsi="宋体"/>
                <w:bCs/>
                <w:sz w:val="24"/>
                <w:szCs w:val="24"/>
              </w:rPr>
              <w:t>1</w:t>
            </w:r>
          </w:p>
        </w:tc>
        <w:tc>
          <w:tcPr>
            <w:tcW w:w="1279" w:type="dxa"/>
          </w:tcPr>
          <w:p>
            <w:pPr>
              <w:widowControl/>
              <w:spacing w:line="360" w:lineRule="auto"/>
              <w:jc w:val="left"/>
              <w:rPr>
                <w:rFonts w:ascii="宋体" w:hAnsi="宋体"/>
                <w:bCs/>
                <w:sz w:val="24"/>
                <w:szCs w:val="24"/>
              </w:rPr>
            </w:pPr>
            <w:r>
              <w:rPr>
                <w:rFonts w:hint="eastAsia" w:ascii="宋体" w:hAnsi="宋体"/>
                <w:bCs/>
                <w:sz w:val="24"/>
                <w:szCs w:val="24"/>
              </w:rPr>
              <w:t>需提供运维方案及报价</w:t>
            </w:r>
          </w:p>
        </w:tc>
      </w:tr>
    </w:tbl>
    <w:p>
      <w:pPr>
        <w:widowControl/>
        <w:spacing w:line="360" w:lineRule="auto"/>
        <w:ind w:firstLine="480" w:firstLineChars="200"/>
        <w:jc w:val="left"/>
        <w:rPr>
          <w:rFonts w:ascii="宋体" w:hAnsi="宋体"/>
          <w:bCs/>
          <w:sz w:val="24"/>
        </w:rPr>
      </w:pPr>
    </w:p>
    <w:p>
      <w:pPr>
        <w:widowControl/>
        <w:spacing w:line="360" w:lineRule="auto"/>
        <w:ind w:firstLine="480" w:firstLineChars="200"/>
        <w:jc w:val="left"/>
        <w:rPr>
          <w:rFonts w:ascii="宋体" w:hAnsi="宋体"/>
          <w:bCs/>
          <w:sz w:val="24"/>
        </w:rPr>
      </w:pPr>
    </w:p>
    <w:bookmarkEnd w:id="3"/>
    <w:bookmarkEnd w:id="4"/>
    <w:p>
      <w:pPr>
        <w:widowControl/>
        <w:spacing w:line="360" w:lineRule="auto"/>
        <w:jc w:val="left"/>
        <w:rPr>
          <w:rFonts w:ascii="宋体" w:hAnsi="宋体"/>
          <w:b/>
          <w:kern w:val="0"/>
          <w:sz w:val="24"/>
          <w:szCs w:val="24"/>
        </w:rPr>
      </w:pPr>
      <w:r>
        <w:rPr>
          <w:rFonts w:hint="eastAsia" w:ascii="宋体" w:hAnsi="宋体"/>
          <w:b/>
          <w:kern w:val="0"/>
          <w:sz w:val="24"/>
          <w:szCs w:val="24"/>
        </w:rPr>
        <w:t>四</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ind w:firstLine="482" w:firstLineChars="200"/>
        <w:rPr>
          <w:rFonts w:ascii="宋体" w:hAnsi="宋体"/>
          <w:b/>
          <w:sz w:val="24"/>
          <w:szCs w:val="24"/>
        </w:rPr>
      </w:pPr>
      <w:r>
        <w:rPr>
          <w:rFonts w:hint="eastAsia" w:ascii="宋体" w:hAnsi="宋体"/>
          <w:b/>
          <w:sz w:val="24"/>
          <w:szCs w:val="24"/>
        </w:rPr>
        <w:t xml:space="preserve">1. </w:t>
      </w:r>
      <w:r>
        <w:rPr>
          <w:rFonts w:ascii="宋体" w:hAnsi="宋体"/>
          <w:b/>
          <w:sz w:val="24"/>
          <w:szCs w:val="24"/>
        </w:rPr>
        <w:t>项目整体要求</w:t>
      </w:r>
    </w:p>
    <w:p>
      <w:pPr>
        <w:spacing w:line="360" w:lineRule="auto"/>
        <w:ind w:firstLine="480" w:firstLineChars="200"/>
        <w:rPr>
          <w:rFonts w:ascii="宋体" w:hAnsi="宋体"/>
          <w:sz w:val="24"/>
          <w:szCs w:val="24"/>
        </w:rPr>
      </w:pPr>
      <w:r>
        <w:rPr>
          <w:rFonts w:ascii="宋体" w:hAnsi="宋体"/>
          <w:sz w:val="24"/>
          <w:szCs w:val="24"/>
        </w:rPr>
        <w:t>1.1 响应供应商应按照</w:t>
      </w:r>
      <w:r>
        <w:rPr>
          <w:rFonts w:hint="eastAsia" w:ascii="宋体" w:hAnsi="宋体"/>
          <w:sz w:val="24"/>
          <w:szCs w:val="24"/>
        </w:rPr>
        <w:t>询价文件</w:t>
      </w:r>
      <w:r>
        <w:rPr>
          <w:rFonts w:ascii="宋体" w:hAnsi="宋体"/>
          <w:sz w:val="24"/>
          <w:szCs w:val="24"/>
        </w:rPr>
        <w:t>要求同时提供所需硬件配置明细表、系统软件及应用软件明细表、应有的配件明细表、线缆等。对于</w:t>
      </w:r>
      <w:r>
        <w:rPr>
          <w:rFonts w:hint="eastAsia" w:ascii="宋体" w:hAnsi="宋体"/>
          <w:sz w:val="24"/>
          <w:szCs w:val="24"/>
        </w:rPr>
        <w:t>响应</w:t>
      </w:r>
      <w:r>
        <w:rPr>
          <w:rFonts w:ascii="宋体" w:hAnsi="宋体"/>
          <w:sz w:val="24"/>
          <w:szCs w:val="24"/>
        </w:rPr>
        <w:t>文件中未列出但系统正常运行又必需的各类部件以及软件等，响应供应商应补齐并将有关价格含入</w:t>
      </w:r>
      <w:r>
        <w:rPr>
          <w:rFonts w:hint="eastAsia" w:ascii="宋体" w:hAnsi="宋体"/>
          <w:sz w:val="24"/>
          <w:szCs w:val="24"/>
        </w:rPr>
        <w:t>报价内</w:t>
      </w:r>
      <w:r>
        <w:rPr>
          <w:rFonts w:ascii="宋体" w:hAnsi="宋体"/>
          <w:sz w:val="24"/>
          <w:szCs w:val="24"/>
        </w:rPr>
        <w:t>。</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1.2 响应供应商</w:t>
      </w:r>
      <w:r>
        <w:rPr>
          <w:rFonts w:hint="eastAsia" w:ascii="宋体" w:hAnsi="宋体"/>
          <w:sz w:val="24"/>
          <w:szCs w:val="24"/>
        </w:rPr>
        <w:t>所投的设备必须是具有已注册商标的品牌,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3响应供应商</w:t>
      </w:r>
      <w:r>
        <w:rPr>
          <w:rFonts w:hint="eastAsia" w:ascii="宋体" w:hAnsi="宋体"/>
          <w:sz w:val="24"/>
          <w:szCs w:val="24"/>
        </w:rPr>
        <w:t>所投的货物或软件等不侵犯任何第三方的专利、商标或版权。否则，响应供应商须承担对第三方的专利或版权的侵权责任并承担因此而发生的所有费用。</w:t>
      </w:r>
    </w:p>
    <w:p>
      <w:pPr>
        <w:spacing w:line="360" w:lineRule="auto"/>
        <w:ind w:firstLine="480" w:firstLineChars="200"/>
        <w:rPr>
          <w:rFonts w:ascii="宋体" w:hAnsi="宋体"/>
          <w:sz w:val="24"/>
          <w:szCs w:val="24"/>
        </w:rPr>
      </w:pPr>
      <w:r>
        <w:rPr>
          <w:rFonts w:ascii="宋体" w:hAnsi="宋体"/>
          <w:sz w:val="24"/>
          <w:szCs w:val="24"/>
        </w:rPr>
        <w:t xml:space="preserve">1.4 </w:t>
      </w:r>
      <w:r>
        <w:rPr>
          <w:rFonts w:hint="eastAsia" w:ascii="宋体" w:hAnsi="宋体"/>
          <w:sz w:val="24"/>
          <w:szCs w:val="24"/>
        </w:rPr>
        <w:t>任何时候，响应供应商所</w:t>
      </w:r>
      <w:r>
        <w:rPr>
          <w:rFonts w:ascii="宋体" w:hAnsi="宋体"/>
          <w:sz w:val="24"/>
          <w:szCs w:val="24"/>
        </w:rPr>
        <w:t>投</w:t>
      </w:r>
      <w:r>
        <w:rPr>
          <w:rFonts w:hint="eastAsia" w:ascii="宋体" w:hAnsi="宋体"/>
          <w:sz w:val="24"/>
          <w:szCs w:val="24"/>
        </w:rPr>
        <w:t>的</w:t>
      </w:r>
      <w:r>
        <w:rPr>
          <w:rFonts w:ascii="宋体" w:hAnsi="宋体"/>
          <w:sz w:val="24"/>
          <w:szCs w:val="24"/>
        </w:rPr>
        <w:t>货物</w:t>
      </w:r>
      <w:r>
        <w:rPr>
          <w:rFonts w:hint="eastAsia" w:ascii="宋体" w:hAnsi="宋体"/>
          <w:sz w:val="24"/>
          <w:szCs w:val="24"/>
        </w:rPr>
        <w:t>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 xml:space="preserve"> 本用户需求书中列出了采购人可以接受的最小的技术指标。响应供应商推荐的每一品目的软硬件设备应在功能、 性能、 外观等方面不低于表中所列的各项指标。</w:t>
      </w:r>
    </w:p>
    <w:p>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报价要求</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.1 本项目以人民币进行报价，投标报价应包括：设计、设备制造、包装、仓储、运输、安装（含安装所需材料）、第三方检测验收、各类接口费、保修期与备品备件发生的所有含税费用以及合同实施过程中不可预见费用等，所有货物都必须由成交供应商专人送达，采购人不代收快递传送货物。设备拆箱、安装时供应商与厂家均应在场。项目执行期间采购人无须另向成交供应商支付其他任何费用。</w:t>
      </w:r>
    </w:p>
    <w:p>
      <w:pPr>
        <w:spacing w:line="360" w:lineRule="auto"/>
        <w:rPr>
          <w:rFonts w:ascii="宋体" w:hAnsi="宋体"/>
          <w:sz w:val="24"/>
          <w:szCs w:val="24"/>
        </w:rPr>
      </w:pPr>
      <w:r>
        <w:rPr>
          <w:rFonts w:hint="eastAsia"/>
        </w:rPr>
        <w:t xml:space="preserve">   </w:t>
      </w:r>
      <w:r>
        <w:rPr>
          <w:rFonts w:hint="eastAsia" w:ascii="宋体" w:hAnsi="宋体"/>
          <w:sz w:val="24"/>
          <w:szCs w:val="24"/>
        </w:rPr>
        <w:t xml:space="preserve"> 2.2为保证系统长久稳定运行，响应供应商需列明在质保期后提供(有偿)维修保养服务的价格，作为项目整体评价的重要组成部分。（需提供承诺函）</w:t>
      </w:r>
    </w:p>
    <w:p>
      <w:pPr>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.交货要求</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保险要求：供货、运输、装卸、调试及验收等过程中的一切安全及保险等事项由成交供应商自行负责。</w:t>
      </w:r>
    </w:p>
    <w:p>
      <w:pPr>
        <w:tabs>
          <w:tab w:val="left" w:pos="360"/>
          <w:tab w:val="left" w:pos="3600"/>
        </w:tabs>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.2</w:t>
      </w:r>
      <w:r>
        <w:rPr>
          <w:rFonts w:hint="eastAsia" w:ascii="宋体" w:hAnsi="宋体"/>
          <w:sz w:val="24"/>
          <w:szCs w:val="24"/>
        </w:rPr>
        <w:t>设备到现场后，采购人只提供设备库存场所，成交供应商需做好防盗措施和风雨保护措施，设备的日常保管由成交供应商负责。</w:t>
      </w:r>
    </w:p>
    <w:p>
      <w:pPr>
        <w:tabs>
          <w:tab w:val="left" w:pos="360"/>
          <w:tab w:val="left" w:pos="3600"/>
        </w:tabs>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.3</w:t>
      </w:r>
      <w:r>
        <w:rPr>
          <w:rFonts w:hint="eastAsia" w:ascii="宋体" w:hAnsi="宋体"/>
          <w:sz w:val="24"/>
          <w:szCs w:val="24"/>
        </w:rPr>
        <w:t>设备在交付采购人使用前，应采取措施进行成品保护，保护不力造成损失的，由成交供应商负责赔偿。</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.4</w:t>
      </w:r>
      <w:r>
        <w:rPr>
          <w:rFonts w:hint="eastAsia" w:ascii="宋体" w:hAnsi="宋体"/>
          <w:sz w:val="24"/>
          <w:szCs w:val="24"/>
        </w:rPr>
        <w:t>成交供应商应派员在所供设备到工地进行到货验收。若发现任何损坏及质量问题，成交供应商应负责更换零件，并妥善处理至采购人满意，此工作所发生的费用应由成交供应商自行承担。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80" w:firstLineChars="200"/>
        <w:rPr>
          <w:rFonts w:ascii="宋体" w:hAnsi="宋体"/>
          <w:sz w:val="24"/>
          <w:szCs w:val="24"/>
        </w:rPr>
      </w:pPr>
      <w:r>
        <w:rPr>
          <w:rFonts w:hint="eastAsia" w:ascii="宋体" w:hAnsi="宋体"/>
          <w:sz w:val="24"/>
          <w:szCs w:val="24"/>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.6</w:t>
      </w:r>
      <w:r>
        <w:rPr>
          <w:rFonts w:hint="eastAsia" w:ascii="宋体" w:hAnsi="宋体"/>
          <w:sz w:val="24"/>
          <w:szCs w:val="24"/>
        </w:rPr>
        <w:t>交货期：签订合同后，成交供应商收到采购人通知发货之日起60 个日历日内完成系统安装、调试并交付使用。</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交货地点： 用户指定地点 。</w:t>
      </w:r>
    </w:p>
    <w:p>
      <w:pPr>
        <w:spacing w:line="360" w:lineRule="auto"/>
        <w:ind w:firstLine="482" w:firstLineChars="200"/>
        <w:rPr>
          <w:rFonts w:ascii="宋体" w:hAnsi="宋体"/>
          <w:sz w:val="24"/>
          <w:szCs w:val="24"/>
        </w:rPr>
      </w:pPr>
      <w:r>
        <w:rPr>
          <w:rFonts w:ascii="宋体" w:hAnsi="宋体"/>
          <w:b/>
          <w:snapToGrid w:val="0"/>
          <w:kern w:val="0"/>
          <w:sz w:val="24"/>
          <w:szCs w:val="24"/>
        </w:rPr>
        <w:t>4</w:t>
      </w:r>
      <w:r>
        <w:rPr>
          <w:rFonts w:hint="eastAsia" w:ascii="宋体" w:hAnsi="宋体"/>
          <w:b/>
          <w:snapToGrid w:val="0"/>
          <w:kern w:val="0"/>
          <w:sz w:val="24"/>
          <w:szCs w:val="24"/>
        </w:rPr>
        <w:t>.</w:t>
      </w:r>
      <w:r>
        <w:rPr>
          <w:rFonts w:hint="eastAsia" w:ascii="宋体" w:hAnsi="宋体" w:cs="宋体"/>
          <w:sz w:val="24"/>
          <w:szCs w:val="24"/>
        </w:rPr>
        <w:t xml:space="preserve"> </w:t>
      </w:r>
      <w:r>
        <w:rPr>
          <w:rFonts w:hint="eastAsia" w:ascii="宋体" w:hAnsi="宋体"/>
          <w:b/>
          <w:snapToGrid w:val="0"/>
          <w:kern w:val="0"/>
          <w:sz w:val="24"/>
          <w:szCs w:val="24"/>
        </w:rPr>
        <w:t>安装条款、调试、保养服务条款</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本标书所列所有设备、产品在合同签约后按约定时间内全部安装、调试完毕。响应供应商必须响应并承诺上述要求，并编制具体的时间进度表。</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.2 所有含电源线的设备符合国家安全规范，电源线应得到足够保护和位置固定，有相关防漏电的措施。</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.3 设备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.4 为了使项目按质、按量、按时及有序实施，需要下列项目管理要求：响应供应商必须提供的设备安装调试及保养维修服务安装队伍要有中标设备制造商确认的资格，确认队伍具备专业知识及技术水平，熟悉所提供产品的技术性能、指标、 安装工艺、维修保养知识，有足够能力承担设备的安装，并保证安装工艺达到设备运行合格的要求。</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.5 </w:t>
      </w:r>
      <w:r>
        <w:rPr>
          <w:rFonts w:hint="eastAsia" w:ascii="宋体" w:hAnsi="宋体"/>
          <w:sz w:val="24"/>
          <w:szCs w:val="24"/>
        </w:rPr>
        <w:t>设备到货后，成交供应商（或产品制造商）应在签定合同后5个日历日内向采购人提出产品安装、调试应准备的条件，并派出有经验的工程技术人员到现场进行安装，采购人给予相应的配合。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.6</w:t>
      </w:r>
      <w:r>
        <w:rPr>
          <w:rFonts w:hint="eastAsia" w:ascii="宋体" w:hAnsi="宋体"/>
          <w:sz w:val="24"/>
          <w:szCs w:val="24"/>
        </w:rPr>
        <w:t>成交供应商（或产品制造商）根据现场情况、采购文件的要求和报价文件的承诺及有关国家技术标准、规范进行安装并调试至正常运行的最佳状态。</w:t>
      </w:r>
    </w:p>
    <w:p>
      <w:pPr>
        <w:spacing w:line="360" w:lineRule="auto"/>
        <w:rPr>
          <w:rFonts w:ascii="宋体" w:hAnsi="宋体"/>
          <w:sz w:val="24"/>
          <w:szCs w:val="24"/>
        </w:rPr>
      </w:pPr>
      <w:r>
        <w:rPr>
          <w:rFonts w:hint="eastAsia" w:ascii="宋体" w:hAnsi="宋体"/>
          <w:sz w:val="24"/>
          <w:szCs w:val="24"/>
        </w:rPr>
        <w:t>4</w:t>
      </w:r>
      <w:r>
        <w:rPr>
          <w:rFonts w:ascii="宋体" w:hAnsi="宋体"/>
          <w:sz w:val="24"/>
          <w:szCs w:val="24"/>
        </w:rPr>
        <w:t>.7</w:t>
      </w:r>
      <w:r>
        <w:rPr>
          <w:rFonts w:hint="eastAsia" w:ascii="宋体" w:hAnsi="宋体"/>
          <w:sz w:val="24"/>
          <w:szCs w:val="24"/>
        </w:rPr>
        <w:t>安装过程中，若出现破坏管道、线路、桩柱、地面、墙面等设施现象，要给予修复。完成安装后，需负责清理安装过程中货物的外包装和搞好场地清洁卫生。</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7</w:t>
      </w:r>
      <w:r>
        <w:rPr>
          <w:rFonts w:ascii="宋体" w:hAnsi="宋体"/>
          <w:sz w:val="24"/>
          <w:szCs w:val="24"/>
        </w:rPr>
        <w:t xml:space="preserve"> </w:t>
      </w:r>
      <w:r>
        <w:rPr>
          <w:rFonts w:hint="eastAsia" w:ascii="宋体" w:hAnsi="宋体"/>
          <w:sz w:val="24"/>
          <w:szCs w:val="24"/>
        </w:rPr>
        <w:t>在安装过程发现的供货及其质量问题，成交供应商亦要负责补救处理。</w:t>
      </w:r>
    </w:p>
    <w:p>
      <w:pPr>
        <w:spacing w:line="360" w:lineRule="auto"/>
        <w:ind w:left="2" w:firstLine="482" w:firstLineChars="200"/>
        <w:rPr>
          <w:rFonts w:ascii="宋体" w:hAnsi="宋体"/>
          <w:b/>
          <w:sz w:val="24"/>
          <w:szCs w:val="24"/>
        </w:rPr>
      </w:pPr>
      <w:r>
        <w:rPr>
          <w:rFonts w:hint="eastAsia" w:ascii="宋体" w:hAnsi="宋体"/>
          <w:b/>
          <w:sz w:val="24"/>
          <w:szCs w:val="24"/>
        </w:rPr>
        <w:t>5.质量标准</w:t>
      </w:r>
    </w:p>
    <w:p>
      <w:pPr>
        <w:tabs>
          <w:tab w:val="left" w:pos="1407"/>
        </w:tabs>
        <w:adjustRightInd w:val="0"/>
        <w:snapToGrid w:val="0"/>
        <w:spacing w:line="360" w:lineRule="auto"/>
        <w:ind w:left="1" w:firstLine="480" w:firstLineChars="200"/>
        <w:rPr>
          <w:rFonts w:ascii="宋体" w:hAnsi="宋体"/>
          <w:sz w:val="24"/>
          <w:szCs w:val="24"/>
        </w:rPr>
      </w:pPr>
      <w:r>
        <w:rPr>
          <w:rFonts w:hint="eastAsia" w:ascii="宋体" w:hAnsi="宋体"/>
          <w:sz w:val="24"/>
          <w:szCs w:val="20"/>
        </w:rPr>
        <w:t>5</w:t>
      </w:r>
      <w:r>
        <w:rPr>
          <w:rFonts w:hint="eastAsia" w:ascii="宋体" w:hAnsi="宋体"/>
          <w:sz w:val="24"/>
          <w:szCs w:val="24"/>
        </w:rPr>
        <w:t>.1 响应供应商应提供制造商原装、全新的、未开封、无侵权、符合国家及用户提出的有关质量标准的产品，产品质量符合国家和行业标准要求及采购文件的要求，不得以旧货翻新充数，并按有关要求进行包装及装运。设备和设施标明规格型号、技术参数及性能指标，炉具应提供产品的检测合格证。投标的设备性能参数必须真实，发现虚标参数的，取消中标资格。</w:t>
      </w:r>
    </w:p>
    <w:p>
      <w:pPr>
        <w:tabs>
          <w:tab w:val="left" w:pos="1407"/>
        </w:tabs>
        <w:adjustRightInd w:val="0"/>
        <w:snapToGrid w:val="0"/>
        <w:spacing w:line="360" w:lineRule="auto"/>
        <w:ind w:left="1" w:firstLine="480" w:firstLineChars="200"/>
        <w:rPr>
          <w:rFonts w:ascii="宋体" w:hAnsi="宋体"/>
          <w:sz w:val="24"/>
          <w:szCs w:val="24"/>
        </w:rPr>
      </w:pPr>
      <w:r>
        <w:rPr>
          <w:rFonts w:hint="eastAsia" w:ascii="宋体" w:hAnsi="宋体"/>
          <w:sz w:val="24"/>
          <w:szCs w:val="24"/>
        </w:rPr>
        <w:t>5.2 设备应符合中国政府颁布的产品、质量、技术、安全标准及环保标准。</w:t>
      </w:r>
    </w:p>
    <w:p>
      <w:pPr>
        <w:tabs>
          <w:tab w:val="left" w:pos="1407"/>
        </w:tabs>
        <w:adjustRightInd w:val="0"/>
        <w:snapToGrid w:val="0"/>
        <w:spacing w:line="360" w:lineRule="auto"/>
        <w:ind w:left="1"/>
        <w:rPr>
          <w:rFonts w:ascii="宋体" w:hAnsi="宋体"/>
          <w:sz w:val="24"/>
          <w:szCs w:val="24"/>
        </w:rPr>
      </w:pPr>
      <w:r>
        <w:rPr>
          <w:rFonts w:hint="eastAsia" w:ascii="宋体" w:hAnsi="宋体"/>
          <w:sz w:val="24"/>
          <w:szCs w:val="24"/>
        </w:rPr>
        <w:t xml:space="preserve">    5.3 响应供应商所有货物必需提供制造商出具的出厂合格证等质量证明文件。</w:t>
      </w:r>
    </w:p>
    <w:p>
      <w:pPr>
        <w:tabs>
          <w:tab w:val="left" w:pos="1407"/>
        </w:tabs>
        <w:adjustRightInd w:val="0"/>
        <w:snapToGrid w:val="0"/>
        <w:spacing w:line="360" w:lineRule="auto"/>
        <w:ind w:left="1" w:firstLine="480" w:firstLineChars="200"/>
        <w:rPr>
          <w:rFonts w:ascii="宋体" w:hAnsi="宋体"/>
          <w:sz w:val="24"/>
          <w:szCs w:val="24"/>
        </w:rPr>
      </w:pPr>
      <w:r>
        <w:rPr>
          <w:rFonts w:hint="eastAsia" w:ascii="宋体" w:hAnsi="宋体"/>
          <w:sz w:val="24"/>
          <w:szCs w:val="24"/>
        </w:rPr>
        <w:t>5.4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601" w:leftChars="229" w:hanging="120" w:hangingChars="50"/>
        <w:rPr>
          <w:rFonts w:ascii="宋体" w:hAnsi="宋体"/>
          <w:b/>
          <w:sz w:val="24"/>
          <w:szCs w:val="24"/>
        </w:rPr>
      </w:pPr>
      <w:r>
        <w:rPr>
          <w:rFonts w:ascii="宋体" w:hAnsi="宋体"/>
          <w:b/>
          <w:sz w:val="24"/>
          <w:szCs w:val="24"/>
        </w:rPr>
        <w:t>7</w:t>
      </w:r>
      <w:r>
        <w:rPr>
          <w:rFonts w:hint="eastAsia" w:ascii="宋体" w:hAnsi="宋体"/>
          <w:b/>
          <w:sz w:val="24"/>
          <w:szCs w:val="24"/>
        </w:rPr>
        <w:t>.产品测试验收要求</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.1 验收的标准须符合①符合中华人民共和国国家安全质量标准、环保标准或行业技术规范标准；②符合采购文件和响应承诺中甲方认可的合理最佳配置、参数及各项要求；③货物来源国官方标准。上述标准必须是有关官方机构发布的最新版本的标准。</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.2 依标书要求对全部设备、产品、型号、规格、数量、外型、外观、包装及资料、文件（如进货单、装箱单、保修证明、保修单、随箱介质等）的验收；</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.3 拆箱后，应对其全部产品、零件、配件、用户许可证书、资料、介质造册登记，并与装箱单对比，如有出入应立即书面记录，由供货商解决，如影响安装则按合同有关条款处理；</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 xml:space="preserve">.4 交货时，成交供应商应提供制造商供货的原装产品证明文件，并负责在项目验收时将设备的全部有关产品说明书、原厂家安装手册、技术文件、资料、及安装、验收报告等文档汇集成册交付设备使用单位。 </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 xml:space="preserve">.5 如机检或设备测试中如发现设备性能指标或功能上不符合标书和合同要求时，将被看作性能不合格，设备使用单位有权拒收并要求赔偿。 </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 xml:space="preserve">.6 </w:t>
      </w:r>
      <w:r>
        <w:rPr>
          <w:rFonts w:hint="eastAsia" w:ascii="宋体" w:hAnsi="宋体" w:cs="宋体"/>
          <w:kern w:val="0"/>
          <w:sz w:val="24"/>
          <w:szCs w:val="24"/>
        </w:rPr>
        <w:t>如货物经成交供应商两次维修仍不能达到合同约定的质量标准，采购人有权退货。</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.7 整体验收：成交供应商按照采购人总项目的总体调试和验收要求，在安装完成后，由设备使用单位对所有采购的产品进行相应的性能测试，然后双方对整个项目总体共同进行质量验收，验收合格双方签署质量验收表。</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.8 其它验收细则以中标方的投标文件中提供的设备技术资料及双方签订的合同条款为准。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.9 如本项目质量验收不合格，成交供应商按照采购人要求实施返工直至合格，由此增加的一切费用由成交供应商承担。</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 xml:space="preserve">.10 </w:t>
      </w:r>
      <w:r>
        <w:rPr>
          <w:rFonts w:hint="eastAsia" w:ascii="宋体" w:hAnsi="宋体"/>
          <w:sz w:val="24"/>
          <w:szCs w:val="24"/>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601" w:leftChars="229" w:hanging="120" w:hangingChars="50"/>
        <w:rPr>
          <w:rFonts w:ascii="宋体" w:hAnsi="宋体"/>
          <w:b/>
          <w:sz w:val="24"/>
          <w:szCs w:val="24"/>
        </w:rPr>
      </w:pPr>
      <w:r>
        <w:rPr>
          <w:rFonts w:ascii="宋体" w:hAnsi="宋体"/>
          <w:b/>
          <w:sz w:val="24"/>
          <w:szCs w:val="24"/>
        </w:rPr>
        <w:t>8</w:t>
      </w:r>
      <w:r>
        <w:rPr>
          <w:rFonts w:hint="eastAsia" w:ascii="宋体" w:hAnsi="宋体"/>
          <w:b/>
          <w:sz w:val="24"/>
          <w:szCs w:val="24"/>
        </w:rPr>
        <w:t>.售后服务要求</w:t>
      </w:r>
    </w:p>
    <w:p>
      <w:pPr>
        <w:spacing w:line="360" w:lineRule="auto"/>
        <w:ind w:firstLine="480" w:firstLineChars="200"/>
        <w:rPr>
          <w:rFonts w:ascii="宋体" w:hAnsi="宋体"/>
          <w:sz w:val="24"/>
          <w:szCs w:val="24"/>
          <w:lang w:val="zh-CN"/>
        </w:rPr>
      </w:pPr>
      <w:r>
        <w:rPr>
          <w:rFonts w:ascii="宋体" w:hAnsi="宋体"/>
          <w:sz w:val="24"/>
          <w:szCs w:val="24"/>
          <w:lang w:val="zh-CN"/>
        </w:rPr>
        <w:t>8</w:t>
      </w:r>
      <w:r>
        <w:rPr>
          <w:rFonts w:hint="eastAsia" w:ascii="宋体" w:hAnsi="宋体"/>
          <w:sz w:val="24"/>
          <w:szCs w:val="24"/>
          <w:lang w:val="zh-CN"/>
        </w:rPr>
        <w:t>.1 本项目的质量保证期自双方签字验收合格之日起（简称“质保期”不少于一年，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80" w:firstLineChars="200"/>
        <w:rPr>
          <w:rFonts w:ascii="宋体" w:hAnsi="宋体"/>
          <w:sz w:val="24"/>
          <w:szCs w:val="24"/>
          <w:lang w:val="zh-CN"/>
        </w:rPr>
      </w:pPr>
      <w:r>
        <w:rPr>
          <w:rFonts w:ascii="宋体" w:hAnsi="宋体"/>
          <w:sz w:val="24"/>
          <w:szCs w:val="24"/>
          <w:lang w:val="zh-CN"/>
        </w:rPr>
        <w:t>8</w:t>
      </w:r>
      <w:r>
        <w:rPr>
          <w:rFonts w:hint="eastAsia" w:ascii="宋体" w:hAnsi="宋体"/>
          <w:sz w:val="24"/>
          <w:szCs w:val="24"/>
          <w:lang w:val="zh-CN"/>
        </w:rPr>
        <w:t>.2 质保期内，自验收并交付采购人使用之日起3个月内出现仪器重大故障，成交供应商需无条件更换。</w:t>
      </w:r>
    </w:p>
    <w:p>
      <w:pPr>
        <w:spacing w:line="460" w:lineRule="exact"/>
        <w:ind w:firstLine="480" w:firstLineChars="200"/>
        <w:rPr>
          <w:rFonts w:ascii="宋体" w:hAnsi="宋体"/>
          <w:sz w:val="24"/>
          <w:szCs w:val="24"/>
          <w:lang w:val="zh-CN"/>
        </w:rPr>
      </w:pPr>
      <w:r>
        <w:rPr>
          <w:rFonts w:hint="eastAsia" w:ascii="宋体" w:hAnsi="宋体"/>
          <w:sz w:val="24"/>
          <w:szCs w:val="24"/>
          <w:lang w:val="zh-CN"/>
        </w:rPr>
        <w:t>8.3 质保期内，提供7×24小时热线电话提供</w:t>
      </w:r>
      <w:r>
        <w:rPr>
          <w:rFonts w:ascii="宋体" w:hAnsi="宋体"/>
          <w:sz w:val="24"/>
          <w:szCs w:val="24"/>
          <w:lang w:val="zh-CN"/>
        </w:rPr>
        <w:t>技术支持，</w:t>
      </w:r>
      <w:r>
        <w:rPr>
          <w:rFonts w:hint="eastAsia" w:ascii="宋体" w:hAnsi="宋体"/>
          <w:sz w:val="24"/>
          <w:szCs w:val="24"/>
          <w:lang w:val="zh-CN"/>
        </w:rPr>
        <w:t>永久性免费提供电话技术指导和咨询服务，收到采购人的服务通知，成交供应商在接报后</w:t>
      </w:r>
      <w:r>
        <w:rPr>
          <w:rFonts w:hint="eastAsia" w:ascii="宋体" w:hAnsi="宋体"/>
          <w:sz w:val="24"/>
          <w:szCs w:val="24"/>
        </w:rPr>
        <w:t>6</w:t>
      </w:r>
      <w:r>
        <w:rPr>
          <w:rFonts w:hint="eastAsia" w:ascii="宋体" w:hAnsi="宋体"/>
          <w:sz w:val="24"/>
          <w:szCs w:val="24"/>
          <w:lang w:val="zh-CN"/>
        </w:rPr>
        <w:t>小时内响应，12小时内到达现场，24小时内处理完毕。如果设备的故障在检修24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p>
      <w:pPr>
        <w:adjustRightInd w:val="0"/>
        <w:spacing w:line="360" w:lineRule="auto"/>
        <w:ind w:firstLine="480" w:firstLineChars="200"/>
        <w:rPr>
          <w:rFonts w:ascii="宋体" w:hAnsi="宋体"/>
          <w:sz w:val="24"/>
          <w:szCs w:val="24"/>
          <w:lang w:val="zh-CN"/>
        </w:rPr>
      </w:pPr>
      <w:r>
        <w:rPr>
          <w:rFonts w:hint="eastAsia" w:ascii="宋体" w:hAnsi="宋体"/>
          <w:sz w:val="24"/>
          <w:szCs w:val="24"/>
          <w:lang w:val="zh-CN"/>
        </w:rPr>
        <w:t>8.4</w:t>
      </w:r>
      <w:r>
        <w:rPr>
          <w:rFonts w:ascii="宋体" w:hAnsi="宋体"/>
          <w:sz w:val="24"/>
          <w:szCs w:val="24"/>
          <w:lang w:val="zh-CN"/>
        </w:rPr>
        <w:t xml:space="preserve"> </w:t>
      </w:r>
      <w:r>
        <w:rPr>
          <w:rFonts w:hint="eastAsia" w:ascii="宋体" w:hAnsi="宋体"/>
          <w:sz w:val="24"/>
          <w:szCs w:val="24"/>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80" w:firstLineChars="200"/>
        <w:rPr>
          <w:rFonts w:ascii="宋体" w:hAnsi="宋体"/>
          <w:sz w:val="24"/>
          <w:szCs w:val="24"/>
          <w:lang w:val="zh-CN"/>
        </w:rPr>
      </w:pPr>
      <w:r>
        <w:rPr>
          <w:rFonts w:ascii="宋体" w:hAnsi="宋体"/>
          <w:sz w:val="24"/>
          <w:szCs w:val="24"/>
          <w:lang w:val="zh-CN"/>
        </w:rPr>
        <w:t>8</w:t>
      </w:r>
      <w:r>
        <w:rPr>
          <w:rFonts w:hint="eastAsia" w:ascii="宋体" w:hAnsi="宋体"/>
          <w:sz w:val="24"/>
          <w:szCs w:val="24"/>
          <w:lang w:val="zh-CN"/>
        </w:rPr>
        <w:t>.</w:t>
      </w:r>
      <w:r>
        <w:rPr>
          <w:rFonts w:ascii="宋体" w:hAnsi="宋体"/>
          <w:sz w:val="24"/>
          <w:szCs w:val="24"/>
          <w:lang w:val="zh-CN"/>
        </w:rPr>
        <w:t>5</w:t>
      </w:r>
      <w:r>
        <w:rPr>
          <w:rFonts w:hint="eastAsia" w:ascii="宋体" w:hAnsi="宋体"/>
          <w:sz w:val="24"/>
          <w:szCs w:val="24"/>
          <w:lang w:val="zh-CN"/>
        </w:rPr>
        <w:t xml:space="preserve"> 成交供应商需具有相应的售后服务能力，包括拥有相应的设备和人员。在保修期内，成交供应商需有可随时上门进行维修及检测的工程师。 </w:t>
      </w:r>
    </w:p>
    <w:p>
      <w:pPr>
        <w:spacing w:line="360" w:lineRule="auto"/>
        <w:ind w:firstLine="480" w:firstLineChars="200"/>
        <w:rPr>
          <w:rFonts w:ascii="宋体" w:hAnsi="宋体"/>
          <w:sz w:val="24"/>
          <w:szCs w:val="24"/>
          <w:lang w:val="zh-CN"/>
        </w:rPr>
      </w:pPr>
      <w:r>
        <w:rPr>
          <w:rFonts w:ascii="宋体" w:hAnsi="宋体"/>
          <w:sz w:val="24"/>
          <w:szCs w:val="24"/>
          <w:lang w:val="zh-CN"/>
        </w:rPr>
        <w:t>8</w:t>
      </w:r>
      <w:r>
        <w:rPr>
          <w:rFonts w:hint="eastAsia" w:ascii="宋体" w:hAnsi="宋体"/>
          <w:sz w:val="24"/>
          <w:szCs w:val="24"/>
          <w:lang w:val="zh-CN"/>
        </w:rPr>
        <w:t>.</w:t>
      </w:r>
      <w:r>
        <w:rPr>
          <w:rFonts w:ascii="宋体" w:hAnsi="宋体"/>
          <w:sz w:val="24"/>
          <w:szCs w:val="24"/>
          <w:lang w:val="zh-CN"/>
        </w:rPr>
        <w:t>6</w:t>
      </w:r>
      <w:r>
        <w:rPr>
          <w:rFonts w:hint="eastAsia" w:ascii="宋体" w:hAnsi="宋体"/>
          <w:sz w:val="24"/>
          <w:szCs w:val="24"/>
          <w:lang w:val="zh-CN"/>
        </w:rPr>
        <w:t xml:space="preserve"> 响应供应商所</w:t>
      </w:r>
      <w:r>
        <w:rPr>
          <w:rFonts w:ascii="宋体" w:hAnsi="宋体"/>
          <w:sz w:val="24"/>
          <w:szCs w:val="24"/>
          <w:lang w:val="zh-CN"/>
        </w:rPr>
        <w:t>投产品</w:t>
      </w:r>
      <w:r>
        <w:rPr>
          <w:rFonts w:hint="eastAsia" w:ascii="宋体" w:hAnsi="宋体"/>
          <w:sz w:val="24"/>
          <w:szCs w:val="24"/>
          <w:lang w:val="zh-CN"/>
        </w:rPr>
        <w:t>需提供设备扩容、升级方面的技术支持服务。</w:t>
      </w:r>
    </w:p>
    <w:p>
      <w:pPr>
        <w:spacing w:line="360" w:lineRule="auto"/>
        <w:ind w:left="601" w:leftChars="229" w:hanging="120" w:hangingChars="50"/>
        <w:rPr>
          <w:rFonts w:ascii="宋体" w:hAnsi="宋体"/>
          <w:b/>
          <w:sz w:val="24"/>
          <w:szCs w:val="24"/>
        </w:rPr>
      </w:pPr>
      <w:r>
        <w:rPr>
          <w:rFonts w:ascii="宋体" w:hAnsi="宋体"/>
          <w:b/>
          <w:sz w:val="24"/>
          <w:szCs w:val="24"/>
        </w:rPr>
        <w:t>9</w:t>
      </w:r>
      <w:r>
        <w:rPr>
          <w:rFonts w:hint="eastAsia" w:ascii="宋体" w:hAnsi="宋体"/>
          <w:b/>
          <w:sz w:val="24"/>
          <w:szCs w:val="24"/>
        </w:rPr>
        <w:t>.培训要求</w:t>
      </w:r>
    </w:p>
    <w:p>
      <w:pPr>
        <w:spacing w:line="360" w:lineRule="auto"/>
        <w:ind w:firstLine="480" w:firstLineChars="200"/>
        <w:rPr>
          <w:rFonts w:ascii="宋体" w:hAnsi="宋体"/>
          <w:sz w:val="24"/>
          <w:szCs w:val="24"/>
        </w:rPr>
      </w:pPr>
      <w:r>
        <w:rPr>
          <w:rFonts w:hint="eastAsia" w:ascii="宋体" w:hAnsi="宋体"/>
          <w:sz w:val="24"/>
          <w:szCs w:val="24"/>
        </w:rPr>
        <w:t>响应供应商必需提供但不限于以下培训要求：</w:t>
      </w:r>
    </w:p>
    <w:p>
      <w:pPr>
        <w:autoSpaceDE w:val="0"/>
        <w:autoSpaceDN w:val="0"/>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.1 为本项目尽快为各使用部门所熟悉，减少上手难度，成交供应商应为该项目准备好使用手册、培训</w:t>
      </w:r>
      <w:r>
        <w:rPr>
          <w:rFonts w:ascii="宋体" w:hAnsi="宋体"/>
          <w:sz w:val="24"/>
          <w:szCs w:val="24"/>
        </w:rPr>
        <w:t>PPT</w:t>
      </w:r>
      <w:r>
        <w:rPr>
          <w:rFonts w:hint="eastAsia" w:ascii="宋体" w:hAnsi="宋体"/>
          <w:sz w:val="24"/>
          <w:szCs w:val="24"/>
        </w:rPr>
        <w:t>，系统软件部署完成后，在采购人指定地点提供现场技术培训，保证使用人员正常操作设备的各种功能；</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 响应供应商必须根据标书采购的设备及采用的相关技术，在标书中提出全面的培训计划和课程内容安排，并在合同签定后征得用户方同意后实施；</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.3响应供应商必须提供高水平的培训。培训地点、人数、天数，由成交供应商列出具体计划并安排实施；</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.4培训应包括本标书中所有设备的安装和维护、常见故障现象及诊断、常见的问题及解决办法、操作系统软件、系统管理和应用软件、管理软件等；</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.5 其它原厂增值培训。</w:t>
      </w:r>
    </w:p>
    <w:p>
      <w:pPr>
        <w:spacing w:line="360" w:lineRule="auto"/>
        <w:ind w:firstLine="482" w:firstLineChars="200"/>
        <w:rPr>
          <w:rFonts w:ascii="宋体" w:hAnsi="宋体"/>
          <w:sz w:val="24"/>
          <w:szCs w:val="24"/>
        </w:rPr>
      </w:pPr>
      <w:r>
        <w:rPr>
          <w:rFonts w:ascii="宋体" w:hAnsi="宋体"/>
          <w:b/>
          <w:sz w:val="24"/>
          <w:szCs w:val="24"/>
        </w:rPr>
        <w:t>10</w:t>
      </w:r>
      <w:r>
        <w:rPr>
          <w:rFonts w:hint="eastAsia" w:ascii="宋体" w:hAnsi="宋体"/>
          <w:b/>
          <w:sz w:val="24"/>
          <w:szCs w:val="24"/>
        </w:rPr>
        <w:t>、其它要求</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.1 响应供应商必须对项目整体进行报价，提供所投标设备的详细技术资料，并对其提供的资料的真实性、准确性负责。响应供应商中标后在广东省范围内设有售后服务机构（以工商营业执照为准）。</w:t>
      </w:r>
    </w:p>
    <w:p>
      <w:pPr>
        <w:spacing w:line="360" w:lineRule="auto"/>
        <w:rPr>
          <w:rFonts w:ascii="宋体" w:hAnsi="宋体"/>
          <w:sz w:val="24"/>
          <w:szCs w:val="24"/>
        </w:rPr>
      </w:pPr>
      <w:r>
        <w:rPr>
          <w:rFonts w:ascii="宋体" w:hAnsi="宋体"/>
          <w:sz w:val="24"/>
          <w:szCs w:val="24"/>
        </w:rPr>
        <w:t>10</w:t>
      </w:r>
      <w:r>
        <w:rPr>
          <w:rFonts w:hint="eastAsia" w:ascii="宋体" w:hAnsi="宋体"/>
          <w:sz w:val="24"/>
          <w:szCs w:val="24"/>
        </w:rPr>
        <w:t>.2 响应供应商所投设备必须是知名品牌、全新产品，提供设备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rPr>
          <w:rFonts w:ascii="宋体" w:hAnsi="宋体"/>
          <w:sz w:val="24"/>
          <w:szCs w:val="24"/>
        </w:rPr>
      </w:pPr>
      <w:r>
        <w:rPr>
          <w:rFonts w:ascii="宋体" w:hAnsi="宋体"/>
          <w:sz w:val="24"/>
          <w:szCs w:val="24"/>
        </w:rPr>
        <w:t>10</w:t>
      </w:r>
      <w:r>
        <w:rPr>
          <w:rFonts w:hint="eastAsia" w:ascii="宋体" w:hAnsi="宋体"/>
          <w:sz w:val="24"/>
          <w:szCs w:val="24"/>
        </w:rPr>
        <w:t>.3 响应供应商需在投标文件中提供详细设备说明资料，所提供设备的技术指标必须按照厂家公开公布的实际性能指标参数如实填写，如投标文件的不如实填写的，到货验收时将导致设备被用户拒收和索赔，由此引起的所有损失由成交供应商负责。</w:t>
      </w:r>
    </w:p>
    <w:p>
      <w:pPr>
        <w:adjustRightInd w:val="0"/>
        <w:snapToGrid w:val="0"/>
        <w:spacing w:line="360" w:lineRule="auto"/>
        <w:rPr>
          <w:rFonts w:ascii="宋体" w:hAnsi="宋体"/>
          <w:b/>
        </w:rPr>
      </w:pPr>
      <w:r>
        <w:rPr>
          <w:rFonts w:ascii="宋体" w:hAnsi="宋体"/>
          <w:sz w:val="24"/>
          <w:szCs w:val="24"/>
        </w:rPr>
        <w:t>10</w:t>
      </w:r>
      <w:r>
        <w:rPr>
          <w:rFonts w:hint="eastAsia" w:ascii="宋体" w:hAnsi="宋体"/>
          <w:sz w:val="24"/>
          <w:szCs w:val="24"/>
        </w:rPr>
        <w:t>.4 响应供应商必须确保货物及所有配套件的完整性。对于招标文件没有列出，而对货物的正常运行和维护必不可少的且应属于货物配带的部件、配件及安装材料等，响应供应商有责任给予补充。</w:t>
      </w: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848"/>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茂名市人民医院智慧用电安全监管系统采购项目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二．关于资格的声明函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茂名市人民医院智慧用电安全监管系统采购项目采购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5" w:name="_Toc202820352"/>
      <w:bookmarkStart w:id="6" w:name="_Toc202251076"/>
      <w:bookmarkStart w:id="7" w:name="_Toc31980"/>
      <w:bookmarkStart w:id="8" w:name="_Toc202251701"/>
      <w:bookmarkStart w:id="9" w:name="_Toc202254106"/>
      <w:bookmarkStart w:id="10" w:name="_Toc202816997"/>
      <w:bookmarkStart w:id="11" w:name="_Toc202252035"/>
      <w:bookmarkStart w:id="12" w:name="_Toc202819879"/>
      <w:bookmarkStart w:id="13"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5"/>
    <w:bookmarkEnd w:id="6"/>
    <w:bookmarkEnd w:id="7"/>
    <w:bookmarkEnd w:id="8"/>
    <w:bookmarkEnd w:id="9"/>
    <w:bookmarkEnd w:id="10"/>
    <w:bookmarkEnd w:id="11"/>
    <w:bookmarkEnd w:id="12"/>
    <w:bookmarkEnd w:id="13"/>
    <w:p>
      <w:pPr>
        <w:jc w:val="left"/>
        <w:outlineLvl w:val="1"/>
        <w:rPr>
          <w:rFonts w:ascii="宋体" w:hAnsi="宋体" w:cs="仿宋"/>
          <w:b/>
        </w:rPr>
      </w:pPr>
      <w:bookmarkStart w:id="14" w:name="_Toc6273"/>
      <w:r>
        <w:rPr>
          <w:rFonts w:hint="eastAsia" w:ascii="宋体" w:hAnsi="宋体" w:cs="仿宋"/>
          <w:b/>
        </w:rPr>
        <w:t>三、拟提供产品技术参数（根据用户需求书的需求一览表内容提供产品的详细的技术参数）</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center"/>
        <w:outlineLvl w:val="1"/>
        <w:rPr>
          <w:rFonts w:ascii="宋体" w:hAnsi="宋体" w:cs="仿宋"/>
          <w:b/>
        </w:rPr>
      </w:pPr>
      <w:r>
        <w:rPr>
          <w:rFonts w:hint="eastAsia" w:ascii="宋体" w:hAnsi="宋体" w:cs="仿宋"/>
          <w:b/>
        </w:rPr>
        <w:t>四、商务部分</w:t>
      </w:r>
      <w:r>
        <w:rPr>
          <w:rFonts w:ascii="宋体" w:hAnsi="宋体" w:cs="仿宋"/>
          <w:b/>
        </w:rPr>
        <w:t xml:space="preserve"> </w:t>
      </w:r>
    </w:p>
    <w:p>
      <w:pPr>
        <w:pStyle w:val="32"/>
        <w:ind w:firstLine="0" w:firstLineChars="0"/>
        <w:rPr>
          <w:rFonts w:ascii="宋体" w:hAnsi="宋体" w:cs="仿宋"/>
          <w:b/>
          <w:spacing w:val="0"/>
          <w:kern w:val="2"/>
        </w:rPr>
      </w:pPr>
      <w:r>
        <w:rPr>
          <w:rFonts w:ascii="宋体" w:hAnsi="宋体" w:cs="仿宋"/>
          <w:b/>
          <w:spacing w:val="0"/>
          <w:kern w:val="2"/>
        </w:rPr>
        <w:t>4</w:t>
      </w:r>
      <w:r>
        <w:rPr>
          <w:rFonts w:hint="eastAsia" w:ascii="宋体" w:hAnsi="宋体" w:cs="仿宋"/>
          <w:b/>
          <w:spacing w:val="0"/>
          <w:kern w:val="2"/>
        </w:rPr>
        <w:t>.1同类项目业绩介绍</w:t>
      </w:r>
    </w:p>
    <w:tbl>
      <w:tblPr>
        <w:tblStyle w:val="14"/>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32"/>
        <w:ind w:firstLine="0" w:firstLineChars="0"/>
        <w:rPr>
          <w:rFonts w:ascii="宋体" w:hAnsi="宋体" w:cs="仿宋"/>
          <w:b/>
          <w:spacing w:val="0"/>
          <w:kern w:val="2"/>
        </w:rPr>
      </w:pPr>
      <w:r>
        <w:rPr>
          <w:rFonts w:ascii="宋体" w:hAnsi="宋体" w:cs="仿宋"/>
          <w:b/>
          <w:spacing w:val="0"/>
          <w:kern w:val="2"/>
          <w:lang w:val="en-GB"/>
        </w:rPr>
        <w:t>4.2</w:t>
      </w:r>
      <w:r>
        <w:rPr>
          <w:rFonts w:hint="eastAsia" w:ascii="宋体" w:hAnsi="宋体" w:cs="仿宋"/>
          <w:b/>
          <w:spacing w:val="0"/>
          <w:kern w:val="2"/>
        </w:rPr>
        <w:t>履约进度计划表</w:t>
      </w:r>
    </w:p>
    <w:tbl>
      <w:tblPr>
        <w:tblStyle w:val="14"/>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hint="eastAsia" w:ascii="宋体" w:hAnsi="宋体" w:cs="仿宋"/>
          <w:b/>
          <w:lang w:val="en-GB"/>
        </w:rPr>
        <w:t>3.4商务条款</w:t>
      </w:r>
      <w:r>
        <w:rPr>
          <w:rFonts w:ascii="宋体" w:hAnsi="宋体" w:cs="仿宋"/>
          <w:b/>
          <w:lang w:val="en-GB"/>
        </w:rPr>
        <w:t>响应情况</w:t>
      </w:r>
    </w:p>
    <w:p>
      <w:pPr>
        <w:pStyle w:val="3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4"/>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32"/>
        <w:ind w:firstLine="0" w:firstLineChars="0"/>
        <w:rPr>
          <w:rFonts w:ascii="宋体" w:hAnsi="宋体" w:cs="仿宋"/>
          <w:b/>
          <w:spacing w:val="0"/>
          <w:kern w:val="2"/>
          <w:lang w:val="en-GB"/>
        </w:rPr>
      </w:pP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14"/>
    <w:p>
      <w:pPr>
        <w:jc w:val="center"/>
        <w:outlineLvl w:val="1"/>
        <w:rPr>
          <w:rFonts w:ascii="宋体" w:hAnsi="宋体" w:cs="仿宋"/>
          <w:b/>
        </w:rPr>
      </w:pPr>
      <w:r>
        <w:rPr>
          <w:rFonts w:hint="eastAsia" w:ascii="宋体" w:hAnsi="宋体" w:cs="仿宋"/>
          <w:b/>
        </w:rPr>
        <w:t>四、价格部分</w:t>
      </w:r>
    </w:p>
    <w:p>
      <w:pPr>
        <w:jc w:val="center"/>
        <w:rPr>
          <w:rFonts w:ascii="宋体" w:hAnsi="宋体" w:cs="仿宋"/>
          <w:b/>
          <w:bCs/>
        </w:rPr>
      </w:pPr>
      <w:r>
        <w:rPr>
          <w:rFonts w:hint="eastAsia" w:ascii="宋体" w:hAnsi="宋体" w:cs="仿宋"/>
          <w:b/>
          <w:bCs/>
        </w:rPr>
        <w:t>报价一览表</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p>
      <w:pPr>
        <w:rPr>
          <w:rFonts w:hint="eastAsia"/>
          <w:b/>
          <w:bCs/>
          <w:sz w:val="28"/>
          <w:szCs w:val="28"/>
        </w:rPr>
      </w:pPr>
      <w:r>
        <w:rPr>
          <w:rFonts w:hint="eastAsia"/>
          <w:b/>
          <w:bCs/>
          <w:sz w:val="28"/>
          <w:szCs w:val="28"/>
        </w:rPr>
        <w:t>一、总项目报价</w:t>
      </w:r>
    </w:p>
    <w:tbl>
      <w:tblPr>
        <w:tblStyle w:val="14"/>
        <w:tblW w:w="8648" w:type="dxa"/>
        <w:jc w:val="center"/>
        <w:tblInd w:w="0" w:type="dxa"/>
        <w:tblLayout w:type="fixed"/>
        <w:tblCellMar>
          <w:top w:w="0" w:type="dxa"/>
          <w:left w:w="108" w:type="dxa"/>
          <w:bottom w:w="0" w:type="dxa"/>
          <w:right w:w="108" w:type="dxa"/>
        </w:tblCellMar>
      </w:tblPr>
      <w:tblGrid>
        <w:gridCol w:w="1042"/>
        <w:gridCol w:w="2243"/>
        <w:gridCol w:w="1249"/>
        <w:gridCol w:w="794"/>
        <w:gridCol w:w="793"/>
        <w:gridCol w:w="1101"/>
        <w:gridCol w:w="1426"/>
      </w:tblGrid>
      <w:tr>
        <w:tblPrEx>
          <w:tblLayout w:type="fixed"/>
          <w:tblCellMar>
            <w:top w:w="0" w:type="dxa"/>
            <w:left w:w="108" w:type="dxa"/>
            <w:bottom w:w="0" w:type="dxa"/>
            <w:right w:w="108" w:type="dxa"/>
          </w:tblCellMar>
        </w:tblPrEx>
        <w:trPr>
          <w:trHeight w:val="869"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设备名称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1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4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ascii="宋体" w:hAnsi="宋体"/>
        </w:rPr>
      </w:pPr>
    </w:p>
    <w:p>
      <w:pPr>
        <w:rPr>
          <w:rFonts w:hint="eastAsia"/>
          <w:b/>
          <w:bCs/>
          <w:sz w:val="28"/>
          <w:szCs w:val="28"/>
        </w:rPr>
      </w:pPr>
      <w:r>
        <w:rPr>
          <w:rFonts w:hint="eastAsia"/>
          <w:b/>
          <w:bCs/>
          <w:sz w:val="28"/>
          <w:szCs w:val="28"/>
        </w:rPr>
        <w:t>二、合同外增加智慧安全用电监管设备探测终端报价</w:t>
      </w:r>
    </w:p>
    <w:tbl>
      <w:tblPr>
        <w:tblStyle w:val="14"/>
        <w:tblW w:w="8648" w:type="dxa"/>
        <w:jc w:val="center"/>
        <w:tblInd w:w="0" w:type="dxa"/>
        <w:tblLayout w:type="fixed"/>
        <w:tblCellMar>
          <w:top w:w="0" w:type="dxa"/>
          <w:left w:w="108" w:type="dxa"/>
          <w:bottom w:w="0" w:type="dxa"/>
          <w:right w:w="108" w:type="dxa"/>
        </w:tblCellMar>
      </w:tblPr>
      <w:tblGrid>
        <w:gridCol w:w="1042"/>
        <w:gridCol w:w="2243"/>
        <w:gridCol w:w="1249"/>
        <w:gridCol w:w="794"/>
        <w:gridCol w:w="793"/>
        <w:gridCol w:w="1101"/>
        <w:gridCol w:w="1426"/>
      </w:tblGrid>
      <w:tr>
        <w:tblPrEx>
          <w:tblLayout w:type="fixed"/>
          <w:tblCellMar>
            <w:top w:w="0" w:type="dxa"/>
            <w:left w:w="108" w:type="dxa"/>
            <w:bottom w:w="0" w:type="dxa"/>
            <w:right w:w="108" w:type="dxa"/>
          </w:tblCellMar>
        </w:tblPrEx>
        <w:trPr>
          <w:trHeight w:val="869"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设备名称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1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4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
      <w:pPr>
        <w:rPr>
          <w:b/>
          <w:bCs/>
          <w:sz w:val="28"/>
          <w:szCs w:val="28"/>
        </w:rPr>
      </w:pPr>
      <w:r>
        <w:rPr>
          <w:rFonts w:hint="eastAsia"/>
          <w:b/>
          <w:bCs/>
          <w:sz w:val="28"/>
          <w:szCs w:val="28"/>
        </w:rPr>
        <w:t>三、质保期后的物联网通讯费报价</w:t>
      </w:r>
    </w:p>
    <w:tbl>
      <w:tblPr>
        <w:tblStyle w:val="14"/>
        <w:tblW w:w="8648" w:type="dxa"/>
        <w:jc w:val="center"/>
        <w:tblInd w:w="0" w:type="dxa"/>
        <w:tblLayout w:type="fixed"/>
        <w:tblCellMar>
          <w:top w:w="0" w:type="dxa"/>
          <w:left w:w="108" w:type="dxa"/>
          <w:bottom w:w="0" w:type="dxa"/>
          <w:right w:w="108" w:type="dxa"/>
        </w:tblCellMar>
      </w:tblPr>
      <w:tblGrid>
        <w:gridCol w:w="1042"/>
        <w:gridCol w:w="2243"/>
        <w:gridCol w:w="1249"/>
        <w:gridCol w:w="794"/>
        <w:gridCol w:w="793"/>
        <w:gridCol w:w="1101"/>
        <w:gridCol w:w="1426"/>
      </w:tblGrid>
      <w:tr>
        <w:tblPrEx>
          <w:tblLayout w:type="fixed"/>
          <w:tblCellMar>
            <w:top w:w="0" w:type="dxa"/>
            <w:left w:w="108" w:type="dxa"/>
            <w:bottom w:w="0" w:type="dxa"/>
            <w:right w:w="108" w:type="dxa"/>
          </w:tblCellMar>
        </w:tblPrEx>
        <w:trPr>
          <w:trHeight w:val="869"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设备名称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1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4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
      <w:pPr>
        <w:rPr>
          <w:b/>
          <w:bCs/>
          <w:sz w:val="28"/>
          <w:szCs w:val="28"/>
        </w:rPr>
      </w:pPr>
      <w:r>
        <w:rPr>
          <w:rFonts w:hint="eastAsia"/>
          <w:b/>
          <w:bCs/>
          <w:sz w:val="28"/>
          <w:szCs w:val="28"/>
        </w:rPr>
        <w:t>四、质保期后的项目运维报价（含物联网通讯费）</w:t>
      </w:r>
    </w:p>
    <w:tbl>
      <w:tblPr>
        <w:tblStyle w:val="14"/>
        <w:tblW w:w="8648" w:type="dxa"/>
        <w:jc w:val="center"/>
        <w:tblInd w:w="0" w:type="dxa"/>
        <w:tblLayout w:type="fixed"/>
        <w:tblCellMar>
          <w:top w:w="0" w:type="dxa"/>
          <w:left w:w="108" w:type="dxa"/>
          <w:bottom w:w="0" w:type="dxa"/>
          <w:right w:w="108" w:type="dxa"/>
        </w:tblCellMar>
      </w:tblPr>
      <w:tblGrid>
        <w:gridCol w:w="1042"/>
        <w:gridCol w:w="2243"/>
        <w:gridCol w:w="1249"/>
        <w:gridCol w:w="794"/>
        <w:gridCol w:w="793"/>
        <w:gridCol w:w="1101"/>
        <w:gridCol w:w="1426"/>
      </w:tblGrid>
      <w:tr>
        <w:tblPrEx>
          <w:tblLayout w:type="fixed"/>
          <w:tblCellMar>
            <w:top w:w="0" w:type="dxa"/>
            <w:left w:w="108" w:type="dxa"/>
            <w:bottom w:w="0" w:type="dxa"/>
            <w:right w:w="108" w:type="dxa"/>
          </w:tblCellMar>
        </w:tblPrEx>
        <w:trPr>
          <w:trHeight w:val="869"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设备名称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1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4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2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rPr>
          <w:rFonts w:hint="eastAsia"/>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F0932"/>
    <w:multiLevelType w:val="singleLevel"/>
    <w:tmpl w:val="969F0932"/>
    <w:lvl w:ilvl="0" w:tentative="0">
      <w:start w:val="3"/>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OWI4YTg2MDVhMjlkM2FkZWMyNjg5MzdhNmI0YTYifQ=="/>
  </w:docVars>
  <w:rsids>
    <w:rsidRoot w:val="00FC41EF"/>
    <w:rsid w:val="00014317"/>
    <w:rsid w:val="00024ED4"/>
    <w:rsid w:val="00053470"/>
    <w:rsid w:val="000573ED"/>
    <w:rsid w:val="00062E18"/>
    <w:rsid w:val="000632CD"/>
    <w:rsid w:val="000633CC"/>
    <w:rsid w:val="000753DB"/>
    <w:rsid w:val="0007589E"/>
    <w:rsid w:val="00076F93"/>
    <w:rsid w:val="00077D18"/>
    <w:rsid w:val="00077E14"/>
    <w:rsid w:val="00077EEB"/>
    <w:rsid w:val="00084D1C"/>
    <w:rsid w:val="000904D2"/>
    <w:rsid w:val="0009715C"/>
    <w:rsid w:val="000B1FE4"/>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65B7E"/>
    <w:rsid w:val="001715DC"/>
    <w:rsid w:val="00172260"/>
    <w:rsid w:val="00180FB3"/>
    <w:rsid w:val="0018744D"/>
    <w:rsid w:val="00191DAD"/>
    <w:rsid w:val="00192B02"/>
    <w:rsid w:val="0019370C"/>
    <w:rsid w:val="001A0AFE"/>
    <w:rsid w:val="001B0BD5"/>
    <w:rsid w:val="001B0D71"/>
    <w:rsid w:val="001B304D"/>
    <w:rsid w:val="001B3AED"/>
    <w:rsid w:val="001B70A3"/>
    <w:rsid w:val="001E01D9"/>
    <w:rsid w:val="001E5484"/>
    <w:rsid w:val="001F040A"/>
    <w:rsid w:val="001F62D6"/>
    <w:rsid w:val="001F7EB5"/>
    <w:rsid w:val="00212990"/>
    <w:rsid w:val="0023491E"/>
    <w:rsid w:val="002463C8"/>
    <w:rsid w:val="00260D08"/>
    <w:rsid w:val="002622B2"/>
    <w:rsid w:val="00264843"/>
    <w:rsid w:val="002665E6"/>
    <w:rsid w:val="00267C75"/>
    <w:rsid w:val="00274E72"/>
    <w:rsid w:val="00277BFB"/>
    <w:rsid w:val="00285081"/>
    <w:rsid w:val="002858FA"/>
    <w:rsid w:val="00295BD1"/>
    <w:rsid w:val="002A2763"/>
    <w:rsid w:val="002B43F0"/>
    <w:rsid w:val="002C1C07"/>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665D"/>
    <w:rsid w:val="00362585"/>
    <w:rsid w:val="003712FB"/>
    <w:rsid w:val="00372BD5"/>
    <w:rsid w:val="00374029"/>
    <w:rsid w:val="00381D22"/>
    <w:rsid w:val="00396144"/>
    <w:rsid w:val="003B1888"/>
    <w:rsid w:val="003C6E44"/>
    <w:rsid w:val="003D1354"/>
    <w:rsid w:val="003D5CF4"/>
    <w:rsid w:val="003E6E09"/>
    <w:rsid w:val="003F141A"/>
    <w:rsid w:val="004117A8"/>
    <w:rsid w:val="00412258"/>
    <w:rsid w:val="00415EB4"/>
    <w:rsid w:val="00416CA6"/>
    <w:rsid w:val="004404A4"/>
    <w:rsid w:val="00440EE3"/>
    <w:rsid w:val="00446FB1"/>
    <w:rsid w:val="0044784D"/>
    <w:rsid w:val="00450EEF"/>
    <w:rsid w:val="00452CEF"/>
    <w:rsid w:val="00456694"/>
    <w:rsid w:val="0045781F"/>
    <w:rsid w:val="00462C28"/>
    <w:rsid w:val="004638DF"/>
    <w:rsid w:val="00463EB9"/>
    <w:rsid w:val="00495602"/>
    <w:rsid w:val="0049576E"/>
    <w:rsid w:val="004A4303"/>
    <w:rsid w:val="004A6F93"/>
    <w:rsid w:val="004A7AB7"/>
    <w:rsid w:val="004B072D"/>
    <w:rsid w:val="004B7064"/>
    <w:rsid w:val="004B7E5A"/>
    <w:rsid w:val="004C68E3"/>
    <w:rsid w:val="004D1423"/>
    <w:rsid w:val="004D1526"/>
    <w:rsid w:val="004E18C6"/>
    <w:rsid w:val="004E2A94"/>
    <w:rsid w:val="004E42D3"/>
    <w:rsid w:val="004E732A"/>
    <w:rsid w:val="004F50AC"/>
    <w:rsid w:val="005038C1"/>
    <w:rsid w:val="00510AF4"/>
    <w:rsid w:val="005148A5"/>
    <w:rsid w:val="00524145"/>
    <w:rsid w:val="00533E87"/>
    <w:rsid w:val="00535504"/>
    <w:rsid w:val="00551465"/>
    <w:rsid w:val="00554F10"/>
    <w:rsid w:val="0055609E"/>
    <w:rsid w:val="00556CC0"/>
    <w:rsid w:val="0056091A"/>
    <w:rsid w:val="00562E1C"/>
    <w:rsid w:val="005833E7"/>
    <w:rsid w:val="00586B29"/>
    <w:rsid w:val="0058763F"/>
    <w:rsid w:val="005B6065"/>
    <w:rsid w:val="005C2AF5"/>
    <w:rsid w:val="005C6B40"/>
    <w:rsid w:val="005D0756"/>
    <w:rsid w:val="005D6A8F"/>
    <w:rsid w:val="005F0E42"/>
    <w:rsid w:val="005F1EEF"/>
    <w:rsid w:val="00606BC6"/>
    <w:rsid w:val="00611236"/>
    <w:rsid w:val="006118B3"/>
    <w:rsid w:val="0061752E"/>
    <w:rsid w:val="006229B6"/>
    <w:rsid w:val="00630D95"/>
    <w:rsid w:val="00634EA0"/>
    <w:rsid w:val="00645CBE"/>
    <w:rsid w:val="00647546"/>
    <w:rsid w:val="006718EF"/>
    <w:rsid w:val="006718F9"/>
    <w:rsid w:val="00676393"/>
    <w:rsid w:val="00676F15"/>
    <w:rsid w:val="0068228E"/>
    <w:rsid w:val="006827EA"/>
    <w:rsid w:val="00684E9C"/>
    <w:rsid w:val="00690044"/>
    <w:rsid w:val="006927DB"/>
    <w:rsid w:val="006A4A35"/>
    <w:rsid w:val="006B1DE0"/>
    <w:rsid w:val="006B60A3"/>
    <w:rsid w:val="006C1EEE"/>
    <w:rsid w:val="006C24B2"/>
    <w:rsid w:val="006C56AF"/>
    <w:rsid w:val="006E08DB"/>
    <w:rsid w:val="006E3BFF"/>
    <w:rsid w:val="006E586D"/>
    <w:rsid w:val="006F1033"/>
    <w:rsid w:val="006F7447"/>
    <w:rsid w:val="007028D6"/>
    <w:rsid w:val="007057B2"/>
    <w:rsid w:val="00714F00"/>
    <w:rsid w:val="0072382A"/>
    <w:rsid w:val="00725117"/>
    <w:rsid w:val="00727ACD"/>
    <w:rsid w:val="0073178D"/>
    <w:rsid w:val="00733B70"/>
    <w:rsid w:val="00737B07"/>
    <w:rsid w:val="0074287E"/>
    <w:rsid w:val="00762A59"/>
    <w:rsid w:val="00765707"/>
    <w:rsid w:val="007707A1"/>
    <w:rsid w:val="00773288"/>
    <w:rsid w:val="007854A7"/>
    <w:rsid w:val="007874FA"/>
    <w:rsid w:val="0079762B"/>
    <w:rsid w:val="007A7B4A"/>
    <w:rsid w:val="007B19FF"/>
    <w:rsid w:val="007B4471"/>
    <w:rsid w:val="007B61DE"/>
    <w:rsid w:val="007C3ADC"/>
    <w:rsid w:val="007D350B"/>
    <w:rsid w:val="007D6C76"/>
    <w:rsid w:val="007F0058"/>
    <w:rsid w:val="007F3051"/>
    <w:rsid w:val="008022DA"/>
    <w:rsid w:val="00802F90"/>
    <w:rsid w:val="008112E2"/>
    <w:rsid w:val="00812005"/>
    <w:rsid w:val="00813956"/>
    <w:rsid w:val="008167D2"/>
    <w:rsid w:val="00816D1C"/>
    <w:rsid w:val="00817273"/>
    <w:rsid w:val="00817F91"/>
    <w:rsid w:val="00821090"/>
    <w:rsid w:val="00821F77"/>
    <w:rsid w:val="00825C90"/>
    <w:rsid w:val="0083222A"/>
    <w:rsid w:val="00833810"/>
    <w:rsid w:val="008365B7"/>
    <w:rsid w:val="008417AB"/>
    <w:rsid w:val="00842E90"/>
    <w:rsid w:val="00854A26"/>
    <w:rsid w:val="00861919"/>
    <w:rsid w:val="008813ED"/>
    <w:rsid w:val="00881D6D"/>
    <w:rsid w:val="00884545"/>
    <w:rsid w:val="00884E2F"/>
    <w:rsid w:val="00893082"/>
    <w:rsid w:val="008A38E2"/>
    <w:rsid w:val="008A45C0"/>
    <w:rsid w:val="008B33CC"/>
    <w:rsid w:val="008D21CC"/>
    <w:rsid w:val="008E01E6"/>
    <w:rsid w:val="008F7826"/>
    <w:rsid w:val="008F7D19"/>
    <w:rsid w:val="008F7DD3"/>
    <w:rsid w:val="00905738"/>
    <w:rsid w:val="00906F34"/>
    <w:rsid w:val="009129DB"/>
    <w:rsid w:val="00912AB7"/>
    <w:rsid w:val="00917060"/>
    <w:rsid w:val="00917579"/>
    <w:rsid w:val="00923404"/>
    <w:rsid w:val="00933F48"/>
    <w:rsid w:val="009352AF"/>
    <w:rsid w:val="00950907"/>
    <w:rsid w:val="0095486D"/>
    <w:rsid w:val="0095514D"/>
    <w:rsid w:val="00955A8A"/>
    <w:rsid w:val="00960FF4"/>
    <w:rsid w:val="00975C64"/>
    <w:rsid w:val="009862BB"/>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704D"/>
    <w:rsid w:val="00A0137D"/>
    <w:rsid w:val="00A142C4"/>
    <w:rsid w:val="00A14DD0"/>
    <w:rsid w:val="00A231D7"/>
    <w:rsid w:val="00A3087E"/>
    <w:rsid w:val="00A32C4C"/>
    <w:rsid w:val="00A35D5F"/>
    <w:rsid w:val="00A5493C"/>
    <w:rsid w:val="00A64754"/>
    <w:rsid w:val="00A70375"/>
    <w:rsid w:val="00A7268D"/>
    <w:rsid w:val="00A74163"/>
    <w:rsid w:val="00A826DA"/>
    <w:rsid w:val="00A9037F"/>
    <w:rsid w:val="00A94D64"/>
    <w:rsid w:val="00AA1D56"/>
    <w:rsid w:val="00AA2B19"/>
    <w:rsid w:val="00AA4119"/>
    <w:rsid w:val="00AB10C5"/>
    <w:rsid w:val="00AB5393"/>
    <w:rsid w:val="00AC4B9F"/>
    <w:rsid w:val="00AD17E1"/>
    <w:rsid w:val="00AD221B"/>
    <w:rsid w:val="00AD7B80"/>
    <w:rsid w:val="00AE7878"/>
    <w:rsid w:val="00AF1037"/>
    <w:rsid w:val="00B05B32"/>
    <w:rsid w:val="00B06C89"/>
    <w:rsid w:val="00B1015C"/>
    <w:rsid w:val="00B104DF"/>
    <w:rsid w:val="00B27231"/>
    <w:rsid w:val="00B451B3"/>
    <w:rsid w:val="00B57DE9"/>
    <w:rsid w:val="00B67C9B"/>
    <w:rsid w:val="00B84241"/>
    <w:rsid w:val="00B85125"/>
    <w:rsid w:val="00B91330"/>
    <w:rsid w:val="00B924BB"/>
    <w:rsid w:val="00B94B34"/>
    <w:rsid w:val="00B97B37"/>
    <w:rsid w:val="00BA0DA4"/>
    <w:rsid w:val="00BB2634"/>
    <w:rsid w:val="00BB5EE7"/>
    <w:rsid w:val="00BC1779"/>
    <w:rsid w:val="00BC49C6"/>
    <w:rsid w:val="00BC643B"/>
    <w:rsid w:val="00BD5117"/>
    <w:rsid w:val="00BD520A"/>
    <w:rsid w:val="00BE3FC7"/>
    <w:rsid w:val="00BE71A6"/>
    <w:rsid w:val="00C008C8"/>
    <w:rsid w:val="00C02494"/>
    <w:rsid w:val="00C073D6"/>
    <w:rsid w:val="00C11D51"/>
    <w:rsid w:val="00C1362A"/>
    <w:rsid w:val="00C3110F"/>
    <w:rsid w:val="00C3676F"/>
    <w:rsid w:val="00C47F61"/>
    <w:rsid w:val="00C53C8F"/>
    <w:rsid w:val="00C64B97"/>
    <w:rsid w:val="00C739C1"/>
    <w:rsid w:val="00C81626"/>
    <w:rsid w:val="00C822E1"/>
    <w:rsid w:val="00C85034"/>
    <w:rsid w:val="00C9246A"/>
    <w:rsid w:val="00C93E41"/>
    <w:rsid w:val="00CA6C27"/>
    <w:rsid w:val="00CC4C7E"/>
    <w:rsid w:val="00CD3A79"/>
    <w:rsid w:val="00CD4D6C"/>
    <w:rsid w:val="00CD6B15"/>
    <w:rsid w:val="00CE10F1"/>
    <w:rsid w:val="00CE2A6A"/>
    <w:rsid w:val="00CE515C"/>
    <w:rsid w:val="00D26507"/>
    <w:rsid w:val="00D36C71"/>
    <w:rsid w:val="00D4579C"/>
    <w:rsid w:val="00D51CDD"/>
    <w:rsid w:val="00D528DB"/>
    <w:rsid w:val="00D834C4"/>
    <w:rsid w:val="00D84066"/>
    <w:rsid w:val="00D84724"/>
    <w:rsid w:val="00D866EE"/>
    <w:rsid w:val="00D929B8"/>
    <w:rsid w:val="00D937F9"/>
    <w:rsid w:val="00D97AE3"/>
    <w:rsid w:val="00DA18F8"/>
    <w:rsid w:val="00DA1DEB"/>
    <w:rsid w:val="00DA5695"/>
    <w:rsid w:val="00DA5CE9"/>
    <w:rsid w:val="00DC0638"/>
    <w:rsid w:val="00DC72B8"/>
    <w:rsid w:val="00DE0C23"/>
    <w:rsid w:val="00DF19BD"/>
    <w:rsid w:val="00DF2690"/>
    <w:rsid w:val="00DF3414"/>
    <w:rsid w:val="00DF4600"/>
    <w:rsid w:val="00DF5C95"/>
    <w:rsid w:val="00E01EC6"/>
    <w:rsid w:val="00E03657"/>
    <w:rsid w:val="00E045DA"/>
    <w:rsid w:val="00E21563"/>
    <w:rsid w:val="00E218F5"/>
    <w:rsid w:val="00E36B65"/>
    <w:rsid w:val="00E450B5"/>
    <w:rsid w:val="00E50E87"/>
    <w:rsid w:val="00E77B27"/>
    <w:rsid w:val="00E918AB"/>
    <w:rsid w:val="00EA7393"/>
    <w:rsid w:val="00EB24CB"/>
    <w:rsid w:val="00EC02BB"/>
    <w:rsid w:val="00EC5079"/>
    <w:rsid w:val="00ED2A78"/>
    <w:rsid w:val="00ED7055"/>
    <w:rsid w:val="00EE19C7"/>
    <w:rsid w:val="00EE2F05"/>
    <w:rsid w:val="00EE7640"/>
    <w:rsid w:val="00EF312E"/>
    <w:rsid w:val="00F04684"/>
    <w:rsid w:val="00F07E81"/>
    <w:rsid w:val="00F1620A"/>
    <w:rsid w:val="00F22DEA"/>
    <w:rsid w:val="00F306D5"/>
    <w:rsid w:val="00F41B13"/>
    <w:rsid w:val="00F51A1C"/>
    <w:rsid w:val="00F67162"/>
    <w:rsid w:val="00F7494F"/>
    <w:rsid w:val="00F759D5"/>
    <w:rsid w:val="00F825E2"/>
    <w:rsid w:val="00F83C84"/>
    <w:rsid w:val="00F854FB"/>
    <w:rsid w:val="00F86780"/>
    <w:rsid w:val="00F87420"/>
    <w:rsid w:val="00F9197E"/>
    <w:rsid w:val="00F94494"/>
    <w:rsid w:val="00F95145"/>
    <w:rsid w:val="00FA2EEC"/>
    <w:rsid w:val="00FB3470"/>
    <w:rsid w:val="00FB587A"/>
    <w:rsid w:val="00FC0A72"/>
    <w:rsid w:val="00FC0D9E"/>
    <w:rsid w:val="00FC41EF"/>
    <w:rsid w:val="00FD73D5"/>
    <w:rsid w:val="00FF1334"/>
    <w:rsid w:val="00FF4C44"/>
    <w:rsid w:val="00FF5988"/>
    <w:rsid w:val="15D4766A"/>
    <w:rsid w:val="23D87429"/>
    <w:rsid w:val="246B72C2"/>
    <w:rsid w:val="53D4224B"/>
    <w:rsid w:val="5CE57440"/>
    <w:rsid w:val="6131384E"/>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lang w:val="zh-CN"/>
    </w:rPr>
  </w:style>
  <w:style w:type="paragraph" w:styleId="2">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rPr>
  </w:style>
  <w:style w:type="character" w:default="1" w:styleId="12">
    <w:name w:val="Default Paragraph Font"/>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rPr>
  </w:style>
  <w:style w:type="paragraph" w:styleId="8">
    <w:name w:val="Balloon Text"/>
    <w:basedOn w:val="1"/>
    <w:link w:val="26"/>
    <w:unhideWhenUsed/>
    <w:qFormat/>
    <w:uiPriority w:val="99"/>
    <w:rPr>
      <w:kern w:val="0"/>
      <w:sz w:val="18"/>
      <w:szCs w:val="18"/>
      <w:lang w:val="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rPr>
  </w:style>
  <w:style w:type="paragraph" w:styleId="10">
    <w:name w:val="Body Text First Indent 2"/>
    <w:basedOn w:val="6"/>
    <w:unhideWhenUsed/>
    <w:qFormat/>
    <w:uiPriority w:val="99"/>
    <w:pPr>
      <w:ind w:firstLine="420" w:firstLineChars="200"/>
    </w:p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styleId="13">
    <w:name w:val="Hyperlink"/>
    <w:unhideWhenUsed/>
    <w:qFormat/>
    <w:uiPriority w:val="99"/>
    <w:rPr>
      <w:color w:val="0563C1"/>
      <w:u w:val="single"/>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1"/>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3"/>
    <w:qFormat/>
    <w:uiPriority w:val="9"/>
    <w:rPr>
      <w:b/>
      <w:bCs/>
      <w:kern w:val="44"/>
      <w:sz w:val="44"/>
      <w:szCs w:val="44"/>
    </w:rPr>
  </w:style>
  <w:style w:type="character" w:customStyle="1" w:styleId="36">
    <w:name w:val="未处理的提及1"/>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2"/>
    <w:semiHidden/>
    <w:qFormat/>
    <w:uiPriority w:val="9"/>
    <w:rPr>
      <w:rFonts w:ascii="等线 Light" w:hAnsi="等线 Light" w:eastAsia="等线 Light" w:cs="Times New Roman"/>
      <w:b/>
      <w:bCs/>
      <w:kern w:val="2"/>
      <w:sz w:val="32"/>
      <w:szCs w:val="32"/>
    </w:rPr>
  </w:style>
  <w:style w:type="table" w:customStyle="1" w:styleId="39">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正文（不缩进）"/>
    <w:basedOn w:val="1"/>
    <w:qFormat/>
    <w:uiPriority w:val="0"/>
    <w:pPr>
      <w:widowControl/>
      <w:spacing w:line="360" w:lineRule="auto"/>
    </w:pPr>
    <w:rPr>
      <w:rFonts w:asciiTheme="minorHAnsi" w:hAnsiTheme="minorHAnsi" w:cstheme="minorBidi"/>
      <w:sz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21</Pages>
  <Words>1537</Words>
  <Characters>8766</Characters>
  <Lines>73</Lines>
  <Paragraphs>20</Paragraphs>
  <TotalTime>38</TotalTime>
  <ScaleCrop>false</ScaleCrop>
  <LinksUpToDate>false</LinksUpToDate>
  <CharactersWithSpaces>10283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追求快乐</cp:lastModifiedBy>
  <cp:lastPrinted>2019-05-06T07:16:00Z</cp:lastPrinted>
  <dcterms:modified xsi:type="dcterms:W3CDTF">2023-06-21T06:58:29Z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07A5FA00E417456FBEF18380DA56F269_12</vt:lpwstr>
  </property>
</Properties>
</file>