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both"/>
        <w:rPr>
          <w:rFonts w:ascii="仿宋_GB2312" w:hAnsi="宋体" w:eastAsia="仿宋_GB2312"/>
          <w:b/>
          <w:bCs/>
          <w:kern w:val="0"/>
          <w:sz w:val="72"/>
          <w:szCs w:val="72"/>
        </w:rPr>
      </w:pPr>
    </w:p>
    <w:p>
      <w:pPr>
        <w:adjustRightInd w:val="0"/>
        <w:snapToGrid w:val="0"/>
        <w:spacing w:line="300" w:lineRule="auto"/>
        <w:ind w:right="69" w:rightChars="33"/>
        <w:jc w:val="both"/>
        <w:rPr>
          <w:rFonts w:ascii="仿宋_GB2312" w:hAnsi="宋体" w:eastAsia="仿宋_GB2312"/>
          <w:b/>
          <w:bCs/>
          <w:kern w:val="0"/>
          <w:sz w:val="72"/>
          <w:szCs w:val="72"/>
        </w:rPr>
      </w:pPr>
    </w:p>
    <w:p>
      <w:pPr>
        <w:adjustRightInd w:val="0"/>
        <w:snapToGrid w:val="0"/>
        <w:spacing w:line="360" w:lineRule="auto"/>
        <w:jc w:val="center"/>
        <w:rPr>
          <w:rFonts w:hint="eastAsia" w:ascii="方正小标宋简体" w:hAnsi="宋体" w:eastAsia="方正小标宋简体"/>
          <w:b/>
          <w:bCs/>
          <w:kern w:val="0"/>
          <w:sz w:val="44"/>
          <w:szCs w:val="44"/>
          <w:lang w:val="en-US" w:eastAsia="zh-CN"/>
        </w:rPr>
      </w:pPr>
      <w:r>
        <w:rPr>
          <w:rFonts w:hint="eastAsia" w:ascii="方正小标宋简体" w:hAnsi="宋体" w:eastAsia="方正小标宋简体"/>
          <w:b/>
          <w:bCs/>
          <w:kern w:val="0"/>
          <w:sz w:val="44"/>
          <w:szCs w:val="44"/>
        </w:rPr>
        <w:t>茂名市人民医院小型机、Oracle数据库系统维护服务项目</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需</w:t>
      </w:r>
    </w:p>
    <w:p>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10"/>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3</w:t>
      </w:r>
      <w:r>
        <w:rPr>
          <w:rFonts w:hint="eastAsia" w:ascii="仿宋" w:hAnsi="仿宋" w:eastAsia="仿宋" w:cs="仿宋"/>
          <w:b/>
          <w:w w:val="110"/>
          <w:sz w:val="36"/>
          <w:szCs w:val="36"/>
        </w:rPr>
        <w:t>年</w:t>
      </w:r>
      <w:r>
        <w:rPr>
          <w:rFonts w:hint="eastAsia" w:ascii="仿宋" w:hAnsi="仿宋" w:eastAsia="仿宋" w:cs="仿宋"/>
          <w:b/>
          <w:w w:val="110"/>
          <w:sz w:val="36"/>
          <w:szCs w:val="36"/>
          <w:lang w:val="en-US" w:eastAsia="zh-CN"/>
        </w:rPr>
        <w:t xml:space="preserve"> 4</w:t>
      </w:r>
      <w:r>
        <w:rPr>
          <w:rFonts w:hint="eastAsia" w:ascii="仿宋" w:hAnsi="仿宋" w:eastAsia="仿宋" w:cs="仿宋"/>
          <w:b/>
          <w:w w:val="11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我院对茂名市人民医院小型机、Oracle数据库系统维护服务项目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一、项目名称：</w:t>
      </w:r>
      <w:r>
        <w:rPr>
          <w:rFonts w:hint="eastAsia"/>
          <w:sz w:val="22"/>
          <w:szCs w:val="22"/>
        </w:rPr>
        <w:t>茂名市人民医院小型机、Oracle数据库系统维护服务项目</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 具体要求详见用户需求书；</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 服务期限：</w:t>
      </w:r>
      <w:r>
        <w:rPr>
          <w:rFonts w:hint="eastAsia" w:ascii="宋体" w:hAnsi="宋体" w:cs="宋体"/>
          <w:color w:val="000000"/>
          <w:kern w:val="0"/>
          <w:sz w:val="22"/>
          <w:lang w:val="en-US" w:eastAsia="zh-CN"/>
        </w:rPr>
        <w:t>2023年7月1日至2024年6月30日</w:t>
      </w:r>
      <w:r>
        <w:rPr>
          <w:rFonts w:hint="eastAsia" w:ascii="宋体" w:hAnsi="宋体" w:cs="宋体"/>
          <w:color w:val="000000"/>
          <w:kern w:val="0"/>
          <w:sz w:val="22"/>
          <w:lang w:eastAsia="zh-CN"/>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 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4、本项目不允许提交备选方案；</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5、</w:t>
      </w:r>
      <w:r>
        <w:rPr>
          <w:rFonts w:hint="eastAsia" w:ascii="宋体" w:hAnsi="宋体" w:cs="宋体"/>
          <w:color w:val="000000"/>
          <w:kern w:val="0"/>
          <w:sz w:val="22"/>
        </w:rPr>
        <w:t>本项目不接受联合体；</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40" w:firstLineChars="200"/>
        <w:jc w:val="both"/>
        <w:textAlignment w:val="auto"/>
        <w:outlineLvl w:val="9"/>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 xml:space="preserve">2. </w:t>
      </w:r>
      <w:r>
        <w:rPr>
          <w:rFonts w:hint="eastAsia" w:ascii="宋体" w:hAnsi="宋体"/>
          <w:color w:val="000000"/>
          <w:sz w:val="22"/>
        </w:rPr>
        <w:t>具有良好的商业信誉和健全的财务会计制度</w:t>
      </w:r>
      <w:r>
        <w:rPr>
          <w:rFonts w:hint="eastAsia" w:ascii="宋体" w:hAnsi="宋体"/>
          <w:b/>
          <w:color w:val="000000"/>
          <w:sz w:val="22"/>
          <w:u w:val="single"/>
        </w:rPr>
        <w:t>（</w:t>
      </w:r>
      <w:bookmarkStart w:id="0" w:name="_Hlk96672244"/>
      <w:r>
        <w:rPr>
          <w:rFonts w:hint="eastAsia" w:ascii="宋体" w:hAnsi="宋体"/>
          <w:b/>
          <w:bCs/>
          <w:color w:val="000000"/>
          <w:sz w:val="22"/>
          <w:u w:val="single"/>
        </w:rPr>
        <w:t>提供202</w:t>
      </w:r>
      <w:r>
        <w:rPr>
          <w:rFonts w:hint="eastAsia" w:ascii="宋体" w:hAnsi="宋体"/>
          <w:b/>
          <w:bCs/>
          <w:color w:val="000000"/>
          <w:sz w:val="22"/>
          <w:u w:val="single"/>
          <w:lang w:val="en-US" w:eastAsia="zh-CN"/>
        </w:rPr>
        <w:t>1</w:t>
      </w:r>
      <w:r>
        <w:rPr>
          <w:rFonts w:hint="eastAsia" w:ascii="宋体" w:hAnsi="宋体"/>
          <w:b/>
          <w:bCs/>
          <w:color w:val="000000"/>
          <w:sz w:val="22"/>
          <w:u w:val="single"/>
        </w:rPr>
        <w:t>年度财务状况报告或202</w:t>
      </w:r>
      <w:r>
        <w:rPr>
          <w:rFonts w:hint="eastAsia" w:ascii="宋体" w:hAnsi="宋体"/>
          <w:b/>
          <w:bCs/>
          <w:color w:val="000000"/>
          <w:sz w:val="22"/>
          <w:u w:val="single"/>
          <w:lang w:val="en-US" w:eastAsia="zh-CN"/>
        </w:rPr>
        <w:t>2</w:t>
      </w:r>
      <w:r>
        <w:rPr>
          <w:rFonts w:hint="eastAsia" w:ascii="宋体" w:hAnsi="宋体"/>
          <w:b/>
          <w:bCs/>
          <w:color w:val="000000"/>
          <w:sz w:val="22"/>
          <w:u w:val="single"/>
        </w:rPr>
        <w:t>年下半年任意3个月的财务状况报告复印件，或提供银行出具的资信证明材料复印件</w:t>
      </w:r>
      <w:bookmarkEnd w:id="0"/>
      <w:r>
        <w:rPr>
          <w:rFonts w:hint="eastAsia" w:ascii="宋体" w:hAnsi="宋体"/>
          <w:b/>
          <w:color w:val="000000"/>
          <w:sz w:val="22"/>
          <w:u w:val="single"/>
        </w:rPr>
        <w:t>）</w:t>
      </w:r>
      <w:r>
        <w:rPr>
          <w:rFonts w:hint="eastAsia" w:ascii="宋体" w:hAnsi="宋体"/>
          <w:color w:val="000000"/>
          <w:sz w:val="22"/>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w:t>
      </w:r>
      <w:r>
        <w:rPr>
          <w:rFonts w:hint="eastAsia" w:ascii="宋体" w:hAnsi="宋体"/>
          <w:color w:val="000000"/>
          <w:sz w:val="22"/>
        </w:rPr>
        <w:t xml:space="preserve"> 有依法缴纳税收和社会保障资金的良好记录</w:t>
      </w:r>
      <w:r>
        <w:rPr>
          <w:rFonts w:hint="eastAsia" w:ascii="宋体" w:hAnsi="宋体"/>
          <w:b/>
          <w:color w:val="000000"/>
          <w:sz w:val="22"/>
          <w:u w:val="single"/>
        </w:rPr>
        <w:t>（</w:t>
      </w:r>
      <w:bookmarkStart w:id="1" w:name="_Hlk96672219"/>
      <w:r>
        <w:rPr>
          <w:rFonts w:hint="eastAsia" w:ascii="宋体" w:hAnsi="宋体"/>
          <w:b/>
          <w:bCs/>
          <w:color w:val="000000"/>
          <w:sz w:val="22"/>
          <w:u w:val="single"/>
        </w:rPr>
        <w:t>提供202</w:t>
      </w:r>
      <w:r>
        <w:rPr>
          <w:rFonts w:hint="eastAsia" w:ascii="宋体" w:hAnsi="宋体"/>
          <w:b/>
          <w:bCs/>
          <w:color w:val="000000"/>
          <w:sz w:val="22"/>
          <w:u w:val="single"/>
          <w:lang w:val="en-US" w:eastAsia="zh-CN"/>
        </w:rPr>
        <w:t>2</w:t>
      </w:r>
      <w:r>
        <w:rPr>
          <w:rFonts w:hint="eastAsia" w:ascii="宋体" w:hAnsi="宋体"/>
          <w:b/>
          <w:bCs/>
          <w:color w:val="000000"/>
          <w:sz w:val="22"/>
          <w:u w:val="single"/>
        </w:rPr>
        <w:t>年下半年任意1个月缴纳税收和社会保险的凭据证明材料复印件；如依法免税或不需要缴纳社会保障资金的，应提供相应文件证明</w:t>
      </w:r>
      <w:bookmarkEnd w:id="1"/>
      <w:r>
        <w:rPr>
          <w:rFonts w:hint="eastAsia" w:ascii="宋体" w:hAnsi="宋体"/>
          <w:b/>
          <w:bCs/>
          <w:color w:val="000000"/>
          <w:sz w:val="22"/>
          <w:u w:val="single"/>
        </w:rPr>
        <w:t>）</w:t>
      </w:r>
      <w:r>
        <w:rPr>
          <w:rFonts w:hint="eastAsia" w:ascii="宋体" w:hAnsi="宋体"/>
          <w:b/>
          <w:color w:val="000000"/>
          <w:sz w:val="22"/>
          <w:u w:val="single"/>
        </w:rPr>
        <w:t>）</w:t>
      </w:r>
      <w:r>
        <w:rPr>
          <w:rFonts w:hint="eastAsia" w:ascii="宋体" w:hAnsi="宋体"/>
          <w:color w:val="000000"/>
          <w:sz w:val="22"/>
        </w:rPr>
        <w:t>；</w:t>
      </w:r>
    </w:p>
    <w:p>
      <w:pPr>
        <w:spacing w:line="360" w:lineRule="auto"/>
        <w:ind w:firstLine="440" w:firstLineChars="200"/>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rPr>
        <w:t>；</w:t>
      </w:r>
    </w:p>
    <w:p>
      <w:pPr>
        <w:spacing w:line="360" w:lineRule="auto"/>
        <w:ind w:firstLine="440" w:firstLineChars="200"/>
        <w:rPr>
          <w:rFonts w:ascii="宋体" w:hAnsi="宋体"/>
          <w:color w:val="000000"/>
          <w:sz w:val="22"/>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rPr>
        <w:t>；</w:t>
      </w:r>
    </w:p>
    <w:p>
      <w:pPr>
        <w:spacing w:line="360" w:lineRule="auto"/>
        <w:ind w:firstLine="440" w:firstLineChars="200"/>
        <w:rPr>
          <w:rFonts w:ascii="宋体" w:hAnsi="宋体"/>
          <w:color w:val="000000"/>
          <w:sz w:val="22"/>
        </w:rPr>
      </w:pPr>
      <w:r>
        <w:rPr>
          <w:rFonts w:ascii="宋体" w:hAnsi="宋体"/>
          <w:color w:val="000000"/>
          <w:sz w:val="22"/>
        </w:rPr>
        <w:t>6.</w:t>
      </w:r>
      <w:r>
        <w:rPr>
          <w:rFonts w:hint="eastAsia" w:ascii="宋体" w:hAnsi="宋体"/>
          <w:color w:val="000000"/>
          <w:sz w:val="22"/>
        </w:rPr>
        <w:t>未被列入“信用中国”网站(</w:t>
      </w:r>
      <w:r>
        <w:fldChar w:fldCharType="begin"/>
      </w:r>
      <w:r>
        <w:instrText xml:space="preserve"> HYPERLINK "http://www.creditchina" </w:instrText>
      </w:r>
      <w:r>
        <w:fldChar w:fldCharType="separate"/>
      </w:r>
      <w:r>
        <w:rPr>
          <w:rStyle w:val="18"/>
          <w:rFonts w:hint="eastAsia" w:ascii="宋体" w:hAnsi="宋体"/>
          <w:sz w:val="22"/>
        </w:rPr>
        <w:t>www.creditchina</w:t>
      </w:r>
      <w:r>
        <w:rPr>
          <w:rFonts w:hint="eastAsia" w:ascii="宋体" w:hAnsi="宋体"/>
          <w:sz w:val="22"/>
        </w:rPr>
        <w:fldChar w:fldCharType="end"/>
      </w:r>
      <w:r>
        <w:rPr>
          <w:rFonts w:hint="eastAsia" w:ascii="宋体" w:hAnsi="宋体"/>
          <w:color w:val="000000"/>
          <w:sz w:val="22"/>
        </w:rPr>
        <w:t>.gov.cn)“记录失信被执行人或重大税收违法案件当事人名单或政府采购严重违法失信行为”记录名单；</w:t>
      </w:r>
    </w:p>
    <w:p>
      <w:pPr>
        <w:spacing w:line="360" w:lineRule="auto"/>
        <w:ind w:firstLine="440" w:firstLineChars="200"/>
        <w:rPr>
          <w:rFonts w:hint="eastAsia" w:ascii="宋体" w:hAnsi="宋体"/>
          <w:color w:val="000000"/>
          <w:sz w:val="22"/>
        </w:rPr>
      </w:pPr>
      <w:r>
        <w:rPr>
          <w:rFonts w:hint="eastAsia" w:ascii="宋体" w:hAnsi="宋体"/>
          <w:color w:val="000000"/>
          <w:sz w:val="22"/>
        </w:rPr>
        <w:t>7</w:t>
      </w:r>
      <w:r>
        <w:rPr>
          <w:rFonts w:ascii="宋体" w:hAnsi="宋体"/>
          <w:color w:val="000000"/>
          <w:sz w:val="22"/>
        </w:rPr>
        <w:t>.</w:t>
      </w:r>
      <w:r>
        <w:rPr>
          <w:rFonts w:hint="eastAsia"/>
        </w:rPr>
        <w:t xml:space="preserve"> </w:t>
      </w:r>
      <w:r>
        <w:rPr>
          <w:rFonts w:hint="eastAsia" w:ascii="宋体" w:hAnsi="宋体"/>
          <w:color w:val="000000"/>
          <w:sz w:val="22"/>
        </w:rPr>
        <w:tab/>
      </w:r>
      <w:r>
        <w:rPr>
          <w:rFonts w:hint="eastAsia" w:ascii="宋体" w:hAnsi="宋体"/>
          <w:color w:val="000000"/>
          <w:sz w:val="22"/>
        </w:rPr>
        <w:t>本项目不接受联合体投标。</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cs="宋体"/>
          <w:color w:val="000000"/>
          <w:kern w:val="0"/>
          <w:sz w:val="22"/>
          <w:lang w:eastAsia="zh-CN"/>
        </w:rPr>
      </w:pPr>
      <w:r>
        <w:rPr>
          <w:rFonts w:hint="eastAsia" w:ascii="宋体" w:hAnsi="宋体" w:cs="宋体"/>
          <w:b/>
          <w:bCs/>
          <w:color w:val="000000"/>
          <w:kern w:val="0"/>
          <w:sz w:val="22"/>
          <w:lang w:eastAsia="zh-CN"/>
        </w:rPr>
        <w:t>四、报名须知</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1.有意向参与的供应商可在以下规定的时间前提交响应文件（模板见询价文件）；</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2.报名时间：2023年4月</w:t>
      </w:r>
      <w:r>
        <w:rPr>
          <w:rFonts w:hint="eastAsia" w:ascii="宋体" w:hAnsi="宋体" w:cs="宋体"/>
          <w:color w:val="000000"/>
          <w:kern w:val="0"/>
          <w:sz w:val="22"/>
          <w:lang w:val="en-US" w:eastAsia="zh-CN"/>
        </w:rPr>
        <w:t>24</w:t>
      </w:r>
      <w:r>
        <w:rPr>
          <w:rFonts w:hint="eastAsia" w:ascii="宋体" w:hAnsi="宋体" w:cs="宋体"/>
          <w:color w:val="000000"/>
          <w:kern w:val="0"/>
          <w:sz w:val="22"/>
          <w:lang w:eastAsia="zh-CN"/>
        </w:rPr>
        <w:t>日起至2023年4月</w:t>
      </w:r>
      <w:r>
        <w:rPr>
          <w:rFonts w:hint="eastAsia" w:ascii="宋体" w:hAnsi="宋体" w:cs="宋体"/>
          <w:color w:val="000000"/>
          <w:kern w:val="0"/>
          <w:sz w:val="22"/>
          <w:lang w:val="en-US" w:eastAsia="zh-CN"/>
        </w:rPr>
        <w:t>28</w:t>
      </w:r>
      <w:r>
        <w:rPr>
          <w:rFonts w:hint="eastAsia" w:ascii="宋体" w:hAnsi="宋体" w:cs="宋体"/>
          <w:color w:val="000000"/>
          <w:kern w:val="0"/>
          <w:sz w:val="22"/>
          <w:lang w:eastAsia="zh-CN"/>
        </w:rPr>
        <w:t>日上午</w:t>
      </w:r>
      <w:r>
        <w:rPr>
          <w:rFonts w:hint="eastAsia" w:ascii="宋体" w:hAnsi="宋体" w:cs="宋体"/>
          <w:color w:val="000000"/>
          <w:kern w:val="0"/>
          <w:sz w:val="22"/>
          <w:lang w:val="en-US" w:eastAsia="zh-CN"/>
        </w:rPr>
        <w:t>7</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3</w:t>
      </w:r>
      <w:r>
        <w:rPr>
          <w:rFonts w:hint="eastAsia" w:ascii="宋体" w:hAnsi="宋体" w:cs="宋体"/>
          <w:color w:val="000000"/>
          <w:kern w:val="0"/>
          <w:sz w:val="22"/>
          <w:lang w:eastAsia="zh-CN"/>
        </w:rPr>
        <w:t>0-11:30，下午2:30-5:30，节假日除外。</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3.接收/邮寄地址：茂名市为民路101号茂名市人民医院5号楼2楼招标采购办公室。</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4.接受邮寄响应文件。</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cs="宋体"/>
          <w:b/>
          <w:bCs/>
          <w:color w:val="000000"/>
          <w:kern w:val="0"/>
          <w:sz w:val="22"/>
          <w:lang w:eastAsia="zh-CN"/>
        </w:rPr>
      </w:pPr>
      <w:r>
        <w:rPr>
          <w:rFonts w:hint="eastAsia" w:ascii="宋体" w:hAnsi="宋体" w:cs="宋体"/>
          <w:b/>
          <w:bCs/>
          <w:color w:val="000000"/>
          <w:kern w:val="0"/>
          <w:sz w:val="22"/>
          <w:lang w:eastAsia="zh-CN"/>
        </w:rPr>
        <w:t>五、我院拒绝接受以下报名资料：</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1.报名截止时间后才递交的报名资料。</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2.不符合供应商相应资质的报名资料。</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both"/>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3.不满足报名需求提交资料要求的报名资料。</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both"/>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4.传真、电子邮件等形式的报名资料。</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both"/>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5.同一供应商重复递交的报名资料。</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both"/>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6.虚假的报名资料。</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eastAsia="宋体" w:cs="宋体"/>
          <w:color w:val="000000"/>
          <w:kern w:val="0"/>
          <w:sz w:val="22"/>
          <w:szCs w:val="22"/>
        </w:rPr>
      </w:pPr>
      <w:r>
        <w:rPr>
          <w:rFonts w:hint="eastAsia" w:ascii="宋体" w:hAnsi="宋体" w:eastAsia="宋体" w:cs="宋体"/>
          <w:b/>
          <w:bCs/>
          <w:color w:val="000000"/>
          <w:kern w:val="0"/>
          <w:sz w:val="22"/>
          <w:szCs w:val="22"/>
        </w:rPr>
        <w:t>六、</w:t>
      </w:r>
      <w:r>
        <w:rPr>
          <w:rFonts w:hint="eastAsia" w:ascii="宋体" w:hAnsi="宋体" w:eastAsia="宋体" w:cs="宋体"/>
          <w:b/>
          <w:bCs/>
          <w:sz w:val="22"/>
          <w:szCs w:val="2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联系人：</w:t>
      </w:r>
      <w:r>
        <w:rPr>
          <w:rFonts w:hint="eastAsia" w:ascii="宋体" w:hAnsi="宋体" w:eastAsia="宋体" w:cs="宋体"/>
          <w:sz w:val="22"/>
          <w:szCs w:val="22"/>
          <w:lang w:eastAsia="zh-CN"/>
        </w:rPr>
        <w:t>邵</w:t>
      </w:r>
      <w:r>
        <w:rPr>
          <w:rFonts w:hint="eastAsia" w:ascii="宋体" w:hAnsi="宋体" w:eastAsia="宋体" w:cs="宋体"/>
          <w:sz w:val="22"/>
          <w:szCs w:val="22"/>
        </w:rPr>
        <w:t>先生</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联系电话：0668-2922921、0668-2922306</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邮箱：</w:t>
      </w:r>
      <w:r>
        <w:rPr>
          <w:rFonts w:hint="eastAsia" w:ascii="宋体" w:hAnsi="宋体" w:eastAsia="宋体" w:cs="宋体"/>
          <w:sz w:val="22"/>
          <w:szCs w:val="22"/>
          <w:lang w:val="en-US" w:eastAsia="zh-CN"/>
        </w:rPr>
        <w:t>569437953</w:t>
      </w:r>
      <w:r>
        <w:rPr>
          <w:rFonts w:hint="eastAsia" w:ascii="宋体" w:hAnsi="宋体" w:eastAsia="宋体" w:cs="宋体"/>
          <w:sz w:val="22"/>
          <w:szCs w:val="22"/>
        </w:rPr>
        <w:t>@</w:t>
      </w:r>
      <w:r>
        <w:rPr>
          <w:rFonts w:hint="eastAsia" w:ascii="宋体" w:hAnsi="宋体" w:eastAsia="宋体" w:cs="宋体"/>
          <w:sz w:val="22"/>
          <w:szCs w:val="22"/>
          <w:lang w:val="en-US" w:eastAsia="zh-CN"/>
        </w:rPr>
        <w:t>qq</w:t>
      </w:r>
      <w:r>
        <w:rPr>
          <w:rFonts w:hint="eastAsia" w:ascii="宋体" w:hAnsi="宋体" w:eastAsia="宋体" w:cs="宋体"/>
          <w:sz w:val="22"/>
          <w:szCs w:val="22"/>
        </w:rPr>
        <w:t>.com</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bCs/>
          <w:sz w:val="22"/>
          <w:szCs w:val="22"/>
        </w:rPr>
      </w:pPr>
      <w:r>
        <w:rPr>
          <w:rFonts w:hint="eastAsia" w:ascii="宋体" w:hAnsi="宋体"/>
          <w:b/>
          <w:bCs/>
          <w:sz w:val="22"/>
          <w:szCs w:val="2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1、各供应商必须严格按照技术参数要求的设备进行报价，杜绝弄虚作假，胡乱报价，各供应商报价一经确认禁止更改。</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2、项目严禁各供应商进行恶意竞争或其它违规行为，一经查实，将进入供应商黑名单。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600" w:firstLineChars="3000"/>
        <w:textAlignment w:val="auto"/>
        <w:rPr>
          <w:rFonts w:hint="eastAsia" w:ascii="宋体" w:hAnsi="宋体" w:eastAsia="宋体" w:cs="宋体"/>
          <w:sz w:val="22"/>
          <w:szCs w:val="22"/>
        </w:rPr>
      </w:pPr>
      <w:r>
        <w:rPr>
          <w:rFonts w:hint="eastAsia" w:ascii="宋体" w:hAnsi="宋体" w:eastAsia="宋体" w:cs="宋体"/>
          <w:sz w:val="22"/>
          <w:szCs w:val="22"/>
        </w:rPr>
        <w:t>茂名市人民医院</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cs="宋体"/>
          <w:sz w:val="22"/>
          <w:szCs w:val="22"/>
          <w:lang w:val="en-US" w:eastAsia="zh-CN"/>
        </w:rPr>
        <w:t xml:space="preserve">                             </w:t>
      </w:r>
      <w:r>
        <w:rPr>
          <w:rFonts w:hint="eastAsia" w:ascii="宋体" w:hAnsi="宋体" w:eastAsia="宋体" w:cs="宋体"/>
          <w:sz w:val="22"/>
          <w:szCs w:val="22"/>
        </w:rPr>
        <w:t xml:space="preserve">      202</w:t>
      </w:r>
      <w:r>
        <w:rPr>
          <w:rFonts w:hint="eastAsia" w:ascii="宋体" w:hAnsi="宋体" w:cs="宋体"/>
          <w:sz w:val="22"/>
          <w:szCs w:val="22"/>
          <w:lang w:val="en-US" w:eastAsia="zh-CN"/>
        </w:rPr>
        <w:t>3</w:t>
      </w:r>
      <w:r>
        <w:rPr>
          <w:rFonts w:hint="eastAsia" w:ascii="宋体" w:hAnsi="宋体" w:eastAsia="宋体" w:cs="宋体"/>
          <w:sz w:val="22"/>
          <w:szCs w:val="22"/>
        </w:rPr>
        <w:t>年</w:t>
      </w:r>
      <w:r>
        <w:rPr>
          <w:rFonts w:hint="eastAsia" w:ascii="宋体" w:hAnsi="宋体" w:cs="宋体"/>
          <w:sz w:val="22"/>
          <w:szCs w:val="22"/>
          <w:lang w:val="en-US" w:eastAsia="zh-CN"/>
        </w:rPr>
        <w:t>4</w:t>
      </w:r>
      <w:r>
        <w:rPr>
          <w:rFonts w:hint="eastAsia" w:ascii="宋体" w:hAnsi="宋体" w:eastAsia="宋体" w:cs="宋体"/>
          <w:sz w:val="22"/>
          <w:szCs w:val="22"/>
        </w:rPr>
        <w:t>月</w:t>
      </w:r>
      <w:r>
        <w:rPr>
          <w:rFonts w:hint="eastAsia" w:ascii="宋体" w:hAnsi="宋体" w:cs="宋体"/>
          <w:sz w:val="22"/>
          <w:szCs w:val="22"/>
          <w:lang w:val="en-US" w:eastAsia="zh-CN"/>
        </w:rPr>
        <w:t>23</w:t>
      </w:r>
      <w:bookmarkStart w:id="35" w:name="_GoBack"/>
      <w:bookmarkEnd w:id="35"/>
      <w:r>
        <w:rPr>
          <w:rFonts w:hint="eastAsia" w:ascii="宋体" w:hAnsi="宋体" w:eastAsia="宋体" w:cs="宋体"/>
          <w:sz w:val="22"/>
          <w:szCs w:val="22"/>
        </w:rPr>
        <w:t>日</w:t>
      </w:r>
    </w:p>
    <w:p>
      <w:pPr>
        <w:pStyle w:val="10"/>
        <w:tabs>
          <w:tab w:val="left" w:pos="1260"/>
        </w:tabs>
        <w:spacing w:line="680" w:lineRule="auto"/>
        <w:ind w:firstLine="0" w:firstLineChars="0"/>
        <w:jc w:val="center"/>
        <w:rPr>
          <w:rFonts w:hAnsi="宋体"/>
        </w:rPr>
      </w:pPr>
    </w:p>
    <w:p>
      <w:pPr>
        <w:pStyle w:val="10"/>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numPr>
          <w:ilvl w:val="0"/>
          <w:numId w:val="0"/>
        </w:numPr>
        <w:spacing w:line="360" w:lineRule="auto"/>
        <w:ind w:firstLine="482" w:firstLineChars="200"/>
        <w:jc w:val="left"/>
        <w:rPr>
          <w:rFonts w:ascii="宋体" w:hAnsi="宋体"/>
          <w:b/>
          <w:sz w:val="24"/>
        </w:rPr>
      </w:pPr>
      <w:r>
        <w:rPr>
          <w:rFonts w:hint="eastAsia" w:ascii="宋体" w:hAnsi="宋体"/>
          <w:b/>
          <w:sz w:val="24"/>
          <w:lang w:eastAsia="zh-CN"/>
        </w:rPr>
        <w:t>一、</w:t>
      </w:r>
      <w:r>
        <w:rPr>
          <w:rFonts w:hint="eastAsia" w:ascii="宋体" w:hAnsi="宋体"/>
          <w:b/>
          <w:sz w:val="24"/>
        </w:rPr>
        <w:t>需求一览表</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6"/>
        <w:gridCol w:w="3544"/>
        <w:gridCol w:w="992"/>
        <w:gridCol w:w="992"/>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 w:hRule="atLeast"/>
        </w:trPr>
        <w:tc>
          <w:tcPr>
            <w:tcW w:w="846"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序号</w:t>
            </w:r>
          </w:p>
        </w:tc>
        <w:tc>
          <w:tcPr>
            <w:tcW w:w="3544"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名称</w:t>
            </w:r>
          </w:p>
        </w:tc>
        <w:tc>
          <w:tcPr>
            <w:tcW w:w="992"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数量</w:t>
            </w:r>
          </w:p>
        </w:tc>
        <w:tc>
          <w:tcPr>
            <w:tcW w:w="992"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单位</w:t>
            </w:r>
          </w:p>
        </w:tc>
        <w:tc>
          <w:tcPr>
            <w:tcW w:w="1922"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预算总价（元）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 w:hRule="atLeast"/>
        </w:trPr>
        <w:tc>
          <w:tcPr>
            <w:tcW w:w="846"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1</w:t>
            </w:r>
          </w:p>
        </w:tc>
        <w:tc>
          <w:tcPr>
            <w:tcW w:w="3544" w:type="dxa"/>
            <w:tcBorders>
              <w:tl2br w:val="nil"/>
              <w:tr2bl w:val="nil"/>
            </w:tcBorders>
            <w:vAlign w:val="center"/>
          </w:tcPr>
          <w:p>
            <w:pPr>
              <w:spacing w:beforeLines="0" w:afterLines="0"/>
              <w:jc w:val="center"/>
              <w:rPr>
                <w:rFonts w:hint="eastAsia" w:ascii="宋体" w:hAnsi="宋体"/>
                <w:color w:val="auto"/>
                <w:sz w:val="22"/>
                <w:lang w:val="zh-CN"/>
              </w:rPr>
            </w:pPr>
            <w:r>
              <w:rPr>
                <w:rFonts w:hint="eastAsia" w:ascii="宋体" w:hAnsi="宋体" w:cs="宋体"/>
                <w:color w:val="000000"/>
                <w:kern w:val="0"/>
                <w:sz w:val="22"/>
              </w:rPr>
              <w:t>茂名市人民医院小型机、Oracle数据库系统维护服务项目</w:t>
            </w:r>
          </w:p>
        </w:tc>
        <w:tc>
          <w:tcPr>
            <w:tcW w:w="992" w:type="dxa"/>
            <w:tcBorders>
              <w:tl2br w:val="nil"/>
              <w:tr2bl w:val="nil"/>
            </w:tcBorders>
            <w:vAlign w:val="center"/>
          </w:tcPr>
          <w:p>
            <w:pPr>
              <w:spacing w:beforeLines="0" w:afterLines="0" w:line="18" w:lineRule="atLeast"/>
              <w:jc w:val="center"/>
              <w:rPr>
                <w:rFonts w:hint="eastAsia" w:ascii="宋体" w:hAnsi="宋体" w:eastAsia="宋体"/>
                <w:color w:val="auto"/>
                <w:sz w:val="22"/>
                <w:lang w:val="zh-CN" w:eastAsia="zh-CN"/>
              </w:rPr>
            </w:pPr>
            <w:r>
              <w:rPr>
                <w:rFonts w:hint="eastAsia" w:ascii="宋体" w:hAnsi="宋体"/>
                <w:color w:val="000000"/>
                <w:sz w:val="21"/>
                <w:lang w:val="en-US" w:eastAsia="zh-CN"/>
              </w:rPr>
              <w:t>1</w:t>
            </w:r>
          </w:p>
        </w:tc>
        <w:tc>
          <w:tcPr>
            <w:tcW w:w="992"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zh-CN"/>
              </w:rPr>
              <w:t>年</w:t>
            </w:r>
          </w:p>
        </w:tc>
        <w:tc>
          <w:tcPr>
            <w:tcW w:w="1922" w:type="dxa"/>
            <w:tcBorders>
              <w:tl2br w:val="nil"/>
              <w:tr2bl w:val="nil"/>
            </w:tcBorders>
            <w:vAlign w:val="center"/>
          </w:tcPr>
          <w:p>
            <w:pPr>
              <w:spacing w:beforeLines="0" w:afterLines="0" w:line="18" w:lineRule="atLeast"/>
              <w:jc w:val="center"/>
              <w:rPr>
                <w:rFonts w:hint="eastAsia" w:ascii="宋体" w:hAnsi="宋体"/>
                <w:color w:val="auto"/>
                <w:sz w:val="22"/>
                <w:lang w:val="zh-CN"/>
              </w:rPr>
            </w:pPr>
            <w:r>
              <w:rPr>
                <w:rFonts w:hint="eastAsia" w:ascii="宋体" w:hAnsi="宋体"/>
                <w:color w:val="000000"/>
                <w:sz w:val="21"/>
                <w:lang w:val="en-US" w:eastAsia="zh-CN"/>
              </w:rPr>
              <w:t>8</w:t>
            </w:r>
            <w:r>
              <w:rPr>
                <w:rFonts w:hint="eastAsia" w:ascii="宋体" w:hAnsi="宋体"/>
                <w:color w:val="000000"/>
                <w:sz w:val="21"/>
                <w:lang w:val="zh-CN"/>
              </w:rPr>
              <w:t>0,000.00</w:t>
            </w:r>
          </w:p>
        </w:tc>
      </w:tr>
    </w:tbl>
    <w:p>
      <w:pPr>
        <w:tabs>
          <w:tab w:val="left" w:pos="1890"/>
        </w:tabs>
        <w:spacing w:line="360" w:lineRule="auto"/>
        <w:ind w:firstLine="482" w:firstLineChars="200"/>
        <w:rPr>
          <w:rFonts w:ascii="宋体" w:hAnsi="宋体"/>
          <w:b/>
          <w:kern w:val="0"/>
          <w:sz w:val="24"/>
          <w:szCs w:val="24"/>
        </w:rPr>
      </w:pPr>
      <w:r>
        <w:rPr>
          <w:rFonts w:hint="eastAsia" w:ascii="宋体" w:hAnsi="宋体"/>
          <w:b/>
          <w:kern w:val="0"/>
          <w:sz w:val="24"/>
          <w:szCs w:val="24"/>
        </w:rPr>
        <w:t>备注</w:t>
      </w:r>
      <w:r>
        <w:rPr>
          <w:rFonts w:ascii="宋体" w:hAnsi="宋体"/>
          <w:b/>
          <w:kern w:val="0"/>
          <w:sz w:val="24"/>
          <w:szCs w:val="24"/>
        </w:rPr>
        <w:t>：</w:t>
      </w:r>
    </w:p>
    <w:p>
      <w:pPr>
        <w:tabs>
          <w:tab w:val="left" w:pos="1890"/>
        </w:tabs>
        <w:spacing w:line="360" w:lineRule="auto"/>
        <w:ind w:firstLine="480" w:firstLineChars="200"/>
        <w:rPr>
          <w:rFonts w:ascii="宋体" w:hAnsi="宋体"/>
          <w:sz w:val="24"/>
          <w:szCs w:val="24"/>
        </w:rPr>
      </w:pPr>
      <w:r>
        <w:rPr>
          <w:rFonts w:hint="eastAsia" w:ascii="宋体" w:hAnsi="宋体"/>
          <w:sz w:val="24"/>
          <w:szCs w:val="24"/>
        </w:rPr>
        <w:t>1.本项目不接受联合体投标。</w:t>
      </w:r>
    </w:p>
    <w:p>
      <w:pPr>
        <w:tabs>
          <w:tab w:val="left" w:pos="1890"/>
        </w:tabs>
        <w:spacing w:line="360" w:lineRule="auto"/>
        <w:ind w:firstLine="480" w:firstLineChars="200"/>
        <w:rPr>
          <w:rFonts w:hint="eastAsia" w:ascii="宋体" w:hAnsi="宋体"/>
          <w:sz w:val="24"/>
          <w:szCs w:val="24"/>
        </w:rPr>
      </w:pPr>
      <w:r>
        <w:rPr>
          <w:rFonts w:hint="eastAsia" w:ascii="宋体" w:hAnsi="宋体"/>
          <w:sz w:val="24"/>
          <w:szCs w:val="24"/>
        </w:rPr>
        <w:t>2.带“★”号条款为不可偏离条款，响应文件未完全满足询价文件中带“★”号的条款和指标，或非实质性响应有重大偏离的，将导致响应文件无效。</w:t>
      </w:r>
    </w:p>
    <w:p>
      <w:pPr>
        <w:pStyle w:val="23"/>
        <w:numPr>
          <w:ilvl w:val="0"/>
          <w:numId w:val="0"/>
        </w:numPr>
        <w:spacing w:line="360" w:lineRule="auto"/>
        <w:ind w:firstLine="482" w:firstLineChars="200"/>
        <w:rPr>
          <w:rFonts w:hint="eastAsia" w:ascii="宋体" w:hAnsi="宋体"/>
          <w:b/>
          <w:sz w:val="24"/>
        </w:rPr>
      </w:pPr>
      <w:r>
        <w:rPr>
          <w:rFonts w:hint="eastAsia" w:ascii="宋体" w:hAnsi="宋体"/>
          <w:b/>
          <w:sz w:val="24"/>
          <w:lang w:eastAsia="zh-CN"/>
        </w:rPr>
        <w:t>二、</w:t>
      </w:r>
      <w:r>
        <w:rPr>
          <w:rFonts w:hint="eastAsia" w:ascii="宋体" w:hAnsi="宋体"/>
          <w:b/>
          <w:sz w:val="24"/>
        </w:rPr>
        <w:t>服务范围</w:t>
      </w:r>
      <w:r>
        <w:rPr>
          <w:rFonts w:hint="eastAsia" w:ascii="宋体" w:hAnsi="宋体"/>
          <w:b/>
          <w:sz w:val="24"/>
        </w:rPr>
        <w:tab/>
      </w:r>
    </w:p>
    <w:p>
      <w:pPr>
        <w:rPr>
          <w:rFonts w:hint="eastAsia"/>
        </w:rPr>
      </w:pPr>
    </w:p>
    <w:tbl>
      <w:tblPr>
        <w:tblStyle w:val="15"/>
        <w:tblpPr w:leftFromText="180" w:rightFromText="180" w:vertAnchor="text" w:horzAnchor="page" w:tblpX="1578" w:tblpY="9"/>
        <w:tblOverlap w:val="never"/>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4037"/>
        <w:gridCol w:w="1704"/>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908" w:type="dxa"/>
            <w:vAlign w:val="center"/>
          </w:tcPr>
          <w:p>
            <w:pPr>
              <w:jc w:val="center"/>
              <w:rPr>
                <w:rFonts w:ascii="宋体" w:hAnsi="宋体" w:eastAsia="宋体"/>
                <w:b/>
                <w:bCs/>
                <w:szCs w:val="21"/>
              </w:rPr>
            </w:pPr>
            <w:r>
              <w:rPr>
                <w:rFonts w:hint="eastAsia" w:ascii="宋体" w:hAnsi="宋体" w:eastAsia="宋体"/>
                <w:b/>
                <w:bCs/>
                <w:szCs w:val="21"/>
              </w:rPr>
              <w:t>维保项目</w:t>
            </w:r>
          </w:p>
        </w:tc>
        <w:tc>
          <w:tcPr>
            <w:tcW w:w="4037" w:type="dxa"/>
            <w:vAlign w:val="center"/>
          </w:tcPr>
          <w:p>
            <w:pPr>
              <w:jc w:val="center"/>
              <w:rPr>
                <w:rFonts w:ascii="宋体" w:hAnsi="宋体" w:eastAsia="宋体"/>
                <w:b/>
                <w:bCs/>
                <w:szCs w:val="21"/>
              </w:rPr>
            </w:pPr>
            <w:r>
              <w:rPr>
                <w:rFonts w:hint="eastAsia" w:ascii="宋体" w:hAnsi="宋体" w:eastAsia="宋体"/>
                <w:b/>
                <w:bCs/>
                <w:szCs w:val="21"/>
              </w:rPr>
              <w:t>维保范围</w:t>
            </w:r>
          </w:p>
        </w:tc>
        <w:tc>
          <w:tcPr>
            <w:tcW w:w="1704" w:type="dxa"/>
            <w:vAlign w:val="center"/>
          </w:tcPr>
          <w:p>
            <w:pPr>
              <w:jc w:val="left"/>
              <w:rPr>
                <w:rFonts w:ascii="宋体" w:hAnsi="宋体" w:eastAsia="宋体"/>
                <w:b/>
                <w:bCs/>
                <w:szCs w:val="21"/>
              </w:rPr>
            </w:pPr>
            <w:r>
              <w:rPr>
                <w:rFonts w:hint="eastAsia" w:ascii="宋体" w:hAnsi="宋体" w:eastAsia="宋体"/>
                <w:b/>
                <w:bCs/>
                <w:szCs w:val="21"/>
              </w:rPr>
              <w:t>数量</w:t>
            </w:r>
          </w:p>
        </w:tc>
        <w:tc>
          <w:tcPr>
            <w:tcW w:w="1268" w:type="dxa"/>
            <w:vAlign w:val="center"/>
          </w:tcPr>
          <w:p>
            <w:pPr>
              <w:jc w:val="center"/>
              <w:rPr>
                <w:rFonts w:ascii="宋体" w:hAnsi="宋体" w:eastAsia="宋体"/>
                <w:b/>
                <w:bCs/>
                <w:szCs w:val="21"/>
              </w:rPr>
            </w:pPr>
            <w:r>
              <w:rPr>
                <w:rFonts w:hint="eastAsia" w:ascii="宋体" w:hAnsi="宋体" w:eastAsia="宋体"/>
                <w:b/>
                <w:bCs/>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908" w:type="dxa"/>
            <w:vMerge w:val="restart"/>
            <w:vAlign w:val="center"/>
          </w:tcPr>
          <w:p>
            <w:pPr>
              <w:jc w:val="center"/>
              <w:rPr>
                <w:rFonts w:ascii="宋体" w:hAnsi="宋体" w:eastAsia="宋体"/>
                <w:szCs w:val="21"/>
              </w:rPr>
            </w:pPr>
            <w:r>
              <w:rPr>
                <w:rFonts w:hint="eastAsia" w:ascii="宋体" w:hAnsi="宋体" w:eastAsia="宋体"/>
                <w:szCs w:val="21"/>
              </w:rPr>
              <w:t>巡检系统</w:t>
            </w:r>
          </w:p>
        </w:tc>
        <w:tc>
          <w:tcPr>
            <w:tcW w:w="4037" w:type="dxa"/>
            <w:vAlign w:val="center"/>
          </w:tcPr>
          <w:p>
            <w:pPr>
              <w:jc w:val="left"/>
              <w:rPr>
                <w:rFonts w:ascii="宋体" w:hAnsi="宋体" w:eastAsia="宋体"/>
                <w:szCs w:val="21"/>
              </w:rPr>
            </w:pPr>
            <w:r>
              <w:rPr>
                <w:rFonts w:hint="eastAsia" w:ascii="宋体" w:hAnsi="宋体" w:eastAsia="宋体"/>
                <w:szCs w:val="21"/>
              </w:rPr>
              <w:t>Oracle数据库</w:t>
            </w:r>
          </w:p>
        </w:tc>
        <w:tc>
          <w:tcPr>
            <w:tcW w:w="1704" w:type="dxa"/>
            <w:vAlign w:val="center"/>
          </w:tcPr>
          <w:p>
            <w:pPr>
              <w:jc w:val="center"/>
              <w:rPr>
                <w:rFonts w:ascii="宋体" w:hAnsi="宋体" w:eastAsia="宋体"/>
                <w:szCs w:val="21"/>
              </w:rPr>
            </w:pPr>
            <w:r>
              <w:rPr>
                <w:rFonts w:hint="eastAsia" w:ascii="宋体" w:hAnsi="宋体" w:eastAsia="宋体"/>
                <w:szCs w:val="21"/>
              </w:rPr>
              <w:t>10</w:t>
            </w:r>
          </w:p>
        </w:tc>
        <w:tc>
          <w:tcPr>
            <w:tcW w:w="1268" w:type="dxa"/>
            <w:vAlign w:val="center"/>
          </w:tcPr>
          <w:p>
            <w:pPr>
              <w:jc w:val="center"/>
              <w:rPr>
                <w:rFonts w:ascii="宋体" w:hAnsi="宋体" w:eastAsia="宋体"/>
                <w:szCs w:val="21"/>
              </w:rPr>
            </w:pPr>
            <w:r>
              <w:rPr>
                <w:rFonts w:hint="eastAsia" w:ascii="宋体" w:hAnsi="宋体" w:eastAsia="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908" w:type="dxa"/>
            <w:vMerge w:val="continue"/>
            <w:vAlign w:val="center"/>
          </w:tcPr>
          <w:p>
            <w:pPr>
              <w:jc w:val="center"/>
              <w:rPr>
                <w:rFonts w:ascii="宋体" w:hAnsi="宋体" w:eastAsia="宋体"/>
                <w:szCs w:val="21"/>
              </w:rPr>
            </w:pPr>
          </w:p>
        </w:tc>
        <w:tc>
          <w:tcPr>
            <w:tcW w:w="4037" w:type="dxa"/>
            <w:vAlign w:val="center"/>
          </w:tcPr>
          <w:p>
            <w:pPr>
              <w:jc w:val="left"/>
              <w:rPr>
                <w:rFonts w:ascii="宋体" w:hAnsi="宋体" w:eastAsia="宋体"/>
                <w:szCs w:val="21"/>
              </w:rPr>
            </w:pPr>
            <w:r>
              <w:rPr>
                <w:rFonts w:hint="eastAsia" w:ascii="宋体" w:hAnsi="宋体" w:eastAsia="宋体"/>
                <w:szCs w:val="21"/>
              </w:rPr>
              <w:t>SQL数据库</w:t>
            </w:r>
          </w:p>
        </w:tc>
        <w:tc>
          <w:tcPr>
            <w:tcW w:w="1704" w:type="dxa"/>
            <w:vAlign w:val="center"/>
          </w:tcPr>
          <w:p>
            <w:pPr>
              <w:jc w:val="center"/>
              <w:rPr>
                <w:rFonts w:ascii="宋体" w:hAnsi="宋体" w:eastAsia="宋体"/>
                <w:szCs w:val="21"/>
              </w:rPr>
            </w:pPr>
            <w:r>
              <w:rPr>
                <w:rFonts w:hint="eastAsia" w:ascii="宋体" w:hAnsi="宋体" w:eastAsia="宋体"/>
                <w:szCs w:val="21"/>
              </w:rPr>
              <w:t>10</w:t>
            </w:r>
          </w:p>
        </w:tc>
        <w:tc>
          <w:tcPr>
            <w:tcW w:w="1268" w:type="dxa"/>
            <w:vAlign w:val="center"/>
          </w:tcPr>
          <w:p>
            <w:pPr>
              <w:jc w:val="center"/>
              <w:rPr>
                <w:rFonts w:ascii="宋体" w:hAnsi="宋体" w:eastAsia="宋体"/>
                <w:szCs w:val="21"/>
              </w:rPr>
            </w:pPr>
            <w:r>
              <w:rPr>
                <w:rFonts w:hint="eastAsia" w:ascii="宋体" w:hAnsi="宋体" w:eastAsia="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908" w:type="dxa"/>
            <w:vMerge w:val="continue"/>
            <w:vAlign w:val="center"/>
          </w:tcPr>
          <w:p>
            <w:pPr>
              <w:jc w:val="center"/>
              <w:rPr>
                <w:rFonts w:ascii="宋体" w:hAnsi="宋体" w:eastAsia="宋体"/>
                <w:szCs w:val="21"/>
              </w:rPr>
            </w:pPr>
          </w:p>
        </w:tc>
        <w:tc>
          <w:tcPr>
            <w:tcW w:w="4037" w:type="dxa"/>
            <w:vAlign w:val="center"/>
          </w:tcPr>
          <w:p>
            <w:pPr>
              <w:jc w:val="left"/>
              <w:rPr>
                <w:rFonts w:ascii="宋体" w:hAnsi="宋体" w:eastAsia="宋体"/>
                <w:szCs w:val="21"/>
              </w:rPr>
            </w:pPr>
            <w:r>
              <w:rPr>
                <w:rFonts w:hint="eastAsia" w:ascii="宋体" w:hAnsi="宋体" w:eastAsia="宋体"/>
                <w:szCs w:val="21"/>
              </w:rPr>
              <w:t>虚拟化主机</w:t>
            </w:r>
          </w:p>
        </w:tc>
        <w:tc>
          <w:tcPr>
            <w:tcW w:w="1704" w:type="dxa"/>
            <w:vAlign w:val="center"/>
          </w:tcPr>
          <w:p>
            <w:pPr>
              <w:jc w:val="center"/>
              <w:rPr>
                <w:rFonts w:ascii="宋体" w:hAnsi="宋体" w:eastAsia="宋体"/>
                <w:szCs w:val="21"/>
              </w:rPr>
            </w:pPr>
            <w:r>
              <w:rPr>
                <w:rFonts w:hint="eastAsia" w:ascii="宋体" w:hAnsi="宋体" w:eastAsia="宋体"/>
                <w:szCs w:val="21"/>
              </w:rPr>
              <w:t>145</w:t>
            </w:r>
          </w:p>
        </w:tc>
        <w:tc>
          <w:tcPr>
            <w:tcW w:w="1268" w:type="dxa"/>
            <w:vAlign w:val="center"/>
          </w:tcPr>
          <w:p>
            <w:pPr>
              <w:jc w:val="cente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Align w:val="center"/>
          </w:tcPr>
          <w:p>
            <w:pPr>
              <w:jc w:val="center"/>
              <w:rPr>
                <w:rFonts w:ascii="宋体" w:hAnsi="宋体" w:eastAsia="宋体"/>
                <w:szCs w:val="21"/>
              </w:rPr>
            </w:pPr>
            <w:r>
              <w:rPr>
                <w:rFonts w:hint="eastAsia" w:ascii="宋体" w:hAnsi="宋体" w:eastAsia="宋体"/>
                <w:szCs w:val="21"/>
              </w:rPr>
              <w:t>系统软件</w:t>
            </w:r>
          </w:p>
        </w:tc>
        <w:tc>
          <w:tcPr>
            <w:tcW w:w="4037" w:type="dxa"/>
            <w:vAlign w:val="center"/>
          </w:tcPr>
          <w:p>
            <w:pPr>
              <w:jc w:val="left"/>
              <w:rPr>
                <w:rFonts w:ascii="宋体" w:hAnsi="宋体" w:eastAsia="宋体"/>
                <w:szCs w:val="21"/>
              </w:rPr>
            </w:pPr>
            <w:r>
              <w:rPr>
                <w:rFonts w:hint="eastAsia" w:ascii="宋体" w:hAnsi="宋体" w:eastAsia="宋体"/>
                <w:szCs w:val="21"/>
              </w:rPr>
              <w:t>含AIX、HACMP、windows、linux vmware系统等</w:t>
            </w:r>
          </w:p>
        </w:tc>
        <w:tc>
          <w:tcPr>
            <w:tcW w:w="1704" w:type="dxa"/>
            <w:vAlign w:val="center"/>
          </w:tcPr>
          <w:p>
            <w:pPr>
              <w:jc w:val="center"/>
              <w:rPr>
                <w:rFonts w:ascii="宋体" w:hAnsi="宋体" w:eastAsia="宋体"/>
                <w:szCs w:val="21"/>
              </w:rPr>
            </w:pPr>
            <w:r>
              <w:rPr>
                <w:rFonts w:hint="eastAsia" w:ascii="宋体" w:hAnsi="宋体" w:cs="微软雅黑"/>
                <w:kern w:val="0"/>
                <w:szCs w:val="21"/>
              </w:rPr>
              <w:t>不限</w:t>
            </w: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restart"/>
            <w:vAlign w:val="center"/>
          </w:tcPr>
          <w:p>
            <w:pPr>
              <w:autoSpaceDE w:val="0"/>
              <w:autoSpaceDN w:val="0"/>
              <w:adjustRightInd w:val="0"/>
              <w:jc w:val="left"/>
              <w:rPr>
                <w:rFonts w:ascii="宋体" w:hAnsi="宋体" w:eastAsia="宋体"/>
                <w:szCs w:val="21"/>
              </w:rPr>
            </w:pPr>
            <w:r>
              <w:rPr>
                <w:rFonts w:ascii="宋体" w:hAnsi="宋体" w:cs="Lucida Console"/>
                <w:kern w:val="0"/>
                <w:szCs w:val="21"/>
              </w:rPr>
              <w:t>Oracle</w:t>
            </w:r>
            <w:r>
              <w:rPr>
                <w:rFonts w:hint="eastAsia" w:ascii="宋体" w:hAnsi="宋体" w:cs="微软雅黑 Bold"/>
                <w:kern w:val="0"/>
                <w:szCs w:val="21"/>
              </w:rPr>
              <w:t>日常运行服务基本包</w:t>
            </w: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数据库管理使用支持</w:t>
            </w:r>
          </w:p>
        </w:tc>
        <w:tc>
          <w:tcPr>
            <w:tcW w:w="1704" w:type="dxa"/>
            <w:vMerge w:val="restart"/>
            <w:vAlign w:val="center"/>
          </w:tcPr>
          <w:p>
            <w:pPr>
              <w:jc w:val="center"/>
              <w:rPr>
                <w:rFonts w:ascii="宋体" w:hAnsi="宋体" w:cs="微软雅黑"/>
                <w:kern w:val="0"/>
                <w:szCs w:val="21"/>
              </w:rPr>
            </w:pPr>
            <w:r>
              <w:rPr>
                <w:rFonts w:hint="eastAsia" w:ascii="宋体" w:hAnsi="宋体" w:eastAsia="宋体"/>
                <w:szCs w:val="21"/>
              </w:rPr>
              <w:t>不限</w:t>
            </w: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对系统</w:t>
            </w:r>
            <w:r>
              <w:rPr>
                <w:rFonts w:ascii="宋体" w:hAnsi="宋体" w:cs="微软雅黑"/>
                <w:kern w:val="0"/>
                <w:szCs w:val="21"/>
              </w:rPr>
              <w:t xml:space="preserve"> </w:t>
            </w:r>
            <w:r>
              <w:rPr>
                <w:rFonts w:ascii="宋体" w:hAnsi="宋体" w:cs="Lucida Console"/>
                <w:kern w:val="0"/>
                <w:szCs w:val="21"/>
              </w:rPr>
              <w:t xml:space="preserve">LOG </w:t>
            </w:r>
            <w:r>
              <w:rPr>
                <w:rFonts w:hint="eastAsia" w:ascii="宋体" w:hAnsi="宋体" w:cs="微软雅黑"/>
                <w:kern w:val="0"/>
                <w:szCs w:val="21"/>
              </w:rPr>
              <w:t>及数据库分析，预防严重问题的出现</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提供最新补丁集建议和相关准备和协调工作</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数据库检查系统在备份</w:t>
            </w:r>
            <w:r>
              <w:rPr>
                <w:rFonts w:ascii="宋体" w:hAnsi="宋体"/>
                <w:kern w:val="0"/>
                <w:szCs w:val="21"/>
              </w:rPr>
              <w:t xml:space="preserve"> </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协调计划</w:t>
            </w:r>
            <w:r>
              <w:rPr>
                <w:rFonts w:ascii="宋体" w:hAnsi="宋体" w:cs="微软雅黑"/>
                <w:kern w:val="0"/>
                <w:szCs w:val="21"/>
              </w:rPr>
              <w:t xml:space="preserve"> </w:t>
            </w:r>
            <w:r>
              <w:rPr>
                <w:rFonts w:ascii="宋体" w:hAnsi="宋体" w:cs="Lucida Console"/>
                <w:kern w:val="0"/>
                <w:szCs w:val="21"/>
              </w:rPr>
              <w:t xml:space="preserve">DBA </w:t>
            </w:r>
            <w:r>
              <w:rPr>
                <w:rFonts w:hint="eastAsia" w:ascii="宋体" w:hAnsi="宋体" w:cs="微软雅黑"/>
                <w:kern w:val="0"/>
                <w:szCs w:val="21"/>
              </w:rPr>
              <w:t>工作</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jc w:val="left"/>
              <w:rPr>
                <w:rFonts w:ascii="宋体" w:hAnsi="宋体" w:eastAsia="宋体"/>
                <w:szCs w:val="21"/>
              </w:rPr>
            </w:pPr>
            <w:r>
              <w:rPr>
                <w:rFonts w:hint="eastAsia" w:ascii="宋体" w:hAnsi="宋体" w:cs="微软雅黑"/>
                <w:kern w:val="0"/>
                <w:szCs w:val="21"/>
              </w:rPr>
              <w:t>数据库性能监控</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提供数据库配置的管理和跟踪</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提交数据库配置报告</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提供对空间变更使用的规划和管理与扩容。</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数据库定时备份与数据库损坏恢复</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提供保障，确定详细的步骤，使目前备份与恢复计划满足用户需求</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jc w:val="left"/>
              <w:rPr>
                <w:rFonts w:ascii="宋体" w:hAnsi="宋体" w:eastAsia="宋体"/>
                <w:szCs w:val="21"/>
              </w:rPr>
            </w:pPr>
            <w:r>
              <w:rPr>
                <w:rFonts w:hint="eastAsia" w:ascii="宋体" w:hAnsi="宋体"/>
                <w:szCs w:val="21"/>
              </w:rPr>
              <w:t>确认解决方案的正确</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jc w:val="left"/>
              <w:rPr>
                <w:rFonts w:ascii="宋体" w:hAnsi="宋体" w:eastAsia="宋体"/>
                <w:szCs w:val="21"/>
              </w:rPr>
            </w:pPr>
            <w:r>
              <w:rPr>
                <w:rFonts w:hint="eastAsia" w:ascii="宋体" w:hAnsi="宋体"/>
                <w:szCs w:val="21"/>
              </w:rPr>
              <w:t>提供解决方案</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jc w:val="left"/>
              <w:rPr>
                <w:rFonts w:ascii="宋体" w:hAnsi="宋体" w:eastAsia="宋体"/>
                <w:szCs w:val="21"/>
              </w:rPr>
            </w:pPr>
            <w:r>
              <w:rPr>
                <w:rFonts w:hint="eastAsia" w:ascii="宋体" w:hAnsi="宋体"/>
                <w:szCs w:val="21"/>
              </w:rPr>
              <w:t>实施解决方案</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jc w:val="left"/>
              <w:rPr>
                <w:rFonts w:ascii="宋体" w:hAnsi="宋体" w:eastAsia="宋体"/>
                <w:szCs w:val="21"/>
              </w:rPr>
            </w:pPr>
            <w:r>
              <w:rPr>
                <w:rFonts w:hint="eastAsia" w:ascii="宋体" w:hAnsi="宋体"/>
                <w:szCs w:val="21"/>
              </w:rPr>
              <w:t>跟踪确认解决方案的有效性</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r>
              <w:rPr>
                <w:rFonts w:hint="eastAsia" w:ascii="宋体" w:hAnsi="宋体" w:eastAsia="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restart"/>
            <w:vAlign w:val="center"/>
          </w:tcPr>
          <w:p>
            <w:pPr>
              <w:rPr>
                <w:rFonts w:ascii="宋体" w:hAnsi="宋体" w:eastAsia="宋体"/>
                <w:szCs w:val="21"/>
              </w:rPr>
            </w:pPr>
            <w:r>
              <w:rPr>
                <w:rFonts w:hint="eastAsia" w:ascii="宋体" w:hAnsi="宋体" w:cs="微软雅黑 Bold"/>
                <w:kern w:val="0"/>
                <w:szCs w:val="21"/>
              </w:rPr>
              <w:t>系统巡检健康服务包</w:t>
            </w:r>
          </w:p>
        </w:tc>
        <w:tc>
          <w:tcPr>
            <w:tcW w:w="4037" w:type="dxa"/>
            <w:vAlign w:val="center"/>
          </w:tcPr>
          <w:p>
            <w:pPr>
              <w:jc w:val="left"/>
              <w:rPr>
                <w:rFonts w:ascii="宋体" w:hAnsi="宋体" w:eastAsia="宋体"/>
                <w:szCs w:val="21"/>
              </w:rPr>
            </w:pPr>
            <w:r>
              <w:rPr>
                <w:rFonts w:hint="eastAsia" w:ascii="宋体" w:hAnsi="宋体" w:cs="微软雅黑"/>
                <w:kern w:val="0"/>
                <w:szCs w:val="21"/>
              </w:rPr>
              <w:t>系统和数据库的可用性</w:t>
            </w:r>
          </w:p>
        </w:tc>
        <w:tc>
          <w:tcPr>
            <w:tcW w:w="1704" w:type="dxa"/>
            <w:vMerge w:val="restart"/>
            <w:vAlign w:val="center"/>
          </w:tcPr>
          <w:p>
            <w:pPr>
              <w:jc w:val="center"/>
              <w:rPr>
                <w:rFonts w:ascii="宋体" w:hAnsi="宋体" w:cs="微软雅黑"/>
                <w:kern w:val="0"/>
                <w:szCs w:val="21"/>
              </w:rPr>
            </w:pPr>
            <w:r>
              <w:rPr>
                <w:rFonts w:hint="eastAsia" w:ascii="宋体" w:hAnsi="宋体" w:eastAsia="宋体"/>
                <w:szCs w:val="21"/>
              </w:rPr>
              <w:t>&gt;12</w:t>
            </w: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系统和数据库的完整性</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系统、数据库和应用的性能</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对您的系统结构及运作架构进行高层面的评测</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通过与您机构中关键人员的系列面谈来计录和评估整体要求</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定位您系统的运作流程中潜在的风险区域</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产生基于</w:t>
            </w:r>
            <w:r>
              <w:rPr>
                <w:rFonts w:ascii="宋体" w:hAnsi="宋体" w:cs="微软雅黑"/>
                <w:kern w:val="0"/>
                <w:szCs w:val="21"/>
              </w:rPr>
              <w:t xml:space="preserve"> </w:t>
            </w:r>
            <w:r>
              <w:rPr>
                <w:rFonts w:ascii="宋体" w:hAnsi="宋体" w:cs="Lucida Console"/>
                <w:kern w:val="0"/>
                <w:szCs w:val="21"/>
              </w:rPr>
              <w:t xml:space="preserve">Oracle </w:t>
            </w:r>
            <w:r>
              <w:rPr>
                <w:rFonts w:hint="eastAsia" w:ascii="宋体" w:hAnsi="宋体" w:cs="微软雅黑"/>
                <w:kern w:val="0"/>
                <w:szCs w:val="21"/>
              </w:rPr>
              <w:t>最佳应用准则的建议报告</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针对数据库文件分布的变化提出建议，以更好的使用现有资源</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rPr>
                <w:rFonts w:ascii="宋体" w:hAnsi="宋体" w:eastAsia="宋体"/>
                <w:szCs w:val="21"/>
              </w:rPr>
            </w:pPr>
            <w:r>
              <w:rPr>
                <w:rFonts w:hint="eastAsia" w:ascii="宋体" w:hAnsi="宋体" w:cs="微软雅黑"/>
                <w:kern w:val="0"/>
                <w:szCs w:val="21"/>
              </w:rPr>
              <w:t>使用经过检验的工具、脚本等以得到更好的效果</w:t>
            </w:r>
            <w:r>
              <w:rPr>
                <w:rFonts w:ascii="宋体" w:hAnsi="宋体" w:cs="微软雅黑"/>
                <w:kern w:val="0"/>
                <w:szCs w:val="21"/>
              </w:rPr>
              <w:t xml:space="preserve"> </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rPr>
                <w:rFonts w:ascii="宋体" w:hAnsi="宋体" w:eastAsia="宋体"/>
                <w:szCs w:val="21"/>
              </w:rPr>
            </w:pPr>
            <w:r>
              <w:rPr>
                <w:rFonts w:hint="eastAsia" w:ascii="宋体" w:hAnsi="宋体" w:cs="微软雅黑"/>
                <w:kern w:val="0"/>
                <w:szCs w:val="21"/>
              </w:rPr>
              <w:t>评测相应的软件功能</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rPr>
                <w:rFonts w:ascii="宋体" w:hAnsi="宋体" w:eastAsia="宋体"/>
                <w:szCs w:val="21"/>
              </w:rPr>
            </w:pPr>
            <w:r>
              <w:rPr>
                <w:rFonts w:hint="eastAsia" w:ascii="宋体" w:hAnsi="宋体" w:cs="微软雅黑"/>
                <w:kern w:val="0"/>
                <w:szCs w:val="21"/>
              </w:rPr>
              <w:t>确认系统中已存在或潜在的问题</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产生基于</w:t>
            </w:r>
            <w:r>
              <w:rPr>
                <w:rFonts w:ascii="宋体" w:hAnsi="宋体" w:cs="微软雅黑"/>
                <w:kern w:val="0"/>
                <w:szCs w:val="21"/>
              </w:rPr>
              <w:t xml:space="preserve"> </w:t>
            </w:r>
            <w:r>
              <w:rPr>
                <w:rFonts w:ascii="宋体" w:hAnsi="宋体" w:cs="Lucida Console"/>
                <w:kern w:val="0"/>
                <w:szCs w:val="21"/>
              </w:rPr>
              <w:t xml:space="preserve">Oracle </w:t>
            </w:r>
            <w:r>
              <w:rPr>
                <w:rFonts w:hint="eastAsia" w:ascii="宋体" w:hAnsi="宋体" w:cs="微软雅黑"/>
                <w:kern w:val="0"/>
                <w:szCs w:val="21"/>
              </w:rPr>
              <w:t>最佳应用准则的性能调整建议报告</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数据损环</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问题影响业务不能进行</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restart"/>
            <w:vAlign w:val="center"/>
          </w:tcPr>
          <w:p>
            <w:pPr>
              <w:autoSpaceDE w:val="0"/>
              <w:autoSpaceDN w:val="0"/>
              <w:adjustRightInd w:val="0"/>
              <w:jc w:val="left"/>
              <w:rPr>
                <w:rFonts w:ascii="宋体" w:hAnsi="宋体" w:eastAsia="宋体"/>
                <w:szCs w:val="21"/>
              </w:rPr>
            </w:pPr>
            <w:r>
              <w:rPr>
                <w:rFonts w:hint="eastAsia" w:ascii="宋体" w:hAnsi="宋体" w:cs="微软雅黑 Bold"/>
                <w:kern w:val="0"/>
                <w:szCs w:val="21"/>
              </w:rPr>
              <w:t>软件补丁升级服务包</w:t>
            </w: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补丁升级计划确定</w:t>
            </w:r>
          </w:p>
        </w:tc>
        <w:tc>
          <w:tcPr>
            <w:tcW w:w="1704" w:type="dxa"/>
            <w:vMerge w:val="restart"/>
            <w:vAlign w:val="center"/>
          </w:tcPr>
          <w:p>
            <w:pPr>
              <w:jc w:val="center"/>
              <w:rPr>
                <w:rFonts w:ascii="宋体" w:hAnsi="宋体" w:cs="微软雅黑"/>
                <w:kern w:val="0"/>
                <w:szCs w:val="21"/>
              </w:rPr>
            </w:pPr>
            <w:r>
              <w:rPr>
                <w:rFonts w:hint="eastAsia" w:ascii="宋体" w:hAnsi="宋体"/>
                <w:kern w:val="0"/>
                <w:szCs w:val="21"/>
              </w:rPr>
              <w:t>按实际需求进行。</w:t>
            </w: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补丁升级前准备</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rPr>
                <w:rFonts w:ascii="宋体" w:hAnsi="宋体" w:eastAsia="宋体"/>
                <w:szCs w:val="21"/>
              </w:rPr>
            </w:pPr>
            <w:r>
              <w:rPr>
                <w:rFonts w:hint="eastAsia" w:ascii="宋体" w:hAnsi="宋体" w:cs="微软雅黑"/>
                <w:kern w:val="0"/>
                <w:szCs w:val="21"/>
              </w:rPr>
              <w:t>补丁升级操作</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数据库运行观测</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意外问题处理</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restart"/>
            <w:vAlign w:val="center"/>
          </w:tcPr>
          <w:p>
            <w:pPr>
              <w:rPr>
                <w:rFonts w:ascii="宋体" w:hAnsi="宋体" w:eastAsia="宋体"/>
                <w:szCs w:val="21"/>
              </w:rPr>
            </w:pPr>
            <w:r>
              <w:rPr>
                <w:rFonts w:hint="eastAsia" w:ascii="宋体" w:hAnsi="宋体"/>
                <w:szCs w:val="21"/>
              </w:rPr>
              <w:t>重建数据库服务包</w:t>
            </w:r>
          </w:p>
        </w:tc>
        <w:tc>
          <w:tcPr>
            <w:tcW w:w="4037" w:type="dxa"/>
            <w:vAlign w:val="center"/>
          </w:tcPr>
          <w:p>
            <w:pPr>
              <w:autoSpaceDE w:val="0"/>
              <w:autoSpaceDN w:val="0"/>
              <w:adjustRightInd w:val="0"/>
              <w:jc w:val="left"/>
              <w:rPr>
                <w:rFonts w:ascii="宋体" w:hAnsi="宋体" w:eastAsia="宋体"/>
                <w:sz w:val="18"/>
                <w:szCs w:val="18"/>
              </w:rPr>
            </w:pPr>
            <w:r>
              <w:rPr>
                <w:rFonts w:hint="eastAsia" w:ascii="宋体" w:hAnsi="宋体" w:cs="微软雅黑"/>
                <w:kern w:val="0"/>
                <w:sz w:val="18"/>
                <w:szCs w:val="18"/>
              </w:rPr>
              <w:t>用户故障数据库的恢复工作，将灾难造成的损失降低到最低</w:t>
            </w:r>
          </w:p>
        </w:tc>
        <w:tc>
          <w:tcPr>
            <w:tcW w:w="1704" w:type="dxa"/>
            <w:vMerge w:val="restart"/>
            <w:vAlign w:val="center"/>
          </w:tcPr>
          <w:p>
            <w:pPr>
              <w:jc w:val="center"/>
              <w:rPr>
                <w:rFonts w:ascii="宋体" w:hAnsi="宋体" w:cs="微软雅黑"/>
                <w:kern w:val="0"/>
                <w:szCs w:val="21"/>
              </w:rPr>
            </w:pPr>
            <w:r>
              <w:rPr>
                <w:rFonts w:hint="eastAsia" w:ascii="宋体" w:hAnsi="宋体"/>
                <w:kern w:val="0"/>
                <w:szCs w:val="21"/>
              </w:rPr>
              <w:t>按实际需求进行。</w:t>
            </w: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 w:val="18"/>
                <w:szCs w:val="18"/>
              </w:rPr>
            </w:pPr>
            <w:r>
              <w:rPr>
                <w:rFonts w:hint="eastAsia" w:ascii="宋体" w:hAnsi="宋体" w:cs="微软雅黑"/>
                <w:kern w:val="0"/>
                <w:sz w:val="18"/>
                <w:szCs w:val="18"/>
              </w:rPr>
              <w:t>数据库重建或数据恢复</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Align w:val="center"/>
          </w:tcPr>
          <w:p>
            <w:pPr>
              <w:autoSpaceDE w:val="0"/>
              <w:autoSpaceDN w:val="0"/>
              <w:adjustRightInd w:val="0"/>
              <w:jc w:val="left"/>
              <w:rPr>
                <w:rFonts w:ascii="宋体" w:hAnsi="宋体" w:eastAsia="宋体"/>
                <w:szCs w:val="21"/>
              </w:rPr>
            </w:pPr>
            <w:r>
              <w:rPr>
                <w:rFonts w:hint="eastAsia" w:ascii="宋体" w:hAnsi="宋体"/>
                <w:kern w:val="0"/>
                <w:szCs w:val="21"/>
              </w:rPr>
              <w:t>数据库迁移服务包</w:t>
            </w:r>
          </w:p>
        </w:tc>
        <w:tc>
          <w:tcPr>
            <w:tcW w:w="4037" w:type="dxa"/>
            <w:vAlign w:val="center"/>
          </w:tcPr>
          <w:p>
            <w:pPr>
              <w:autoSpaceDE w:val="0"/>
              <w:autoSpaceDN w:val="0"/>
              <w:adjustRightInd w:val="0"/>
              <w:jc w:val="left"/>
              <w:rPr>
                <w:rFonts w:ascii="宋体" w:hAnsi="宋体" w:eastAsia="宋体"/>
                <w:sz w:val="18"/>
                <w:szCs w:val="18"/>
              </w:rPr>
            </w:pPr>
            <w:r>
              <w:rPr>
                <w:rFonts w:hint="eastAsia" w:ascii="宋体" w:hAnsi="宋体" w:cs="微软雅黑"/>
                <w:kern w:val="0"/>
                <w:sz w:val="18"/>
                <w:szCs w:val="18"/>
              </w:rPr>
              <w:t>辅助备份与恢复计划的测试</w:t>
            </w:r>
          </w:p>
        </w:tc>
        <w:tc>
          <w:tcPr>
            <w:tcW w:w="1704" w:type="dxa"/>
            <w:vAlign w:val="center"/>
          </w:tcPr>
          <w:p>
            <w:pPr>
              <w:jc w:val="center"/>
              <w:rPr>
                <w:rFonts w:ascii="宋体" w:hAnsi="宋体" w:cs="微软雅黑"/>
                <w:kern w:val="0"/>
                <w:szCs w:val="21"/>
              </w:rPr>
            </w:pPr>
            <w:r>
              <w:rPr>
                <w:rFonts w:hint="eastAsia" w:ascii="宋体" w:hAnsi="宋体"/>
                <w:kern w:val="0"/>
                <w:szCs w:val="21"/>
              </w:rPr>
              <w:t>按实际需求进行。</w:t>
            </w: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restart"/>
            <w:vAlign w:val="center"/>
          </w:tcPr>
          <w:p>
            <w:pPr>
              <w:jc w:val="center"/>
              <w:rPr>
                <w:rFonts w:ascii="宋体" w:hAnsi="宋体" w:eastAsia="宋体"/>
                <w:szCs w:val="21"/>
              </w:rPr>
            </w:pPr>
            <w:r>
              <w:rPr>
                <w:rFonts w:hint="eastAsia" w:ascii="宋体" w:hAnsi="宋体"/>
                <w:szCs w:val="21"/>
              </w:rPr>
              <w:t>专家支持服务包</w:t>
            </w:r>
          </w:p>
        </w:tc>
        <w:tc>
          <w:tcPr>
            <w:tcW w:w="4037" w:type="dxa"/>
            <w:vAlign w:val="center"/>
          </w:tcPr>
          <w:p>
            <w:pPr>
              <w:autoSpaceDE w:val="0"/>
              <w:autoSpaceDN w:val="0"/>
              <w:adjustRightInd w:val="0"/>
              <w:jc w:val="left"/>
              <w:rPr>
                <w:rFonts w:ascii="宋体" w:hAnsi="宋体" w:eastAsia="宋体"/>
                <w:sz w:val="18"/>
                <w:szCs w:val="18"/>
              </w:rPr>
            </w:pPr>
            <w:r>
              <w:rPr>
                <w:rFonts w:hint="eastAsia" w:ascii="宋体" w:hAnsi="宋体" w:cs="微软雅黑"/>
                <w:kern w:val="0"/>
                <w:sz w:val="18"/>
                <w:szCs w:val="18"/>
              </w:rPr>
              <w:t>软件安装帮助（</w:t>
            </w:r>
            <w:r>
              <w:rPr>
                <w:rFonts w:ascii="宋体" w:hAnsi="宋体" w:cs="微软雅黑"/>
                <w:kern w:val="0"/>
                <w:sz w:val="18"/>
                <w:szCs w:val="18"/>
              </w:rPr>
              <w:t>Oracle</w:t>
            </w:r>
            <w:r>
              <w:rPr>
                <w:rFonts w:hint="eastAsia" w:ascii="宋体" w:hAnsi="宋体" w:cs="微软雅黑"/>
                <w:kern w:val="0"/>
                <w:sz w:val="18"/>
                <w:szCs w:val="18"/>
              </w:rPr>
              <w:t>）</w:t>
            </w:r>
          </w:p>
        </w:tc>
        <w:tc>
          <w:tcPr>
            <w:tcW w:w="1704" w:type="dxa"/>
            <w:vMerge w:val="restart"/>
            <w:vAlign w:val="center"/>
          </w:tcPr>
          <w:p>
            <w:pPr>
              <w:jc w:val="center"/>
              <w:rPr>
                <w:rFonts w:ascii="宋体" w:hAnsi="宋体" w:cs="微软雅黑"/>
                <w:kern w:val="0"/>
                <w:szCs w:val="21"/>
              </w:rPr>
            </w:pPr>
            <w:r>
              <w:rPr>
                <w:rFonts w:hint="eastAsia" w:ascii="宋体" w:hAnsi="宋体" w:eastAsia="宋体"/>
                <w:szCs w:val="21"/>
              </w:rPr>
              <w:t>&gt;12</w:t>
            </w: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 w:val="18"/>
                <w:szCs w:val="18"/>
              </w:rPr>
            </w:pPr>
            <w:r>
              <w:rPr>
                <w:rFonts w:hint="eastAsia" w:ascii="宋体" w:hAnsi="宋体" w:cs="微软雅黑"/>
                <w:kern w:val="0"/>
                <w:sz w:val="18"/>
                <w:szCs w:val="18"/>
              </w:rPr>
              <w:t>软件升级的规划和实施</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 w:val="18"/>
                <w:szCs w:val="18"/>
              </w:rPr>
            </w:pPr>
            <w:r>
              <w:rPr>
                <w:rFonts w:hint="eastAsia" w:ascii="宋体" w:hAnsi="宋体" w:cs="微软雅黑"/>
                <w:kern w:val="0"/>
                <w:sz w:val="18"/>
                <w:szCs w:val="18"/>
              </w:rPr>
              <w:t>数据库的重新规划</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 w:val="18"/>
                <w:szCs w:val="18"/>
              </w:rPr>
            </w:pPr>
            <w:r>
              <w:rPr>
                <w:rFonts w:hint="eastAsia" w:ascii="宋体" w:hAnsi="宋体" w:cs="微软雅黑"/>
                <w:kern w:val="0"/>
                <w:sz w:val="18"/>
                <w:szCs w:val="18"/>
              </w:rPr>
              <w:t>现场问题的诊断及分析</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rPr>
                <w:rFonts w:ascii="宋体" w:hAnsi="宋体" w:eastAsia="宋体"/>
                <w:sz w:val="18"/>
                <w:szCs w:val="18"/>
              </w:rPr>
            </w:pPr>
            <w:r>
              <w:rPr>
                <w:rFonts w:hint="eastAsia" w:ascii="宋体" w:hAnsi="宋体"/>
                <w:sz w:val="18"/>
                <w:szCs w:val="18"/>
              </w:rPr>
              <w:t>实施问题的解决方案</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 w:val="18"/>
                <w:szCs w:val="18"/>
              </w:rPr>
            </w:pPr>
            <w:r>
              <w:rPr>
                <w:rFonts w:hint="eastAsia" w:ascii="宋体" w:hAnsi="宋体" w:cs="微软雅黑"/>
                <w:kern w:val="0"/>
                <w:sz w:val="18"/>
                <w:szCs w:val="18"/>
              </w:rPr>
              <w:t>操作系统故障的紧急处理</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 w:val="18"/>
                <w:szCs w:val="18"/>
              </w:rPr>
            </w:pPr>
            <w:r>
              <w:rPr>
                <w:rFonts w:hint="eastAsia" w:ascii="宋体" w:hAnsi="宋体" w:cs="微软雅黑"/>
                <w:kern w:val="0"/>
                <w:sz w:val="18"/>
                <w:szCs w:val="18"/>
              </w:rPr>
              <w:t>数据库性能调整</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 w:val="18"/>
                <w:szCs w:val="18"/>
              </w:rPr>
            </w:pPr>
            <w:r>
              <w:rPr>
                <w:rFonts w:hint="eastAsia" w:ascii="宋体" w:hAnsi="宋体" w:cs="微软雅黑"/>
                <w:kern w:val="0"/>
                <w:sz w:val="18"/>
                <w:szCs w:val="18"/>
              </w:rPr>
              <w:t>数据库碎片整理服务</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restart"/>
            <w:vAlign w:val="center"/>
          </w:tcPr>
          <w:p>
            <w:pPr>
              <w:rPr>
                <w:rFonts w:ascii="宋体" w:hAnsi="宋体" w:eastAsia="宋体"/>
                <w:szCs w:val="21"/>
              </w:rPr>
            </w:pPr>
            <w:r>
              <w:rPr>
                <w:rFonts w:hint="eastAsia" w:ascii="宋体" w:hAnsi="宋体"/>
                <w:szCs w:val="21"/>
              </w:rPr>
              <w:t>知识共享服务包</w:t>
            </w: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电子邮件热线服务</w:t>
            </w:r>
          </w:p>
        </w:tc>
        <w:tc>
          <w:tcPr>
            <w:tcW w:w="1704" w:type="dxa"/>
            <w:vMerge w:val="restart"/>
            <w:vAlign w:val="center"/>
          </w:tcPr>
          <w:p>
            <w:pPr>
              <w:jc w:val="center"/>
              <w:rPr>
                <w:rFonts w:ascii="宋体" w:hAnsi="宋体" w:cs="微软雅黑"/>
                <w:kern w:val="0"/>
                <w:szCs w:val="21"/>
              </w:rPr>
            </w:pPr>
            <w:r>
              <w:rPr>
                <w:rFonts w:hint="eastAsia" w:ascii="宋体" w:hAnsi="宋体"/>
                <w:kern w:val="0"/>
                <w:szCs w:val="21"/>
              </w:rPr>
              <w:t>按实际需求进行。</w:t>
            </w: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电子邮件列表信息服务</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专家知识库共享服务</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restart"/>
            <w:vAlign w:val="center"/>
          </w:tcPr>
          <w:p>
            <w:pPr>
              <w:rPr>
                <w:rFonts w:ascii="宋体" w:hAnsi="宋体" w:eastAsia="宋体"/>
                <w:szCs w:val="21"/>
              </w:rPr>
            </w:pPr>
            <w:r>
              <w:rPr>
                <w:rFonts w:hint="eastAsia" w:ascii="宋体" w:hAnsi="宋体"/>
                <w:szCs w:val="21"/>
              </w:rPr>
              <w:t>增值服务包</w:t>
            </w:r>
          </w:p>
        </w:tc>
        <w:tc>
          <w:tcPr>
            <w:tcW w:w="4037" w:type="dxa"/>
            <w:vAlign w:val="center"/>
          </w:tcPr>
          <w:p>
            <w:pPr>
              <w:autoSpaceDE w:val="0"/>
              <w:autoSpaceDN w:val="0"/>
              <w:adjustRightInd w:val="0"/>
              <w:jc w:val="left"/>
              <w:rPr>
                <w:rFonts w:ascii="宋体" w:hAnsi="宋体" w:eastAsia="宋体"/>
                <w:szCs w:val="21"/>
              </w:rPr>
            </w:pPr>
            <w:r>
              <w:rPr>
                <w:rFonts w:ascii="宋体" w:hAnsi="宋体"/>
                <w:szCs w:val="21"/>
              </w:rPr>
              <w:t>Oracle</w:t>
            </w:r>
            <w:r>
              <w:rPr>
                <w:rFonts w:hint="eastAsia" w:ascii="宋体" w:hAnsi="宋体"/>
                <w:szCs w:val="21"/>
              </w:rPr>
              <w:t>备份、恢复测试演练</w:t>
            </w:r>
          </w:p>
        </w:tc>
        <w:tc>
          <w:tcPr>
            <w:tcW w:w="1704" w:type="dxa"/>
            <w:vMerge w:val="restart"/>
            <w:vAlign w:val="center"/>
          </w:tcPr>
          <w:p>
            <w:pPr>
              <w:jc w:val="center"/>
              <w:rPr>
                <w:rFonts w:ascii="宋体" w:hAnsi="宋体" w:cs="微软雅黑"/>
                <w:kern w:val="0"/>
                <w:szCs w:val="21"/>
              </w:rPr>
            </w:pPr>
            <w:r>
              <w:rPr>
                <w:rFonts w:hint="eastAsia" w:ascii="宋体" w:hAnsi="宋体" w:eastAsia="宋体"/>
                <w:szCs w:val="21"/>
              </w:rPr>
              <w:t>&gt;2</w:t>
            </w: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ascii="宋体" w:hAnsi="宋体"/>
                <w:szCs w:val="21"/>
              </w:rPr>
              <w:t>Oracle</w:t>
            </w:r>
            <w:r>
              <w:rPr>
                <w:rFonts w:hint="eastAsia" w:ascii="宋体" w:hAnsi="宋体"/>
                <w:szCs w:val="21"/>
              </w:rPr>
              <w:t xml:space="preserve">  现场咨询服务</w:t>
            </w:r>
          </w:p>
        </w:tc>
        <w:tc>
          <w:tcPr>
            <w:tcW w:w="1704" w:type="dxa"/>
            <w:vMerge w:val="continue"/>
            <w:vAlign w:val="center"/>
          </w:tcPr>
          <w:p>
            <w:pPr>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restart"/>
            <w:vAlign w:val="center"/>
          </w:tcPr>
          <w:p>
            <w:pPr>
              <w:rPr>
                <w:rFonts w:ascii="宋体" w:hAnsi="宋体" w:eastAsia="宋体"/>
                <w:szCs w:val="21"/>
              </w:rPr>
            </w:pPr>
            <w:r>
              <w:rPr>
                <w:rFonts w:hint="eastAsia" w:ascii="宋体" w:hAnsi="宋体"/>
                <w:szCs w:val="21"/>
              </w:rPr>
              <w:t>文档管理包</w:t>
            </w: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与用户确认有效的系统维护机制</w:t>
            </w:r>
          </w:p>
        </w:tc>
        <w:tc>
          <w:tcPr>
            <w:tcW w:w="1704" w:type="dxa"/>
            <w:vMerge w:val="restart"/>
            <w:vAlign w:val="center"/>
          </w:tcPr>
          <w:p>
            <w:pPr>
              <w:autoSpaceDE w:val="0"/>
              <w:autoSpaceDN w:val="0"/>
              <w:adjustRightInd w:val="0"/>
              <w:ind w:firstLine="420" w:firstLineChars="200"/>
              <w:jc w:val="center"/>
              <w:rPr>
                <w:rFonts w:ascii="宋体" w:hAnsi="宋体" w:cs="微软雅黑"/>
                <w:kern w:val="0"/>
                <w:szCs w:val="21"/>
              </w:rPr>
            </w:pPr>
            <w:r>
              <w:rPr>
                <w:rFonts w:hint="eastAsia" w:ascii="宋体" w:hAnsi="宋体" w:cs="微软雅黑"/>
                <w:kern w:val="0"/>
                <w:szCs w:val="21"/>
              </w:rPr>
              <w:t>不限次数</w:t>
            </w: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与用户协调，确认有效的工作流程（有关</w:t>
            </w:r>
            <w:r>
              <w:rPr>
                <w:rFonts w:ascii="宋体" w:hAnsi="宋体" w:cs="微软雅黑"/>
                <w:kern w:val="0"/>
                <w:szCs w:val="21"/>
              </w:rPr>
              <w:t xml:space="preserve"> </w:t>
            </w:r>
            <w:r>
              <w:rPr>
                <w:rFonts w:ascii="宋体" w:hAnsi="宋体" w:cs="Lucida Console"/>
                <w:kern w:val="0"/>
                <w:szCs w:val="21"/>
              </w:rPr>
              <w:t xml:space="preserve">Oracle </w:t>
            </w:r>
            <w:r>
              <w:rPr>
                <w:rFonts w:hint="eastAsia" w:ascii="宋体" w:hAnsi="宋体" w:cs="微软雅黑"/>
                <w:kern w:val="0"/>
                <w:szCs w:val="21"/>
              </w:rPr>
              <w:t>维护）</w:t>
            </w:r>
          </w:p>
        </w:tc>
        <w:tc>
          <w:tcPr>
            <w:tcW w:w="1704" w:type="dxa"/>
            <w:vMerge w:val="continue"/>
            <w:vAlign w:val="center"/>
          </w:tcPr>
          <w:p>
            <w:pPr>
              <w:autoSpaceDE w:val="0"/>
              <w:autoSpaceDN w:val="0"/>
              <w:adjustRightInd w:val="0"/>
              <w:ind w:firstLine="420" w:firstLineChars="200"/>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建立维护管理相关文档</w:t>
            </w:r>
          </w:p>
        </w:tc>
        <w:tc>
          <w:tcPr>
            <w:tcW w:w="1704" w:type="dxa"/>
            <w:vMerge w:val="continue"/>
            <w:vAlign w:val="center"/>
          </w:tcPr>
          <w:p>
            <w:pPr>
              <w:autoSpaceDE w:val="0"/>
              <w:autoSpaceDN w:val="0"/>
              <w:adjustRightInd w:val="0"/>
              <w:ind w:firstLine="420" w:firstLineChars="200"/>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restart"/>
            <w:vAlign w:val="center"/>
          </w:tcPr>
          <w:p>
            <w:pPr>
              <w:autoSpaceDE w:val="0"/>
              <w:autoSpaceDN w:val="0"/>
              <w:adjustRightInd w:val="0"/>
              <w:jc w:val="left"/>
              <w:rPr>
                <w:rFonts w:ascii="宋体" w:hAnsi="宋体" w:eastAsia="宋体"/>
                <w:szCs w:val="21"/>
              </w:rPr>
            </w:pPr>
            <w:r>
              <w:rPr>
                <w:rFonts w:ascii="宋体" w:hAnsi="宋体" w:cs="Lucida Console"/>
                <w:kern w:val="0"/>
                <w:szCs w:val="21"/>
              </w:rPr>
              <w:t>7</w:t>
            </w:r>
            <w:r>
              <w:rPr>
                <w:rFonts w:hint="eastAsia" w:ascii="宋体" w:hAnsi="宋体" w:cs="Lucida Console"/>
                <w:kern w:val="0"/>
                <w:szCs w:val="21"/>
              </w:rPr>
              <w:t>×</w:t>
            </w:r>
            <w:r>
              <w:rPr>
                <w:rFonts w:ascii="宋体" w:hAnsi="宋体" w:cs="Lucida Console"/>
                <w:kern w:val="0"/>
                <w:szCs w:val="21"/>
              </w:rPr>
              <w:t xml:space="preserve">24 </w:t>
            </w:r>
            <w:r>
              <w:rPr>
                <w:rFonts w:hint="eastAsia" w:ascii="宋体" w:hAnsi="宋体" w:cs="微软雅黑 Bold"/>
                <w:kern w:val="0"/>
                <w:szCs w:val="21"/>
              </w:rPr>
              <w:t>紧急救援服务包</w:t>
            </w: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数据库宕机救援</w:t>
            </w:r>
          </w:p>
        </w:tc>
        <w:tc>
          <w:tcPr>
            <w:tcW w:w="1704" w:type="dxa"/>
            <w:vMerge w:val="restart"/>
            <w:vAlign w:val="center"/>
          </w:tcPr>
          <w:p>
            <w:pPr>
              <w:autoSpaceDE w:val="0"/>
              <w:autoSpaceDN w:val="0"/>
              <w:adjustRightInd w:val="0"/>
              <w:ind w:firstLine="420" w:firstLineChars="200"/>
              <w:jc w:val="center"/>
              <w:rPr>
                <w:rFonts w:ascii="宋体" w:hAnsi="宋体" w:cs="微软雅黑"/>
                <w:kern w:val="0"/>
                <w:szCs w:val="21"/>
              </w:rPr>
            </w:pPr>
            <w:r>
              <w:rPr>
                <w:rFonts w:hint="eastAsia" w:ascii="宋体" w:hAnsi="宋体" w:cs="微软雅黑"/>
                <w:kern w:val="0"/>
                <w:szCs w:val="21"/>
              </w:rPr>
              <w:t>不限</w:t>
            </w: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rPr>
                <w:rFonts w:ascii="宋体" w:hAnsi="宋体" w:eastAsia="宋体"/>
                <w:szCs w:val="21"/>
              </w:rPr>
            </w:pPr>
          </w:p>
        </w:tc>
        <w:tc>
          <w:tcPr>
            <w:tcW w:w="4037" w:type="dxa"/>
            <w:vAlign w:val="center"/>
          </w:tcPr>
          <w:p>
            <w:pPr>
              <w:autoSpaceDE w:val="0"/>
              <w:autoSpaceDN w:val="0"/>
              <w:adjustRightInd w:val="0"/>
              <w:jc w:val="left"/>
              <w:rPr>
                <w:rFonts w:ascii="宋体" w:hAnsi="宋体" w:eastAsia="宋体"/>
                <w:szCs w:val="21"/>
              </w:rPr>
            </w:pPr>
            <w:r>
              <w:rPr>
                <w:rFonts w:hint="eastAsia" w:ascii="宋体" w:hAnsi="宋体" w:cs="微软雅黑"/>
                <w:kern w:val="0"/>
                <w:szCs w:val="21"/>
              </w:rPr>
              <w:t>数据损环救援</w:t>
            </w:r>
          </w:p>
        </w:tc>
        <w:tc>
          <w:tcPr>
            <w:tcW w:w="1704" w:type="dxa"/>
            <w:vMerge w:val="continue"/>
            <w:vAlign w:val="center"/>
          </w:tcPr>
          <w:p>
            <w:pPr>
              <w:autoSpaceDE w:val="0"/>
              <w:autoSpaceDN w:val="0"/>
              <w:adjustRightInd w:val="0"/>
              <w:ind w:firstLine="420" w:firstLineChars="200"/>
              <w:jc w:val="center"/>
              <w:rPr>
                <w:rFonts w:ascii="宋体" w:hAnsi="宋体" w:cs="微软雅黑"/>
                <w:kern w:val="0"/>
                <w:szCs w:val="21"/>
              </w:rPr>
            </w:pP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Align w:val="center"/>
          </w:tcPr>
          <w:p>
            <w:pPr>
              <w:rPr>
                <w:rFonts w:ascii="宋体" w:hAnsi="宋体" w:eastAsia="宋体"/>
                <w:szCs w:val="21"/>
              </w:rPr>
            </w:pPr>
            <w:r>
              <w:rPr>
                <w:rFonts w:hint="eastAsia" w:ascii="宋体" w:hAnsi="宋体"/>
                <w:szCs w:val="21"/>
              </w:rPr>
              <w:t>数据迁移服务包</w:t>
            </w:r>
          </w:p>
        </w:tc>
        <w:tc>
          <w:tcPr>
            <w:tcW w:w="4037" w:type="dxa"/>
            <w:vAlign w:val="center"/>
          </w:tcPr>
          <w:p>
            <w:pPr>
              <w:autoSpaceDE w:val="0"/>
              <w:autoSpaceDN w:val="0"/>
              <w:adjustRightInd w:val="0"/>
              <w:jc w:val="left"/>
              <w:rPr>
                <w:rFonts w:ascii="宋体" w:hAnsi="宋体" w:cs="微软雅黑"/>
                <w:kern w:val="0"/>
                <w:szCs w:val="21"/>
              </w:rPr>
            </w:pPr>
            <w:r>
              <w:rPr>
                <w:rFonts w:hint="eastAsia" w:ascii="宋体" w:hAnsi="宋体" w:cs="微软雅黑"/>
                <w:kern w:val="0"/>
                <w:szCs w:val="21"/>
              </w:rPr>
              <w:t>按用户要求每半年或1年将进行历史数据迁移，并进行迁移后的优化</w:t>
            </w:r>
          </w:p>
        </w:tc>
        <w:tc>
          <w:tcPr>
            <w:tcW w:w="1704" w:type="dxa"/>
            <w:vAlign w:val="center"/>
          </w:tcPr>
          <w:p>
            <w:pPr>
              <w:autoSpaceDE w:val="0"/>
              <w:autoSpaceDN w:val="0"/>
              <w:adjustRightInd w:val="0"/>
              <w:jc w:val="center"/>
              <w:rPr>
                <w:rFonts w:ascii="宋体" w:hAnsi="宋体" w:cs="微软雅黑"/>
                <w:kern w:val="0"/>
                <w:szCs w:val="21"/>
              </w:rPr>
            </w:pPr>
            <w:r>
              <w:rPr>
                <w:rFonts w:hint="eastAsia" w:ascii="宋体" w:hAnsi="宋体" w:cs="微软雅黑"/>
                <w:kern w:val="0"/>
                <w:szCs w:val="21"/>
              </w:rPr>
              <w:t>按实际需求进行。</w:t>
            </w: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Align w:val="center"/>
          </w:tcPr>
          <w:p>
            <w:pPr>
              <w:rPr>
                <w:rFonts w:ascii="宋体" w:hAnsi="宋体" w:eastAsia="宋体"/>
                <w:szCs w:val="21"/>
              </w:rPr>
            </w:pPr>
            <w:r>
              <w:rPr>
                <w:rFonts w:hint="eastAsia" w:ascii="宋体" w:hAnsi="宋体"/>
                <w:szCs w:val="21"/>
              </w:rPr>
              <w:t>中间件</w:t>
            </w:r>
          </w:p>
        </w:tc>
        <w:tc>
          <w:tcPr>
            <w:tcW w:w="4037" w:type="dxa"/>
            <w:vAlign w:val="center"/>
          </w:tcPr>
          <w:p>
            <w:pPr>
              <w:widowControl/>
              <w:numPr>
                <w:ilvl w:val="0"/>
                <w:numId w:val="3"/>
              </w:numPr>
              <w:overflowPunct w:val="0"/>
              <w:autoSpaceDE w:val="0"/>
              <w:autoSpaceDN w:val="0"/>
              <w:adjustRightInd w:val="0"/>
              <w:spacing w:before="100" w:beforeAutospacing="1" w:after="100" w:afterAutospacing="1" w:line="288" w:lineRule="auto"/>
              <w:ind w:left="0"/>
              <w:textAlignment w:val="baseline"/>
              <w:rPr>
                <w:rFonts w:ascii="宋体" w:hAnsi="宋体"/>
                <w:color w:val="000000"/>
                <w:kern w:val="0"/>
                <w:szCs w:val="21"/>
                <w:lang w:val="en-GB"/>
              </w:rPr>
            </w:pPr>
            <w:r>
              <w:rPr>
                <w:rFonts w:hint="eastAsia" w:ascii="宋体" w:hAnsi="宋体"/>
                <w:color w:val="000000"/>
                <w:kern w:val="0"/>
                <w:szCs w:val="21"/>
                <w:lang w:val="en-GB"/>
              </w:rPr>
              <w:t>系统架构设计评析：针对用户所关心的特定业务功能所选用的组件、核心技术类型进行优缺分析，并向客户提出现有方案的改善方案。</w:t>
            </w:r>
          </w:p>
          <w:p>
            <w:pPr>
              <w:widowControl/>
              <w:numPr>
                <w:ilvl w:val="0"/>
                <w:numId w:val="3"/>
              </w:numPr>
              <w:overflowPunct w:val="0"/>
              <w:autoSpaceDE w:val="0"/>
              <w:autoSpaceDN w:val="0"/>
              <w:adjustRightInd w:val="0"/>
              <w:spacing w:before="100" w:beforeAutospacing="1" w:after="100" w:afterAutospacing="1" w:line="288" w:lineRule="auto"/>
              <w:ind w:left="0"/>
              <w:textAlignment w:val="baseline"/>
              <w:rPr>
                <w:rFonts w:ascii="宋体" w:hAnsi="宋体"/>
                <w:color w:val="000000"/>
                <w:kern w:val="0"/>
                <w:szCs w:val="21"/>
                <w:lang w:val="en-GB"/>
              </w:rPr>
            </w:pPr>
            <w:r>
              <w:rPr>
                <w:rFonts w:hint="eastAsia" w:ascii="宋体" w:hAnsi="宋体"/>
                <w:color w:val="000000"/>
                <w:kern w:val="0"/>
                <w:szCs w:val="21"/>
                <w:lang w:val="en-GB"/>
              </w:rPr>
              <w:t>代码样例及最佳实践：针对用户提出的开发问题，提供样例代码及最佳实践，以供项目开发组进行参考。</w:t>
            </w:r>
          </w:p>
          <w:p>
            <w:pPr>
              <w:widowControl/>
              <w:numPr>
                <w:ilvl w:val="0"/>
                <w:numId w:val="3"/>
              </w:numPr>
              <w:overflowPunct w:val="0"/>
              <w:autoSpaceDE w:val="0"/>
              <w:autoSpaceDN w:val="0"/>
              <w:adjustRightInd w:val="0"/>
              <w:spacing w:before="100" w:beforeAutospacing="1" w:after="100" w:afterAutospacing="1" w:line="288" w:lineRule="auto"/>
              <w:ind w:left="0"/>
              <w:textAlignment w:val="baseline"/>
              <w:rPr>
                <w:rFonts w:ascii="宋体" w:hAnsi="宋体"/>
                <w:color w:val="000000"/>
                <w:kern w:val="0"/>
                <w:szCs w:val="21"/>
                <w:lang w:val="en-GB"/>
              </w:rPr>
            </w:pPr>
            <w:r>
              <w:rPr>
                <w:rFonts w:hint="eastAsia" w:ascii="宋体" w:hAnsi="宋体"/>
                <w:color w:val="000000"/>
                <w:kern w:val="0"/>
                <w:szCs w:val="21"/>
                <w:lang w:val="en-GB"/>
              </w:rPr>
              <w:t>技术指导：针对系统接口、集成方案等需求提供技术支持。</w:t>
            </w:r>
          </w:p>
          <w:p>
            <w:pPr>
              <w:widowControl/>
              <w:numPr>
                <w:ilvl w:val="0"/>
                <w:numId w:val="3"/>
              </w:numPr>
              <w:overflowPunct w:val="0"/>
              <w:autoSpaceDE w:val="0"/>
              <w:autoSpaceDN w:val="0"/>
              <w:adjustRightInd w:val="0"/>
              <w:spacing w:before="100" w:beforeAutospacing="1" w:after="100" w:afterAutospacing="1" w:line="288" w:lineRule="auto"/>
              <w:ind w:left="0"/>
              <w:textAlignment w:val="baseline"/>
              <w:rPr>
                <w:rFonts w:ascii="宋体" w:hAnsi="宋体"/>
                <w:color w:val="000000"/>
                <w:kern w:val="0"/>
                <w:szCs w:val="21"/>
                <w:lang w:val="en-GB"/>
              </w:rPr>
            </w:pPr>
            <w:r>
              <w:rPr>
                <w:rFonts w:hint="eastAsia" w:ascii="宋体" w:hAnsi="宋体"/>
                <w:color w:val="000000"/>
                <w:kern w:val="0"/>
                <w:szCs w:val="21"/>
                <w:lang w:val="en-GB"/>
              </w:rPr>
              <w:t>技术攻关：针对项目中出现的开发难题，提供技术攻关支持，降低因技术问题而带来的技术风险。</w:t>
            </w:r>
          </w:p>
          <w:p>
            <w:pPr>
              <w:widowControl/>
              <w:numPr>
                <w:ilvl w:val="0"/>
                <w:numId w:val="3"/>
              </w:numPr>
              <w:overflowPunct w:val="0"/>
              <w:autoSpaceDE w:val="0"/>
              <w:autoSpaceDN w:val="0"/>
              <w:adjustRightInd w:val="0"/>
              <w:spacing w:before="100" w:beforeAutospacing="1" w:after="100" w:afterAutospacing="1" w:line="288" w:lineRule="auto"/>
              <w:ind w:left="0"/>
              <w:textAlignment w:val="baseline"/>
              <w:rPr>
                <w:rFonts w:ascii="宋体" w:hAnsi="宋体" w:cs="微软雅黑"/>
                <w:kern w:val="0"/>
                <w:szCs w:val="21"/>
              </w:rPr>
            </w:pPr>
            <w:r>
              <w:rPr>
                <w:rFonts w:hint="eastAsia" w:ascii="宋体" w:hAnsi="宋体"/>
                <w:color w:val="000000"/>
                <w:kern w:val="0"/>
                <w:szCs w:val="21"/>
                <w:lang w:val="en-GB"/>
              </w:rPr>
              <w:t>性能测试&amp;分析方案建议：结合系统的实际情况，为客户提供可行的性能测试分析方案以及分析办法的方案建议。</w:t>
            </w:r>
          </w:p>
        </w:tc>
        <w:tc>
          <w:tcPr>
            <w:tcW w:w="1704" w:type="dxa"/>
            <w:vAlign w:val="center"/>
          </w:tcPr>
          <w:p>
            <w:pPr>
              <w:autoSpaceDE w:val="0"/>
              <w:autoSpaceDN w:val="0"/>
              <w:adjustRightInd w:val="0"/>
              <w:jc w:val="center"/>
              <w:rPr>
                <w:rFonts w:ascii="宋体" w:hAnsi="宋体" w:cs="微软雅黑"/>
                <w:kern w:val="0"/>
                <w:szCs w:val="21"/>
              </w:rPr>
            </w:pPr>
            <w:r>
              <w:rPr>
                <w:rFonts w:hint="eastAsia" w:ascii="宋体" w:hAnsi="宋体" w:cs="微软雅黑"/>
                <w:kern w:val="0"/>
                <w:szCs w:val="21"/>
              </w:rPr>
              <w:t>按实际需求进行</w:t>
            </w:r>
          </w:p>
        </w:tc>
        <w:tc>
          <w:tcPr>
            <w:tcW w:w="1268"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restart"/>
            <w:vAlign w:val="center"/>
          </w:tcPr>
          <w:p>
            <w:pPr>
              <w:jc w:val="center"/>
              <w:rPr>
                <w:rFonts w:ascii="宋体" w:hAnsi="宋体" w:eastAsia="宋体"/>
                <w:szCs w:val="21"/>
              </w:rPr>
            </w:pPr>
            <w:r>
              <w:rPr>
                <w:rFonts w:hint="eastAsia" w:ascii="宋体" w:hAnsi="宋体" w:eastAsia="宋体"/>
                <w:szCs w:val="21"/>
              </w:rPr>
              <w:t>虚拟化系统服务</w:t>
            </w:r>
          </w:p>
        </w:tc>
        <w:tc>
          <w:tcPr>
            <w:tcW w:w="4037" w:type="dxa"/>
            <w:vAlign w:val="center"/>
          </w:tcPr>
          <w:p>
            <w:pPr>
              <w:jc w:val="center"/>
              <w:rPr>
                <w:rFonts w:ascii="宋体" w:hAnsi="宋体" w:cs="微软雅黑"/>
                <w:kern w:val="0"/>
                <w:szCs w:val="21"/>
              </w:rPr>
            </w:pPr>
            <w:r>
              <w:rPr>
                <w:rFonts w:hint="eastAsia" w:ascii="宋体" w:hAnsi="宋体" w:eastAsia="宋体"/>
                <w:szCs w:val="21"/>
              </w:rPr>
              <w:t>关键紧急事件升级支持</w:t>
            </w:r>
          </w:p>
        </w:tc>
        <w:tc>
          <w:tcPr>
            <w:tcW w:w="1704" w:type="dxa"/>
            <w:vAlign w:val="center"/>
          </w:tcPr>
          <w:p>
            <w:pPr>
              <w:jc w:val="center"/>
              <w:rPr>
                <w:rFonts w:ascii="宋体" w:hAnsi="宋体" w:cs="微软雅黑"/>
                <w:kern w:val="0"/>
                <w:szCs w:val="21"/>
              </w:rPr>
            </w:pPr>
            <w:r>
              <w:rPr>
                <w:rFonts w:hint="eastAsia" w:ascii="宋体" w:hAnsi="宋体" w:eastAsia="宋体"/>
                <w:szCs w:val="21"/>
              </w:rPr>
              <w:t>不限</w:t>
            </w:r>
          </w:p>
        </w:tc>
        <w:tc>
          <w:tcPr>
            <w:tcW w:w="1268" w:type="dxa"/>
            <w:vAlign w:val="center"/>
          </w:tcPr>
          <w:p>
            <w:pPr>
              <w:jc w:val="center"/>
              <w:rPr>
                <w:rFonts w:ascii="宋体" w:hAnsi="宋体" w:eastAsia="宋体"/>
                <w:szCs w:val="21"/>
              </w:rPr>
            </w:pPr>
            <w:r>
              <w:rPr>
                <w:rFonts w:hint="eastAsia" w:ascii="宋体" w:hAnsi="宋体" w:eastAsia="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ind w:left="560"/>
              <w:rPr>
                <w:rFonts w:ascii="宋体" w:hAnsi="宋体" w:eastAsia="宋体"/>
                <w:szCs w:val="21"/>
              </w:rPr>
            </w:pPr>
          </w:p>
        </w:tc>
        <w:tc>
          <w:tcPr>
            <w:tcW w:w="4037" w:type="dxa"/>
            <w:vAlign w:val="center"/>
          </w:tcPr>
          <w:p>
            <w:pPr>
              <w:jc w:val="center"/>
              <w:rPr>
                <w:rFonts w:ascii="宋体" w:hAnsi="宋体" w:cs="微软雅黑"/>
                <w:kern w:val="0"/>
                <w:szCs w:val="21"/>
              </w:rPr>
            </w:pPr>
            <w:r>
              <w:rPr>
                <w:rFonts w:hint="eastAsia" w:ascii="宋体" w:hAnsi="宋体" w:eastAsia="宋体"/>
                <w:szCs w:val="21"/>
              </w:rPr>
              <w:t>紧急事件支持</w:t>
            </w:r>
          </w:p>
        </w:tc>
        <w:tc>
          <w:tcPr>
            <w:tcW w:w="1704" w:type="dxa"/>
            <w:vAlign w:val="center"/>
          </w:tcPr>
          <w:p>
            <w:pPr>
              <w:jc w:val="center"/>
              <w:rPr>
                <w:rFonts w:ascii="宋体" w:hAnsi="宋体" w:cs="微软雅黑"/>
                <w:kern w:val="0"/>
                <w:szCs w:val="21"/>
              </w:rPr>
            </w:pPr>
            <w:r>
              <w:rPr>
                <w:rFonts w:hint="eastAsia" w:ascii="宋体" w:hAnsi="宋体" w:eastAsia="宋体"/>
                <w:szCs w:val="21"/>
              </w:rPr>
              <w:t>不限</w:t>
            </w:r>
          </w:p>
        </w:tc>
        <w:tc>
          <w:tcPr>
            <w:tcW w:w="1268" w:type="dxa"/>
            <w:vAlign w:val="center"/>
          </w:tcPr>
          <w:p>
            <w:pPr>
              <w:jc w:val="center"/>
              <w:rPr>
                <w:rFonts w:ascii="宋体" w:hAnsi="宋体" w:eastAsia="宋体"/>
                <w:szCs w:val="21"/>
              </w:rPr>
            </w:pPr>
            <w:r>
              <w:rPr>
                <w:rFonts w:hint="eastAsia" w:ascii="宋体" w:hAnsi="宋体" w:eastAsia="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ind w:left="560"/>
              <w:rPr>
                <w:rFonts w:ascii="宋体" w:hAnsi="宋体" w:eastAsia="宋体"/>
                <w:szCs w:val="21"/>
              </w:rPr>
            </w:pPr>
          </w:p>
        </w:tc>
        <w:tc>
          <w:tcPr>
            <w:tcW w:w="4037" w:type="dxa"/>
            <w:vAlign w:val="center"/>
          </w:tcPr>
          <w:p>
            <w:pPr>
              <w:jc w:val="center"/>
              <w:rPr>
                <w:rFonts w:ascii="宋体" w:hAnsi="宋体" w:cs="微软雅黑"/>
                <w:kern w:val="0"/>
                <w:szCs w:val="21"/>
              </w:rPr>
            </w:pPr>
            <w:r>
              <w:rPr>
                <w:rFonts w:hint="eastAsia" w:ascii="宋体" w:hAnsi="宋体" w:eastAsia="宋体"/>
                <w:szCs w:val="21"/>
              </w:rPr>
              <w:t>远程\电话技术支持</w:t>
            </w:r>
          </w:p>
        </w:tc>
        <w:tc>
          <w:tcPr>
            <w:tcW w:w="1704" w:type="dxa"/>
            <w:vAlign w:val="center"/>
          </w:tcPr>
          <w:p>
            <w:pPr>
              <w:jc w:val="center"/>
              <w:rPr>
                <w:rFonts w:ascii="宋体" w:hAnsi="宋体" w:cs="微软雅黑"/>
                <w:kern w:val="0"/>
                <w:szCs w:val="21"/>
              </w:rPr>
            </w:pPr>
            <w:r>
              <w:rPr>
                <w:rFonts w:hint="eastAsia" w:ascii="宋体" w:hAnsi="宋体" w:eastAsia="宋体"/>
                <w:szCs w:val="21"/>
              </w:rPr>
              <w:t>不限</w:t>
            </w:r>
          </w:p>
        </w:tc>
        <w:tc>
          <w:tcPr>
            <w:tcW w:w="1268" w:type="dxa"/>
            <w:vAlign w:val="center"/>
          </w:tcPr>
          <w:p>
            <w:pPr>
              <w:jc w:val="center"/>
              <w:rPr>
                <w:rFonts w:ascii="宋体" w:hAnsi="宋体" w:eastAsia="宋体"/>
                <w:szCs w:val="21"/>
              </w:rPr>
            </w:pPr>
            <w:r>
              <w:rPr>
                <w:rFonts w:hint="eastAsia" w:ascii="宋体" w:hAnsi="宋体" w:eastAsia="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ind w:left="560"/>
              <w:rPr>
                <w:rFonts w:ascii="宋体" w:hAnsi="宋体" w:eastAsia="宋体"/>
                <w:szCs w:val="21"/>
              </w:rPr>
            </w:pPr>
          </w:p>
        </w:tc>
        <w:tc>
          <w:tcPr>
            <w:tcW w:w="4037" w:type="dxa"/>
            <w:vAlign w:val="center"/>
          </w:tcPr>
          <w:p>
            <w:pPr>
              <w:jc w:val="center"/>
              <w:rPr>
                <w:rFonts w:ascii="宋体" w:hAnsi="宋体" w:cs="微软雅黑"/>
                <w:kern w:val="0"/>
                <w:szCs w:val="21"/>
              </w:rPr>
            </w:pPr>
            <w:r>
              <w:rPr>
                <w:rFonts w:hint="eastAsia" w:ascii="宋体" w:hAnsi="宋体" w:eastAsia="宋体"/>
                <w:szCs w:val="21"/>
              </w:rPr>
              <w:t>论坛和知识库技术支持</w:t>
            </w:r>
          </w:p>
        </w:tc>
        <w:tc>
          <w:tcPr>
            <w:tcW w:w="1704" w:type="dxa"/>
            <w:vAlign w:val="center"/>
          </w:tcPr>
          <w:p>
            <w:pPr>
              <w:jc w:val="center"/>
              <w:rPr>
                <w:rFonts w:ascii="宋体" w:hAnsi="宋体" w:cs="微软雅黑"/>
                <w:kern w:val="0"/>
                <w:szCs w:val="21"/>
              </w:rPr>
            </w:pPr>
            <w:r>
              <w:rPr>
                <w:rFonts w:hint="eastAsia" w:ascii="宋体" w:hAnsi="宋体" w:eastAsia="宋体"/>
                <w:szCs w:val="21"/>
              </w:rPr>
              <w:t>不限</w:t>
            </w:r>
          </w:p>
        </w:tc>
        <w:tc>
          <w:tcPr>
            <w:tcW w:w="1268" w:type="dxa"/>
            <w:vAlign w:val="center"/>
          </w:tcPr>
          <w:p>
            <w:pPr>
              <w:jc w:val="center"/>
              <w:rPr>
                <w:rFonts w:ascii="宋体" w:hAnsi="宋体" w:eastAsia="宋体"/>
                <w:szCs w:val="21"/>
              </w:rPr>
            </w:pPr>
            <w:r>
              <w:rPr>
                <w:rFonts w:hint="eastAsia" w:ascii="宋体" w:hAnsi="宋体" w:eastAsia="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08" w:type="dxa"/>
            <w:vMerge w:val="continue"/>
            <w:vAlign w:val="center"/>
          </w:tcPr>
          <w:p>
            <w:pPr>
              <w:ind w:left="560"/>
              <w:rPr>
                <w:rFonts w:ascii="宋体" w:hAnsi="宋体" w:eastAsia="宋体"/>
                <w:szCs w:val="21"/>
              </w:rPr>
            </w:pPr>
          </w:p>
        </w:tc>
        <w:tc>
          <w:tcPr>
            <w:tcW w:w="4037" w:type="dxa"/>
            <w:vAlign w:val="center"/>
          </w:tcPr>
          <w:p>
            <w:pPr>
              <w:jc w:val="center"/>
              <w:rPr>
                <w:rFonts w:ascii="宋体" w:hAnsi="宋体" w:cs="微软雅黑"/>
                <w:kern w:val="0"/>
                <w:szCs w:val="21"/>
              </w:rPr>
            </w:pPr>
            <w:r>
              <w:rPr>
                <w:rFonts w:hint="eastAsia" w:ascii="宋体" w:hAnsi="宋体" w:eastAsia="宋体"/>
                <w:szCs w:val="21"/>
              </w:rPr>
              <w:t>VMWARE虚拟化技术咨询</w:t>
            </w:r>
          </w:p>
        </w:tc>
        <w:tc>
          <w:tcPr>
            <w:tcW w:w="1704" w:type="dxa"/>
            <w:vAlign w:val="center"/>
          </w:tcPr>
          <w:p>
            <w:pPr>
              <w:jc w:val="center"/>
              <w:rPr>
                <w:rFonts w:ascii="宋体" w:hAnsi="宋体" w:cs="微软雅黑"/>
                <w:kern w:val="0"/>
                <w:szCs w:val="21"/>
              </w:rPr>
            </w:pPr>
            <w:r>
              <w:rPr>
                <w:rFonts w:hint="eastAsia" w:ascii="宋体" w:hAnsi="宋体" w:eastAsia="宋体"/>
                <w:szCs w:val="21"/>
              </w:rPr>
              <w:t>不限</w:t>
            </w:r>
          </w:p>
        </w:tc>
        <w:tc>
          <w:tcPr>
            <w:tcW w:w="1268" w:type="dxa"/>
            <w:vAlign w:val="center"/>
          </w:tcPr>
          <w:p>
            <w:pPr>
              <w:jc w:val="center"/>
              <w:rPr>
                <w:rFonts w:ascii="宋体" w:hAnsi="宋体" w:eastAsia="宋体"/>
                <w:szCs w:val="21"/>
              </w:rPr>
            </w:pPr>
            <w:r>
              <w:rPr>
                <w:rFonts w:hint="eastAsia" w:ascii="宋体" w:hAnsi="宋体" w:eastAsia="宋体"/>
                <w:szCs w:val="21"/>
              </w:rPr>
              <w:t>次</w:t>
            </w:r>
          </w:p>
        </w:tc>
      </w:tr>
    </w:tbl>
    <w:p>
      <w:pPr>
        <w:rPr>
          <w:rFonts w:hint="eastAsia"/>
        </w:rPr>
      </w:pPr>
    </w:p>
    <w:p>
      <w:pPr>
        <w:numPr>
          <w:ilvl w:val="0"/>
          <w:numId w:val="0"/>
        </w:numPr>
        <w:spacing w:line="360" w:lineRule="auto"/>
        <w:rPr>
          <w:rFonts w:hint="eastAsia" w:ascii="宋体" w:hAnsi="宋体"/>
          <w:b/>
          <w:kern w:val="0"/>
          <w:sz w:val="24"/>
          <w:lang w:eastAsia="zh-CN"/>
        </w:rPr>
      </w:pPr>
      <w:r>
        <w:rPr>
          <w:rFonts w:hint="eastAsia" w:ascii="宋体" w:hAnsi="宋体"/>
          <w:b/>
          <w:kern w:val="0"/>
          <w:sz w:val="24"/>
          <w:lang w:val="en-US" w:eastAsia="zh-CN"/>
        </w:rPr>
        <w:t xml:space="preserve">    三、</w:t>
      </w:r>
      <w:r>
        <w:rPr>
          <w:rFonts w:hint="eastAsia" w:ascii="宋体" w:hAnsi="宋体"/>
          <w:b/>
          <w:kern w:val="0"/>
          <w:sz w:val="24"/>
          <w:lang w:eastAsia="zh-CN"/>
        </w:rPr>
        <w:t>服务内容</w:t>
      </w:r>
    </w:p>
    <w:p>
      <w:pPr>
        <w:numPr>
          <w:ilvl w:val="0"/>
          <w:numId w:val="0"/>
        </w:numPr>
        <w:spacing w:line="360" w:lineRule="auto"/>
        <w:ind w:firstLine="482" w:firstLineChars="200"/>
        <w:rPr>
          <w:rFonts w:ascii="宋体" w:hAnsi="宋体" w:eastAsia="宋体"/>
          <w:b/>
          <w:bCs/>
          <w:sz w:val="24"/>
        </w:rPr>
      </w:pPr>
      <w:r>
        <w:rPr>
          <w:rFonts w:hint="eastAsia" w:ascii="宋体" w:hAnsi="宋体" w:eastAsia="宋体"/>
          <w:b/>
          <w:bCs/>
          <w:sz w:val="24"/>
        </w:rPr>
        <w:t>1.软件运维服务</w:t>
      </w:r>
    </w:p>
    <w:p>
      <w:pPr>
        <w:spacing w:line="360" w:lineRule="auto"/>
        <w:ind w:firstLine="480"/>
        <w:rPr>
          <w:rFonts w:ascii="宋体" w:hAnsi="宋体" w:eastAsia="宋体"/>
          <w:kern w:val="0"/>
          <w:sz w:val="24"/>
        </w:rPr>
      </w:pPr>
      <w:r>
        <w:rPr>
          <w:rFonts w:hint="eastAsia" w:ascii="宋体" w:hAnsi="宋体" w:eastAsia="宋体"/>
          <w:kern w:val="0"/>
          <w:sz w:val="24"/>
        </w:rPr>
        <w:t>（1)每季定期巡检：每季主动与采购人信息中心沟通巡检时间，并准时进行巡检，并填写巡检记录，对巡检中出现的问题或者可能出现的问题需要及时提醒并提出解决方案。</w:t>
      </w:r>
    </w:p>
    <w:p>
      <w:pPr>
        <w:spacing w:line="360" w:lineRule="auto"/>
        <w:ind w:firstLine="480"/>
        <w:rPr>
          <w:rFonts w:ascii="宋体" w:hAnsi="宋体" w:eastAsia="宋体"/>
          <w:kern w:val="0"/>
          <w:sz w:val="24"/>
        </w:rPr>
      </w:pPr>
      <w:r>
        <w:rPr>
          <w:rFonts w:hint="eastAsia" w:ascii="宋体" w:hAnsi="宋体" w:eastAsia="宋体"/>
          <w:kern w:val="0"/>
          <w:sz w:val="24"/>
        </w:rPr>
        <w:t>（2)故障排除：硬件运行过程中出现功能故障时，协助查找、排除故障、更换备件，并诊断出故障原因，提交解决方案并及时解决。</w:t>
      </w:r>
    </w:p>
    <w:p>
      <w:pPr>
        <w:spacing w:line="360" w:lineRule="auto"/>
        <w:ind w:firstLine="480"/>
        <w:rPr>
          <w:rFonts w:ascii="宋体" w:hAnsi="宋体" w:eastAsia="宋体"/>
          <w:kern w:val="0"/>
          <w:sz w:val="24"/>
        </w:rPr>
      </w:pPr>
      <w:r>
        <w:rPr>
          <w:rFonts w:hint="eastAsia" w:ascii="宋体" w:hAnsi="宋体" w:eastAsia="宋体"/>
          <w:kern w:val="0"/>
          <w:sz w:val="24"/>
        </w:rPr>
        <w:t>（3)服务器、数据库系统补丁：及时更新操作系统补丁。</w:t>
      </w:r>
    </w:p>
    <w:p>
      <w:pPr>
        <w:spacing w:line="360" w:lineRule="auto"/>
        <w:ind w:firstLine="480"/>
        <w:rPr>
          <w:rFonts w:ascii="宋体" w:hAnsi="宋体" w:eastAsia="宋体"/>
          <w:kern w:val="0"/>
          <w:sz w:val="24"/>
        </w:rPr>
      </w:pPr>
      <w:r>
        <w:rPr>
          <w:rFonts w:hint="eastAsia" w:ascii="宋体" w:hAnsi="宋体" w:eastAsia="宋体"/>
          <w:kern w:val="0"/>
          <w:sz w:val="24"/>
        </w:rPr>
        <w:t xml:space="preserve">（4)服务器、数据库系统资源监控：实时监控服务器资源，及时跟采购人主管工程师沟通，提出解决方案并协助实施。 </w:t>
      </w:r>
    </w:p>
    <w:p>
      <w:pPr>
        <w:spacing w:line="360" w:lineRule="auto"/>
        <w:ind w:firstLine="480"/>
        <w:rPr>
          <w:rFonts w:ascii="宋体" w:hAnsi="宋体" w:eastAsia="宋体"/>
          <w:kern w:val="0"/>
          <w:sz w:val="24"/>
        </w:rPr>
      </w:pPr>
      <w:r>
        <w:rPr>
          <w:rFonts w:hint="eastAsia" w:ascii="宋体" w:hAnsi="宋体" w:eastAsia="宋体"/>
          <w:kern w:val="0"/>
          <w:sz w:val="24"/>
        </w:rPr>
        <w:t>（5)系统故障恢复：出现紧急情况时，需确保在半小时内启动应急服务，协助完成系统恢复，查找原因，解决问题。</w:t>
      </w:r>
    </w:p>
    <w:p>
      <w:pPr>
        <w:spacing w:line="360" w:lineRule="auto"/>
        <w:ind w:firstLine="480"/>
        <w:rPr>
          <w:rFonts w:ascii="宋体" w:hAnsi="宋体" w:eastAsia="宋体"/>
          <w:kern w:val="0"/>
          <w:sz w:val="24"/>
        </w:rPr>
      </w:pPr>
      <w:r>
        <w:rPr>
          <w:rFonts w:hint="eastAsia" w:ascii="宋体" w:hAnsi="宋体" w:eastAsia="宋体"/>
          <w:kern w:val="0"/>
          <w:sz w:val="24"/>
        </w:rPr>
        <w:t>（6)数据迁移及灾难恢复：如因特殊情况需要做数据迁移，需提出解决方案协助采购人进行数据迁移；如因特殊情况导致数据丢失，需立即作出响应，并最短时间内完成数据恢复。</w:t>
      </w:r>
    </w:p>
    <w:p>
      <w:pPr>
        <w:widowControl/>
        <w:spacing w:line="360" w:lineRule="auto"/>
        <w:ind w:firstLine="480"/>
        <w:contextualSpacing/>
        <w:jc w:val="left"/>
        <w:rPr>
          <w:rFonts w:ascii="宋体" w:hAnsi="宋体" w:eastAsia="宋体"/>
          <w:kern w:val="0"/>
          <w:sz w:val="24"/>
        </w:rPr>
      </w:pPr>
      <w:r>
        <w:rPr>
          <w:rFonts w:hint="eastAsia" w:ascii="宋体" w:hAnsi="宋体" w:eastAsia="宋体"/>
          <w:kern w:val="0"/>
          <w:sz w:val="24"/>
        </w:rPr>
        <w:t>（7)数据库、服务器性能调优：当服务器出现性能异常或者数据库性能降低时，工程师需到现场协助找出异常原因、解决问题，以保证系统能高效、稳定地运行。</w:t>
      </w:r>
    </w:p>
    <w:p>
      <w:pPr>
        <w:widowControl/>
        <w:spacing w:line="360" w:lineRule="auto"/>
        <w:ind w:firstLine="480"/>
        <w:contextualSpacing/>
        <w:jc w:val="left"/>
        <w:rPr>
          <w:rFonts w:ascii="宋体" w:hAnsi="宋体" w:eastAsia="宋体"/>
          <w:kern w:val="0"/>
          <w:sz w:val="24"/>
        </w:rPr>
      </w:pPr>
      <w:r>
        <w:rPr>
          <w:rFonts w:hint="eastAsia" w:ascii="宋体" w:hAnsi="宋体" w:eastAsia="宋体"/>
          <w:kern w:val="0"/>
          <w:sz w:val="24"/>
        </w:rPr>
        <w:t>（8)优化SQL语句：对书写不规范的SQL语句及运行速度慢的进行优化及建议。</w:t>
      </w:r>
    </w:p>
    <w:p>
      <w:pPr>
        <w:widowControl/>
        <w:spacing w:line="360" w:lineRule="auto"/>
        <w:ind w:firstLine="480"/>
        <w:contextualSpacing/>
        <w:jc w:val="left"/>
        <w:rPr>
          <w:rFonts w:ascii="宋体" w:hAnsi="宋体" w:eastAsia="宋体"/>
          <w:kern w:val="0"/>
          <w:sz w:val="24"/>
        </w:rPr>
      </w:pPr>
      <w:r>
        <w:rPr>
          <w:rFonts w:hint="eastAsia" w:ascii="宋体" w:hAnsi="宋体" w:eastAsia="宋体"/>
          <w:kern w:val="0"/>
          <w:sz w:val="24"/>
        </w:rPr>
        <w:t>（9)重大节日巡检：重大节日巡检进行系统检查，主动发现运行过程曾经出现或可能存在的风险，提供可行的应对方案，进行风险的预处理。</w:t>
      </w:r>
    </w:p>
    <w:p>
      <w:pPr>
        <w:widowControl/>
        <w:spacing w:line="360" w:lineRule="auto"/>
        <w:ind w:firstLine="480"/>
        <w:contextualSpacing/>
        <w:jc w:val="left"/>
        <w:rPr>
          <w:rFonts w:ascii="宋体" w:hAnsi="宋体" w:eastAsia="宋体"/>
          <w:kern w:val="0"/>
          <w:sz w:val="24"/>
        </w:rPr>
      </w:pPr>
    </w:p>
    <w:p>
      <w:pPr>
        <w:spacing w:line="360" w:lineRule="auto"/>
        <w:ind w:firstLine="482" w:firstLineChars="200"/>
        <w:rPr>
          <w:rFonts w:ascii="宋体" w:hAnsi="宋体" w:eastAsia="宋体"/>
          <w:b/>
          <w:bCs/>
          <w:sz w:val="24"/>
        </w:rPr>
      </w:pPr>
      <w:r>
        <w:rPr>
          <w:rFonts w:hint="eastAsia" w:ascii="宋体" w:hAnsi="宋体" w:eastAsia="宋体"/>
          <w:b/>
          <w:bCs/>
          <w:sz w:val="24"/>
        </w:rPr>
        <w:t>2</w:t>
      </w:r>
      <w:r>
        <w:rPr>
          <w:rFonts w:ascii="宋体" w:hAnsi="宋体" w:eastAsia="宋体"/>
          <w:b/>
          <w:bCs/>
          <w:sz w:val="24"/>
        </w:rPr>
        <w:t>.</w:t>
      </w:r>
      <w:r>
        <w:rPr>
          <w:rFonts w:hint="eastAsia" w:ascii="宋体" w:hAnsi="宋体" w:eastAsia="宋体"/>
          <w:b/>
          <w:bCs/>
          <w:sz w:val="24"/>
        </w:rPr>
        <w:t>虚拟化软件服务</w:t>
      </w:r>
    </w:p>
    <w:p>
      <w:pPr>
        <w:spacing w:line="360" w:lineRule="auto"/>
        <w:ind w:firstLine="480"/>
        <w:rPr>
          <w:rFonts w:ascii="宋体" w:hAnsi="宋体" w:eastAsia="宋体"/>
          <w:kern w:val="0"/>
          <w:sz w:val="24"/>
        </w:rPr>
      </w:pPr>
      <w:r>
        <w:rPr>
          <w:rFonts w:hint="eastAsia" w:ascii="宋体" w:hAnsi="宋体" w:eastAsia="宋体"/>
          <w:kern w:val="0"/>
          <w:sz w:val="24"/>
        </w:rPr>
        <w:t>（1)VMWARE虚拟化平台定期监测：每季至少一次派3年以上经验的高级工程师到采购人对VMWARE虚拟化平台的系统资源、性能收集和分析，提出优化建议和具体方案。</w:t>
      </w:r>
    </w:p>
    <w:p>
      <w:pPr>
        <w:spacing w:line="360" w:lineRule="auto"/>
        <w:ind w:firstLine="480"/>
        <w:rPr>
          <w:rFonts w:ascii="宋体" w:hAnsi="宋体" w:eastAsia="宋体"/>
          <w:kern w:val="0"/>
          <w:sz w:val="24"/>
        </w:rPr>
      </w:pPr>
      <w:r>
        <w:rPr>
          <w:rFonts w:hint="eastAsia" w:ascii="宋体" w:hAnsi="宋体" w:eastAsia="宋体"/>
          <w:kern w:val="0"/>
          <w:sz w:val="24"/>
        </w:rPr>
        <w:t>（2)VMWARE虚拟化平台定期优化：每季度至少一次派3年以上经验的高级工程师到采购人对VMWARE虚拟化平台在配置、策略、规则上进行优化建议，提出具体方案。</w:t>
      </w:r>
    </w:p>
    <w:p>
      <w:pPr>
        <w:spacing w:line="360" w:lineRule="auto"/>
        <w:ind w:firstLine="480"/>
        <w:rPr>
          <w:rFonts w:ascii="宋体" w:hAnsi="宋体" w:eastAsia="宋体"/>
          <w:kern w:val="0"/>
          <w:sz w:val="24"/>
        </w:rPr>
      </w:pPr>
      <w:r>
        <w:rPr>
          <w:rFonts w:hint="eastAsia" w:ascii="宋体" w:hAnsi="宋体" w:eastAsia="宋体"/>
          <w:kern w:val="0"/>
          <w:sz w:val="24"/>
        </w:rPr>
        <w:t>（3)VMWARE虚拟化平台系统性能监测及功能性测试：每年至少一次派3年以上经验的高级工程师到采购人对VMWARE虚拟化平台存储、系统、网络服务进行分析，并进行冗余功能验证测试。</w:t>
      </w:r>
    </w:p>
    <w:p>
      <w:pPr>
        <w:spacing w:line="360" w:lineRule="auto"/>
        <w:ind w:firstLine="480"/>
        <w:rPr>
          <w:rFonts w:ascii="宋体" w:hAnsi="宋体" w:eastAsia="宋体"/>
          <w:kern w:val="0"/>
          <w:sz w:val="24"/>
        </w:rPr>
      </w:pPr>
      <w:r>
        <w:rPr>
          <w:rFonts w:hint="eastAsia" w:ascii="宋体" w:hAnsi="宋体" w:eastAsia="宋体"/>
          <w:kern w:val="0"/>
          <w:sz w:val="24"/>
        </w:rPr>
        <w:t>（4) VMWARE虚拟化平台系统安全监测：每年至少一次派3年以上经验的高级工程师到采购人对VMWARE虚拟化平台的系统日志、端口、漏洞安全进行扫描分析，并提交优化报告和解决方案。</w:t>
      </w:r>
    </w:p>
    <w:p>
      <w:pPr>
        <w:spacing w:line="360" w:lineRule="auto"/>
        <w:ind w:firstLine="480"/>
        <w:rPr>
          <w:rFonts w:ascii="宋体" w:hAnsi="宋体" w:eastAsia="宋体"/>
          <w:kern w:val="0"/>
          <w:sz w:val="24"/>
        </w:rPr>
      </w:pPr>
      <w:r>
        <w:rPr>
          <w:rFonts w:hint="eastAsia" w:ascii="宋体" w:hAnsi="宋体" w:eastAsia="宋体"/>
          <w:kern w:val="0"/>
          <w:sz w:val="24"/>
        </w:rPr>
        <w:t>（5) VMWARE虚拟化平台系统病毒防控：每季度至少一次对VMWARE虚拟化平台系统进行补丁修复，防毒软件升级。</w:t>
      </w:r>
    </w:p>
    <w:p>
      <w:pPr>
        <w:spacing w:line="360" w:lineRule="auto"/>
        <w:ind w:firstLine="480"/>
        <w:rPr>
          <w:rFonts w:ascii="宋体" w:hAnsi="宋体" w:eastAsia="宋体"/>
          <w:kern w:val="0"/>
          <w:sz w:val="24"/>
        </w:rPr>
      </w:pPr>
      <w:r>
        <w:rPr>
          <w:rFonts w:hint="eastAsia" w:ascii="宋体" w:hAnsi="宋体" w:eastAsia="宋体"/>
          <w:kern w:val="0"/>
          <w:sz w:val="24"/>
        </w:rPr>
        <w:t>（6) VMWARE虚拟化平台系统权限监测：每年至少一次对虚拟化平台权限进行检查并提交检查报告。</w:t>
      </w:r>
    </w:p>
    <w:p>
      <w:pPr>
        <w:spacing w:line="360" w:lineRule="auto"/>
        <w:ind w:firstLine="480"/>
        <w:rPr>
          <w:rFonts w:ascii="宋体" w:hAnsi="宋体" w:eastAsia="宋体"/>
          <w:kern w:val="0"/>
          <w:sz w:val="24"/>
        </w:rPr>
      </w:pPr>
      <w:r>
        <w:rPr>
          <w:rFonts w:hint="eastAsia" w:ascii="宋体" w:hAnsi="宋体" w:eastAsia="宋体"/>
          <w:kern w:val="0"/>
          <w:sz w:val="24"/>
        </w:rPr>
        <w:t>（7) VMWARE虚拟化平台升级迁移服务支持：需派遣3年以上经验的高级工程师到现场协助采购人进行的VMWARE虚拟化平台升级迁移扩容，以确保升级迁移扩容顺利进行，确保平台高效稳定地运行。</w:t>
      </w:r>
    </w:p>
    <w:p>
      <w:pPr>
        <w:spacing w:line="360" w:lineRule="auto"/>
        <w:ind w:firstLine="480"/>
        <w:rPr>
          <w:rFonts w:ascii="宋体" w:hAnsi="宋体" w:eastAsia="宋体"/>
          <w:kern w:val="0"/>
          <w:sz w:val="24"/>
        </w:rPr>
      </w:pPr>
      <w:r>
        <w:rPr>
          <w:rFonts w:hint="eastAsia" w:ascii="宋体" w:hAnsi="宋体" w:eastAsia="宋体"/>
          <w:kern w:val="0"/>
          <w:sz w:val="24"/>
        </w:rPr>
        <w:t>（8) 虚拟化平台物理主机故障应急演练服务：模拟一台物理主机发生故障的情况下虚拟化环境的高可用性功能。</w:t>
      </w:r>
    </w:p>
    <w:p>
      <w:pPr>
        <w:spacing w:line="360" w:lineRule="auto"/>
        <w:ind w:firstLine="482" w:firstLineChars="200"/>
        <w:rPr>
          <w:rFonts w:ascii="宋体" w:hAnsi="宋体" w:eastAsia="宋体"/>
          <w:b/>
          <w:bCs/>
          <w:sz w:val="24"/>
        </w:rPr>
      </w:pPr>
      <w:r>
        <w:rPr>
          <w:rFonts w:hint="eastAsia" w:ascii="宋体" w:hAnsi="宋体" w:eastAsia="宋体"/>
          <w:b/>
          <w:bCs/>
          <w:sz w:val="24"/>
        </w:rPr>
        <w:t>3．服务方式</w:t>
      </w:r>
    </w:p>
    <w:p>
      <w:pPr>
        <w:spacing w:line="360" w:lineRule="auto"/>
        <w:ind w:firstLine="420"/>
        <w:rPr>
          <w:rFonts w:ascii="宋体" w:hAnsi="宋体" w:eastAsia="宋体" w:cs="宋体"/>
          <w:sz w:val="24"/>
        </w:rPr>
      </w:pPr>
      <w:r>
        <w:rPr>
          <w:rFonts w:hint="eastAsia" w:ascii="宋体" w:hAnsi="宋体" w:eastAsia="宋体" w:cs="宋体"/>
          <w:sz w:val="24"/>
        </w:rPr>
        <w:t>（1)远程服务：提供7×24小时电话技术支持服务。</w:t>
      </w:r>
    </w:p>
    <w:p>
      <w:pPr>
        <w:spacing w:line="360" w:lineRule="auto"/>
        <w:ind w:firstLine="420"/>
        <w:rPr>
          <w:rFonts w:ascii="宋体" w:hAnsi="宋体" w:eastAsia="宋体" w:cs="宋体"/>
          <w:sz w:val="24"/>
        </w:rPr>
      </w:pPr>
      <w:r>
        <w:rPr>
          <w:rFonts w:hint="eastAsia" w:ascii="宋体" w:hAnsi="宋体" w:eastAsia="宋体" w:cs="宋体"/>
          <w:sz w:val="24"/>
        </w:rPr>
        <w:t>（2)现场服务：在需要现场技术支持服务时，工程师到采购人进行现场进行技术指导，解决问题，形成解决方案。</w:t>
      </w:r>
    </w:p>
    <w:p>
      <w:pPr>
        <w:spacing w:line="360" w:lineRule="auto"/>
        <w:ind w:firstLine="420"/>
        <w:rPr>
          <w:rFonts w:ascii="宋体" w:hAnsi="宋体" w:eastAsia="宋体" w:cs="宋体"/>
          <w:sz w:val="24"/>
        </w:rPr>
      </w:pPr>
      <w:r>
        <w:rPr>
          <w:rFonts w:hint="eastAsia" w:ascii="宋体" w:hAnsi="宋体" w:eastAsia="宋体" w:cs="宋体"/>
          <w:sz w:val="24"/>
        </w:rPr>
        <w:t>（3)巡检服务：每</w:t>
      </w:r>
      <w:r>
        <w:rPr>
          <w:rFonts w:hint="eastAsia" w:ascii="宋体" w:hAnsi="宋体" w:eastAsia="宋体"/>
          <w:kern w:val="0"/>
          <w:sz w:val="24"/>
        </w:rPr>
        <w:t>季</w:t>
      </w:r>
      <w:r>
        <w:rPr>
          <w:rFonts w:hint="eastAsia" w:ascii="宋体" w:hAnsi="宋体" w:eastAsia="宋体" w:cs="宋体"/>
          <w:sz w:val="24"/>
        </w:rPr>
        <w:t>到采购人对设备和系统进行巡检。</w:t>
      </w:r>
    </w:p>
    <w:p>
      <w:pPr>
        <w:spacing w:line="360" w:lineRule="auto"/>
        <w:ind w:firstLine="420"/>
        <w:rPr>
          <w:rFonts w:hint="eastAsia" w:ascii="宋体" w:hAnsi="宋体"/>
          <w:b w:val="0"/>
          <w:bCs/>
          <w:sz w:val="24"/>
        </w:rPr>
      </w:pPr>
      <w:r>
        <w:rPr>
          <w:rFonts w:hint="eastAsia" w:ascii="宋体" w:hAnsi="宋体" w:eastAsia="宋体" w:cs="宋体"/>
          <w:sz w:val="24"/>
        </w:rPr>
        <w:t>（4)备件服务：建立保障采购人设备能正常运作的备件库。</w:t>
      </w:r>
    </w:p>
    <w:p>
      <w:pPr>
        <w:pStyle w:val="23"/>
        <w:numPr>
          <w:ilvl w:val="0"/>
          <w:numId w:val="0"/>
        </w:numPr>
        <w:spacing w:line="360" w:lineRule="auto"/>
        <w:ind w:firstLine="482" w:firstLineChars="200"/>
        <w:rPr>
          <w:rFonts w:ascii="宋体" w:hAnsi="宋体" w:cs="宋体"/>
          <w:b/>
          <w:sz w:val="24"/>
          <w:szCs w:val="24"/>
        </w:rPr>
      </w:pPr>
      <w:r>
        <w:rPr>
          <w:rFonts w:hint="eastAsia" w:ascii="宋体" w:hAnsi="宋体" w:cs="宋体"/>
          <w:b/>
          <w:sz w:val="24"/>
          <w:szCs w:val="24"/>
          <w:lang w:eastAsia="zh-CN"/>
        </w:rPr>
        <w:t>四、</w:t>
      </w:r>
      <w:r>
        <w:rPr>
          <w:rFonts w:hint="eastAsia" w:ascii="宋体" w:hAnsi="宋体" w:cs="宋体"/>
          <w:b/>
          <w:sz w:val="24"/>
          <w:szCs w:val="24"/>
        </w:rPr>
        <w:t>其他要求</w:t>
      </w:r>
    </w:p>
    <w:p>
      <w:pPr>
        <w:pStyle w:val="40"/>
        <w:numPr>
          <w:ilvl w:val="0"/>
          <w:numId w:val="0"/>
        </w:numPr>
        <w:autoSpaceDE w:val="0"/>
        <w:autoSpaceDN w:val="0"/>
        <w:adjustRightInd w:val="0"/>
        <w:snapToGrid w:val="0"/>
        <w:spacing w:line="460" w:lineRule="exact"/>
        <w:ind w:left="-142" w:leftChars="0" w:firstLine="480" w:firstLineChars="200"/>
        <w:jc w:val="left"/>
        <w:rPr>
          <w:rFonts w:hint="eastAsia" w:ascii="宋体" w:hAnsi="宋体" w:cs="宋体"/>
          <w:color w:val="000000"/>
          <w:kern w:val="0"/>
          <w:sz w:val="24"/>
        </w:rPr>
      </w:pPr>
      <w:r>
        <w:rPr>
          <w:rFonts w:hint="eastAsia" w:ascii="宋体" w:hAnsi="宋体" w:cs="宋体"/>
          <w:sz w:val="24"/>
          <w:szCs w:val="24"/>
          <w:lang w:val="en-US" w:eastAsia="zh-CN"/>
        </w:rPr>
        <w:t>1.</w:t>
      </w:r>
      <w:r>
        <w:rPr>
          <w:rFonts w:hint="eastAsia" w:ascii="宋体" w:hAnsi="宋体" w:cs="宋体"/>
          <w:sz w:val="24"/>
          <w:szCs w:val="24"/>
        </w:rPr>
        <w:t>项目验收：</w:t>
      </w:r>
      <w:r>
        <w:rPr>
          <w:rFonts w:hint="eastAsia" w:ascii="宋体" w:hAnsi="宋体" w:cs="宋体"/>
          <w:sz w:val="24"/>
          <w:szCs w:val="24"/>
          <w:lang w:eastAsia="zh-CN"/>
        </w:rPr>
        <w:t>每个</w:t>
      </w:r>
      <w:r>
        <w:rPr>
          <w:rFonts w:hint="eastAsia" w:ascii="宋体" w:hAnsi="宋体" w:cs="宋体"/>
          <w:color w:val="000000"/>
          <w:sz w:val="24"/>
        </w:rPr>
        <w:t>服务年满前</w:t>
      </w:r>
      <w:r>
        <w:rPr>
          <w:rFonts w:hint="eastAsia" w:ascii="宋体" w:hAnsi="宋体" w:cs="宋体"/>
          <w:color w:val="000000"/>
          <w:kern w:val="0"/>
          <w:sz w:val="24"/>
        </w:rPr>
        <w:t>10个工作日内，由双方相关人员对维护服务情况进行验收评价，如维护服务符合合同要求，无重大故障产生，则双方签署验收通过报告。如验收未通过，双方提出未通过缘由，并商定下次验收时间。</w:t>
      </w:r>
    </w:p>
    <w:p>
      <w:pPr>
        <w:pStyle w:val="40"/>
        <w:numPr>
          <w:ilvl w:val="0"/>
          <w:numId w:val="0"/>
        </w:numPr>
        <w:autoSpaceDE w:val="0"/>
        <w:autoSpaceDN w:val="0"/>
        <w:adjustRightInd w:val="0"/>
        <w:snapToGrid w:val="0"/>
        <w:spacing w:line="460" w:lineRule="exact"/>
        <w:ind w:left="-142" w:leftChars="0" w:firstLine="480" w:firstLineChars="200"/>
        <w:jc w:val="left"/>
        <w:rPr>
          <w:rFonts w:hint="eastAsia" w:cs="仿宋" w:asciiTheme="minorEastAsia" w:hAnsiTheme="minorEastAsia" w:eastAsiaTheme="minorEastAsia"/>
          <w:b/>
          <w:spacing w:val="100"/>
          <w:w w:val="110"/>
          <w:kern w:val="0"/>
          <w:sz w:val="44"/>
          <w:szCs w:val="44"/>
          <w:lang w:eastAsia="zh-CN"/>
        </w:rPr>
      </w:pPr>
      <w:r>
        <w:rPr>
          <w:rFonts w:hint="eastAsia" w:ascii="宋体" w:hAnsi="宋体" w:cs="宋体"/>
          <w:sz w:val="24"/>
          <w:szCs w:val="24"/>
          <w:lang w:val="en-US" w:eastAsia="zh-CN"/>
        </w:rPr>
        <w:t>2.</w:t>
      </w:r>
      <w:r>
        <w:rPr>
          <w:rFonts w:hint="eastAsia" w:ascii="宋体" w:hAnsi="宋体" w:cs="宋体"/>
          <w:sz w:val="24"/>
          <w:szCs w:val="24"/>
        </w:rPr>
        <w:t>付款方式：按年支付</w:t>
      </w:r>
      <w:r>
        <w:rPr>
          <w:rFonts w:hint="eastAsia" w:ascii="宋体" w:hAnsi="宋体"/>
          <w:color w:val="000000"/>
          <w:sz w:val="24"/>
          <w:szCs w:val="24"/>
        </w:rPr>
        <w:t>，</w:t>
      </w:r>
      <w:r>
        <w:rPr>
          <w:rFonts w:hint="eastAsia" w:ascii="宋体" w:hAnsi="宋体" w:cs="宋体"/>
          <w:sz w:val="24"/>
          <w:szCs w:val="24"/>
        </w:rPr>
        <w:t>即服务年开始</w:t>
      </w:r>
      <w:r>
        <w:rPr>
          <w:rFonts w:hint="eastAsia" w:ascii="宋体" w:hAnsi="宋体" w:cs="宋体"/>
          <w:sz w:val="24"/>
          <w:szCs w:val="24"/>
          <w:lang w:eastAsia="zh-CN"/>
        </w:rPr>
        <w:t>后，</w:t>
      </w:r>
      <w:r>
        <w:rPr>
          <w:rFonts w:hint="eastAsia" w:ascii="宋体" w:hAnsi="宋体"/>
          <w:color w:val="000000"/>
          <w:sz w:val="24"/>
          <w:szCs w:val="24"/>
        </w:rPr>
        <w:t>采购人在收到成交供应商开具有效发票</w:t>
      </w:r>
      <w:r>
        <w:rPr>
          <w:rFonts w:hint="eastAsia" w:ascii="宋体" w:hAnsi="宋体"/>
          <w:color w:val="000000"/>
          <w:sz w:val="24"/>
          <w:szCs w:val="24"/>
          <w:lang w:eastAsia="zh-CN"/>
        </w:rPr>
        <w:t>，</w:t>
      </w:r>
      <w:r>
        <w:rPr>
          <w:rFonts w:hint="eastAsia" w:ascii="宋体" w:hAnsi="宋体"/>
          <w:color w:val="000000"/>
          <w:sz w:val="24"/>
          <w:szCs w:val="24"/>
        </w:rPr>
        <w:t>办理</w:t>
      </w:r>
      <w:r>
        <w:rPr>
          <w:rFonts w:hint="eastAsia" w:ascii="宋体" w:hAnsi="宋体"/>
          <w:color w:val="000000"/>
          <w:sz w:val="24"/>
          <w:szCs w:val="24"/>
          <w:lang w:val="en-US" w:eastAsia="zh-CN"/>
        </w:rPr>
        <w:t>汇款计划</w:t>
      </w:r>
      <w:r>
        <w:rPr>
          <w:rFonts w:hint="eastAsia" w:ascii="宋体" w:hAnsi="宋体"/>
          <w:color w:val="000000"/>
          <w:sz w:val="24"/>
          <w:szCs w:val="24"/>
        </w:rPr>
        <w:t>交财务科之日起</w:t>
      </w:r>
      <w:r>
        <w:rPr>
          <w:rFonts w:hint="eastAsia" w:ascii="宋体" w:hAnsi="宋体"/>
          <w:color w:val="000000"/>
          <w:sz w:val="24"/>
          <w:szCs w:val="24"/>
          <w:lang w:val="en-US" w:eastAsia="zh-CN"/>
        </w:rPr>
        <w:t>,</w:t>
      </w:r>
      <w:r>
        <w:rPr>
          <w:rFonts w:hint="eastAsia" w:ascii="宋体" w:hAnsi="宋体"/>
          <w:color w:val="000000"/>
          <w:sz w:val="24"/>
          <w:szCs w:val="24"/>
        </w:rPr>
        <w:t>，</w:t>
      </w:r>
      <w:r>
        <w:rPr>
          <w:rFonts w:hint="eastAsia" w:ascii="宋体" w:hAnsi="宋体"/>
          <w:color w:val="000000"/>
          <w:sz w:val="24"/>
          <w:szCs w:val="24"/>
          <w:lang w:eastAsia="zh-CN"/>
        </w:rPr>
        <w:t>一</w:t>
      </w:r>
      <w:r>
        <w:rPr>
          <w:rFonts w:hint="eastAsia" w:ascii="宋体" w:hAnsi="宋体"/>
          <w:color w:val="000000"/>
          <w:sz w:val="24"/>
          <w:szCs w:val="24"/>
        </w:rPr>
        <w:t>个月内采购人向成交供应商支付</w:t>
      </w:r>
      <w:r>
        <w:rPr>
          <w:rFonts w:hint="eastAsia" w:ascii="宋体" w:hAnsi="宋体"/>
          <w:color w:val="000000"/>
          <w:sz w:val="24"/>
          <w:szCs w:val="24"/>
          <w:lang w:eastAsia="zh-CN"/>
        </w:rPr>
        <w:t>当个服务年成交</w:t>
      </w:r>
      <w:r>
        <w:rPr>
          <w:rFonts w:hint="eastAsia" w:ascii="宋体" w:hAnsi="宋体"/>
          <w:sz w:val="24"/>
          <w:szCs w:val="24"/>
        </w:rPr>
        <w:t>价</w:t>
      </w:r>
      <w:r>
        <w:rPr>
          <w:rFonts w:hint="eastAsia" w:ascii="宋体" w:hAnsi="宋体"/>
          <w:sz w:val="24"/>
          <w:szCs w:val="24"/>
          <w:lang w:eastAsia="zh-CN"/>
        </w:rPr>
        <w:t>的</w:t>
      </w:r>
      <w:r>
        <w:rPr>
          <w:rFonts w:hint="eastAsia" w:ascii="宋体" w:hAnsi="宋体"/>
          <w:sz w:val="24"/>
          <w:szCs w:val="24"/>
          <w:lang w:val="en-US" w:eastAsia="zh-CN"/>
        </w:rPr>
        <w:t>50%</w:t>
      </w:r>
      <w:r>
        <w:rPr>
          <w:rFonts w:hint="eastAsia" w:ascii="宋体" w:hAnsi="宋体"/>
          <w:color w:val="000000"/>
          <w:sz w:val="24"/>
          <w:szCs w:val="24"/>
        </w:rPr>
        <w:t>款</w:t>
      </w:r>
      <w:r>
        <w:rPr>
          <w:rFonts w:hint="eastAsia" w:ascii="宋体" w:hAnsi="宋体"/>
          <w:color w:val="000000"/>
          <w:sz w:val="24"/>
          <w:szCs w:val="24"/>
          <w:lang w:eastAsia="zh-CN"/>
        </w:rPr>
        <w:t>项；在一年服务期满后，</w:t>
      </w:r>
      <w:r>
        <w:rPr>
          <w:rFonts w:hint="eastAsia" w:ascii="宋体" w:hAnsi="宋体"/>
          <w:color w:val="000000"/>
          <w:sz w:val="24"/>
          <w:szCs w:val="24"/>
        </w:rPr>
        <w:t>采购人在收到成交供应商开具有效发票及项目的</w:t>
      </w:r>
      <w:r>
        <w:rPr>
          <w:rFonts w:hint="eastAsia" w:ascii="宋体" w:hAnsi="宋体"/>
          <w:color w:val="000000"/>
          <w:sz w:val="24"/>
          <w:szCs w:val="24"/>
          <w:lang w:eastAsia="zh-CN"/>
        </w:rPr>
        <w:t>当年</w:t>
      </w:r>
      <w:r>
        <w:rPr>
          <w:rFonts w:hint="eastAsia" w:ascii="宋体" w:hAnsi="宋体"/>
          <w:color w:val="000000"/>
          <w:sz w:val="24"/>
          <w:szCs w:val="24"/>
        </w:rPr>
        <w:t>验收报告</w:t>
      </w:r>
      <w:r>
        <w:rPr>
          <w:rFonts w:hint="eastAsia" w:ascii="宋体" w:hAnsi="宋体"/>
          <w:color w:val="000000"/>
          <w:sz w:val="24"/>
          <w:szCs w:val="24"/>
          <w:lang w:eastAsia="zh-CN"/>
        </w:rPr>
        <w:t>，</w:t>
      </w:r>
      <w:r>
        <w:rPr>
          <w:rFonts w:hint="eastAsia" w:ascii="宋体" w:hAnsi="宋体"/>
          <w:color w:val="000000"/>
          <w:sz w:val="24"/>
          <w:szCs w:val="24"/>
          <w:lang w:val="en-US" w:eastAsia="zh-CN"/>
        </w:rPr>
        <w:t>办理汇款计划</w:t>
      </w:r>
      <w:r>
        <w:rPr>
          <w:rFonts w:hint="eastAsia" w:ascii="宋体" w:hAnsi="宋体"/>
          <w:color w:val="000000"/>
          <w:sz w:val="24"/>
          <w:szCs w:val="24"/>
        </w:rPr>
        <w:t>交财务科之日起，</w:t>
      </w:r>
      <w:r>
        <w:rPr>
          <w:rFonts w:hint="eastAsia" w:ascii="宋体" w:hAnsi="宋体"/>
          <w:color w:val="000000"/>
          <w:sz w:val="24"/>
          <w:szCs w:val="24"/>
          <w:lang w:eastAsia="zh-CN"/>
        </w:rPr>
        <w:t>一</w:t>
      </w:r>
      <w:r>
        <w:rPr>
          <w:rFonts w:hint="eastAsia" w:ascii="宋体" w:hAnsi="宋体"/>
          <w:color w:val="000000"/>
          <w:sz w:val="24"/>
          <w:szCs w:val="24"/>
        </w:rPr>
        <w:t>个月内采购人向成交供应商支付</w:t>
      </w:r>
      <w:r>
        <w:rPr>
          <w:rFonts w:hint="eastAsia" w:ascii="宋体" w:hAnsi="宋体"/>
          <w:color w:val="000000"/>
          <w:sz w:val="24"/>
          <w:szCs w:val="24"/>
          <w:lang w:eastAsia="zh-CN"/>
        </w:rPr>
        <w:t>当个服务年成交</w:t>
      </w:r>
      <w:r>
        <w:rPr>
          <w:rFonts w:hint="eastAsia" w:ascii="宋体" w:hAnsi="宋体"/>
          <w:sz w:val="24"/>
          <w:szCs w:val="24"/>
        </w:rPr>
        <w:t>价</w:t>
      </w:r>
      <w:r>
        <w:rPr>
          <w:rFonts w:hint="eastAsia" w:ascii="宋体" w:hAnsi="宋体"/>
          <w:sz w:val="24"/>
          <w:szCs w:val="24"/>
          <w:lang w:eastAsia="zh-CN"/>
        </w:rPr>
        <w:t>剩余的</w:t>
      </w:r>
      <w:r>
        <w:rPr>
          <w:rFonts w:hint="eastAsia" w:ascii="宋体" w:hAnsi="宋体"/>
          <w:sz w:val="24"/>
          <w:szCs w:val="24"/>
          <w:lang w:val="en-US" w:eastAsia="zh-CN"/>
        </w:rPr>
        <w:t>50%</w:t>
      </w:r>
      <w:r>
        <w:rPr>
          <w:rFonts w:hint="eastAsia" w:ascii="宋体" w:hAnsi="宋体"/>
          <w:color w:val="000000"/>
          <w:sz w:val="24"/>
          <w:szCs w:val="24"/>
        </w:rPr>
        <w:t>款</w:t>
      </w:r>
      <w:r>
        <w:rPr>
          <w:rFonts w:hint="eastAsia" w:ascii="宋体" w:hAnsi="宋体"/>
          <w:color w:val="000000"/>
          <w:sz w:val="24"/>
          <w:szCs w:val="24"/>
          <w:lang w:eastAsia="zh-CN"/>
        </w:rPr>
        <w:t>项。</w:t>
      </w:r>
    </w:p>
    <w:p>
      <w:pPr>
        <w:pStyle w:val="40"/>
        <w:numPr>
          <w:ilvl w:val="0"/>
          <w:numId w:val="0"/>
        </w:numPr>
        <w:spacing w:line="360" w:lineRule="auto"/>
        <w:ind w:left="0" w:leftChars="0" w:firstLine="338" w:firstLineChars="141"/>
        <w:rPr>
          <w:rFonts w:ascii="宋体" w:hAnsi="宋体"/>
          <w:b/>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服务期：</w:t>
      </w:r>
      <w:r>
        <w:rPr>
          <w:rFonts w:hint="eastAsia" w:ascii="宋体" w:hAnsi="宋体" w:cs="宋体"/>
          <w:color w:val="auto"/>
          <w:sz w:val="24"/>
          <w:szCs w:val="24"/>
          <w:highlight w:val="none"/>
          <w:lang w:val="en-US" w:eastAsia="zh-CN"/>
        </w:rPr>
        <w:t>1年。</w:t>
      </w:r>
      <w:r>
        <w:rPr>
          <w:rFonts w:ascii="宋体" w:hAnsi="宋体"/>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10"/>
        <w:tabs>
          <w:tab w:val="left" w:pos="1260"/>
        </w:tabs>
        <w:spacing w:line="680" w:lineRule="auto"/>
        <w:ind w:firstLine="0" w:firstLineChars="0"/>
        <w:jc w:val="center"/>
        <w:rPr>
          <w:rFonts w:hAnsi="宋体" w:cs="仿宋"/>
          <w:b/>
          <w:spacing w:val="100"/>
          <w:w w:val="110"/>
          <w:sz w:val="44"/>
          <w:szCs w:val="44"/>
        </w:rPr>
      </w:pPr>
    </w:p>
    <w:p>
      <w:pPr>
        <w:pStyle w:val="10"/>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10"/>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10"/>
        <w:spacing w:line="680" w:lineRule="auto"/>
        <w:ind w:firstLine="482"/>
        <w:jc w:val="center"/>
        <w:rPr>
          <w:rFonts w:hAnsi="宋体" w:cs="仿宋"/>
          <w:b/>
          <w:szCs w:val="24"/>
        </w:rPr>
      </w:pPr>
    </w:p>
    <w:p>
      <w:pPr>
        <w:pStyle w:val="10"/>
        <w:spacing w:line="440" w:lineRule="auto"/>
        <w:ind w:firstLine="482"/>
        <w:jc w:val="center"/>
        <w:rPr>
          <w:rFonts w:hAnsi="宋体" w:cs="仿宋"/>
          <w:b/>
          <w:szCs w:val="24"/>
        </w:rPr>
      </w:pPr>
    </w:p>
    <w:p>
      <w:pPr>
        <w:pStyle w:val="9"/>
        <w:spacing w:line="440" w:lineRule="auto"/>
        <w:ind w:firstLine="0" w:firstLineChars="0"/>
        <w:rPr>
          <w:rFonts w:ascii="宋体" w:hAnsi="宋体" w:eastAsia="宋体" w:cs="仿宋"/>
          <w:sz w:val="24"/>
          <w:szCs w:val="24"/>
          <w:u w:val="single"/>
        </w:rPr>
      </w:pPr>
    </w:p>
    <w:p>
      <w:pPr>
        <w:pStyle w:val="10"/>
        <w:spacing w:line="440" w:lineRule="auto"/>
        <w:rPr>
          <w:rFonts w:hint="eastAsia"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rPr>
        <w:t>茂名市人民医院小型机、Oracle数据库系统维护服务项目</w:t>
      </w:r>
    </w:p>
    <w:p>
      <w:pPr>
        <w:pStyle w:val="10"/>
        <w:spacing w:line="440" w:lineRule="auto"/>
        <w:ind w:firstLine="1687" w:firstLineChars="700"/>
        <w:rPr>
          <w:rFonts w:hAnsi="宋体" w:cs="仿宋"/>
          <w:b/>
          <w:szCs w:val="24"/>
        </w:rPr>
      </w:pPr>
    </w:p>
    <w:p>
      <w:pPr>
        <w:pStyle w:val="10"/>
        <w:spacing w:line="440" w:lineRule="auto"/>
        <w:ind w:firstLine="1687" w:firstLineChars="700"/>
        <w:rPr>
          <w:rFonts w:hAnsi="宋体" w:cs="仿宋"/>
          <w:b/>
          <w:szCs w:val="24"/>
        </w:rPr>
      </w:pPr>
    </w:p>
    <w:p>
      <w:pPr>
        <w:pStyle w:val="10"/>
        <w:spacing w:line="440" w:lineRule="auto"/>
        <w:ind w:firstLine="723" w:firstLineChars="300"/>
        <w:rPr>
          <w:rFonts w:hAnsi="宋体" w:cs="仿宋"/>
          <w:b/>
          <w:szCs w:val="24"/>
        </w:rPr>
      </w:pPr>
    </w:p>
    <w:p>
      <w:pPr>
        <w:pStyle w:val="10"/>
        <w:spacing w:line="440" w:lineRule="auto"/>
        <w:ind w:firstLine="723" w:firstLineChars="300"/>
        <w:rPr>
          <w:rFonts w:hAnsi="宋体" w:cs="仿宋"/>
          <w:b/>
          <w:szCs w:val="24"/>
        </w:rPr>
      </w:pPr>
    </w:p>
    <w:p>
      <w:pPr>
        <w:pStyle w:val="10"/>
        <w:spacing w:line="440" w:lineRule="auto"/>
        <w:ind w:firstLine="723" w:firstLineChars="300"/>
        <w:rPr>
          <w:rFonts w:hAnsi="宋体" w:cs="仿宋"/>
          <w:b/>
          <w:szCs w:val="24"/>
        </w:rPr>
      </w:pPr>
    </w:p>
    <w:p>
      <w:pPr>
        <w:pStyle w:val="10"/>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2" w:name="_Toc28330"/>
      <w:bookmarkStart w:id="3" w:name="_Toc202252034"/>
      <w:bookmarkStart w:id="4" w:name="_Toc202819878"/>
      <w:bookmarkStart w:id="5" w:name="_Toc202251700"/>
      <w:bookmarkStart w:id="6" w:name="_Toc202816996"/>
      <w:bookmarkStart w:id="7" w:name="_Toc202251075"/>
      <w:bookmarkStart w:id="8" w:name="_Toc395800947"/>
      <w:bookmarkStart w:id="9" w:name="_Toc202254105"/>
      <w:bookmarkStart w:id="10" w:name="_Toc202820351"/>
      <w:r>
        <w:rPr>
          <w:rFonts w:hint="eastAsia" w:ascii="宋体" w:hAnsi="宋体" w:cs="仿宋"/>
          <w:b/>
          <w:bCs/>
        </w:rPr>
        <w:t>评审项目投标资料表（目录）</w:t>
      </w:r>
    </w:p>
    <w:tbl>
      <w:tblPr>
        <w:tblStyle w:val="15"/>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rPr>
              <w:t>评审分项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rPr>
              <w:t>评审细则</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360" w:lineRule="auto"/>
        <w:rPr>
          <w:rFonts w:ascii="宋体" w:hAnsi="宋体" w:cs="仿宋"/>
          <w:b/>
          <w:bCs/>
        </w:rPr>
      </w:pPr>
      <w:r>
        <w:rPr>
          <w:rFonts w:hint="eastAsia" w:ascii="宋体" w:hAnsi="宋体" w:cs="仿宋"/>
          <w:b/>
          <w:bCs/>
        </w:rPr>
        <w:t>注：商务/技术评分根据评分细则所提交的内容具体填写。</w:t>
      </w: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11" w:name="_Toc32684"/>
      <w:r>
        <w:rPr>
          <w:rFonts w:hint="eastAsia" w:ascii="宋体" w:hAnsi="宋体" w:cs="仿宋"/>
          <w:b/>
        </w:rPr>
        <w:t>一、资格性文件</w:t>
      </w:r>
      <w:bookmarkEnd w:id="2"/>
      <w:bookmarkEnd w:id="3"/>
      <w:bookmarkEnd w:id="4"/>
      <w:bookmarkEnd w:id="5"/>
      <w:bookmarkEnd w:id="6"/>
      <w:bookmarkEnd w:id="7"/>
      <w:bookmarkEnd w:id="8"/>
      <w:bookmarkEnd w:id="9"/>
      <w:bookmarkEnd w:id="10"/>
      <w:bookmarkEnd w:id="11"/>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10"/>
        <w:ind w:firstLine="0" w:firstLineChars="0"/>
        <w:rPr>
          <w:rFonts w:hAnsi="宋体"/>
          <w:b/>
          <w:bCs/>
          <w:sz w:val="21"/>
        </w:rPr>
      </w:pPr>
    </w:p>
    <w:p>
      <w:pPr>
        <w:pStyle w:val="10"/>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0"/>
        <w:ind w:firstLine="422"/>
        <w:rPr>
          <w:rFonts w:hAnsi="宋体"/>
          <w:b/>
          <w:bCs/>
          <w:sz w:val="21"/>
        </w:rPr>
      </w:pPr>
    </w:p>
    <w:p>
      <w:pPr>
        <w:pStyle w:val="27"/>
        <w:ind w:firstLine="480"/>
        <w:rPr>
          <w:rFonts w:ascii="宋体" w:hAnsi="宋体"/>
        </w:rPr>
      </w:pPr>
      <w:r>
        <w:rPr>
          <w:rFonts w:hint="eastAsia" w:ascii="宋体" w:hAnsi="宋体" w:cs="宋体"/>
        </w:rPr>
        <w:br w:type="page"/>
      </w:r>
    </w:p>
    <w:p>
      <w:pPr>
        <w:pStyle w:val="27"/>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10"/>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0"/>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bookmarkStart w:id="12" w:name="_Toc395800949"/>
      <w:bookmarkStart w:id="13" w:name="_Toc202251076"/>
      <w:bookmarkStart w:id="14" w:name="_Toc202251701"/>
      <w:bookmarkStart w:id="15" w:name="_Toc202819879"/>
      <w:bookmarkStart w:id="16" w:name="_Toc202254106"/>
      <w:bookmarkStart w:id="17" w:name="_Toc202820352"/>
      <w:bookmarkStart w:id="18" w:name="_Toc202252035"/>
      <w:bookmarkStart w:id="19" w:name="_Toc202816997"/>
      <w:bookmarkStart w:id="20" w:name="_Toc31980"/>
      <w:r>
        <w:rPr>
          <w:rFonts w:hint="eastAsia" w:ascii="宋体" w:hAnsi="宋体" w:cs="仿宋"/>
        </w:rPr>
        <w:t>关于贵方采购项目名称</w:t>
      </w:r>
      <w:r>
        <w:rPr>
          <w:rFonts w:hint="eastAsia" w:ascii="宋体" w:hAnsi="宋体" w:cs="仿宋"/>
          <w:b/>
          <w:bCs/>
          <w:u w:val="single"/>
        </w:rPr>
        <w:t xml:space="preserve"> </w:t>
      </w:r>
      <w:r>
        <w:rPr>
          <w:rFonts w:ascii="宋体" w:hAnsi="宋体" w:cs="仿宋"/>
          <w:b/>
          <w:bCs/>
          <w:u w:val="single"/>
        </w:rPr>
        <w:t xml:space="preserve">             </w:t>
      </w:r>
      <w:r>
        <w:rPr>
          <w:rFonts w:hint="eastAsia" w:ascii="宋体" w:hAnsi="宋体" w:cs="仿宋"/>
        </w:rPr>
        <w:t>邀请，本签字人愿意参加报价，提供需求文件中规定的货物及服务，并证明提交的下列文件和说明是准确的和真实的。</w:t>
      </w:r>
    </w:p>
    <w:p>
      <w:pPr>
        <w:spacing w:line="360" w:lineRule="auto"/>
        <w:ind w:firstLine="480"/>
        <w:rPr>
          <w:rFonts w:ascii="宋体" w:hAnsi="宋体" w:cs="仿宋"/>
          <w:snapToGrid w:val="0"/>
          <w:kern w:val="0"/>
        </w:rPr>
      </w:pPr>
      <w:r>
        <w:rPr>
          <w:rFonts w:hint="eastAsia" w:ascii="宋体" w:hAnsi="宋体" w:cs="仿宋"/>
          <w:snapToGrid w:val="0"/>
          <w:kern w:val="0"/>
        </w:rPr>
        <w:t>1</w:t>
      </w:r>
      <w:r>
        <w:rPr>
          <w:rFonts w:ascii="宋体" w:hAnsi="宋体" w:cs="仿宋"/>
          <w:snapToGrid w:val="0"/>
          <w:kern w:val="0"/>
        </w:rPr>
        <w:t>.供应商必须是具有独立承担民事责任能力的在中华人民共和国境内注册的法人或其他组织，投标时提交有效的营业执照（或事业法人登记证等相关证明）副本复印件</w:t>
      </w:r>
      <w:r>
        <w:rPr>
          <w:rFonts w:hint="eastAsia" w:ascii="宋体" w:hAnsi="宋体" w:cs="仿宋"/>
          <w:snapToGrid w:val="0"/>
          <w:kern w:val="0"/>
        </w:rPr>
        <w:t>；</w:t>
      </w:r>
    </w:p>
    <w:p>
      <w:pPr>
        <w:spacing w:line="360" w:lineRule="auto"/>
        <w:ind w:firstLine="480"/>
        <w:rPr>
          <w:rFonts w:ascii="宋体" w:hAnsi="宋体" w:cs="仿宋"/>
          <w:snapToGrid w:val="0"/>
          <w:kern w:val="0"/>
        </w:rPr>
      </w:pPr>
      <w:r>
        <w:rPr>
          <w:rFonts w:hint="eastAsia" w:ascii="宋体" w:hAnsi="宋体" w:cs="仿宋"/>
          <w:snapToGrid w:val="0"/>
          <w:kern w:val="0"/>
        </w:rPr>
        <w:t>2</w:t>
      </w:r>
      <w:r>
        <w:rPr>
          <w:rFonts w:ascii="宋体" w:hAnsi="宋体" w:cs="仿宋"/>
          <w:snapToGrid w:val="0"/>
          <w:kern w:val="0"/>
        </w:rPr>
        <w:t>.</w:t>
      </w:r>
      <w:r>
        <w:rPr>
          <w:rFonts w:hint="eastAsia" w:ascii="宋体" w:hAnsi="宋体" w:cs="仿宋"/>
          <w:snapToGrid w:val="0"/>
          <w:kern w:val="0"/>
        </w:rPr>
        <w:t>具有良好的商业信誉和健全的财务会计制度</w:t>
      </w:r>
      <w:r>
        <w:rPr>
          <w:rFonts w:hint="eastAsia" w:ascii="宋体" w:hAnsi="宋体" w:cs="仿宋"/>
          <w:b/>
          <w:snapToGrid w:val="0"/>
          <w:kern w:val="0"/>
          <w:u w:val="single"/>
        </w:rPr>
        <w:t>（</w:t>
      </w:r>
      <w:r>
        <w:rPr>
          <w:rFonts w:hint="eastAsia" w:ascii="宋体" w:hAnsi="宋体" w:cs="仿宋"/>
          <w:b/>
          <w:bCs/>
          <w:snapToGrid w:val="0"/>
          <w:kern w:val="0"/>
          <w:u w:val="single"/>
        </w:rPr>
        <w:t>提供20</w:t>
      </w:r>
      <w:r>
        <w:rPr>
          <w:rFonts w:ascii="宋体" w:hAnsi="宋体" w:cs="仿宋"/>
          <w:b/>
          <w:bCs/>
          <w:snapToGrid w:val="0"/>
          <w:kern w:val="0"/>
          <w:u w:val="single"/>
        </w:rPr>
        <w:t>21</w:t>
      </w:r>
      <w:r>
        <w:rPr>
          <w:rFonts w:hint="eastAsia" w:ascii="宋体" w:hAnsi="宋体" w:cs="仿宋"/>
          <w:b/>
          <w:bCs/>
          <w:snapToGrid w:val="0"/>
          <w:kern w:val="0"/>
          <w:u w:val="single"/>
        </w:rPr>
        <w:t>年度财务状况报告或20</w:t>
      </w:r>
      <w:r>
        <w:rPr>
          <w:rFonts w:ascii="宋体" w:hAnsi="宋体" w:cs="仿宋"/>
          <w:b/>
          <w:bCs/>
          <w:snapToGrid w:val="0"/>
          <w:kern w:val="0"/>
          <w:u w:val="single"/>
        </w:rPr>
        <w:t>22</w:t>
      </w:r>
      <w:r>
        <w:rPr>
          <w:rFonts w:hint="eastAsia" w:ascii="宋体" w:hAnsi="宋体" w:cs="仿宋"/>
          <w:b/>
          <w:bCs/>
          <w:snapToGrid w:val="0"/>
          <w:kern w:val="0"/>
          <w:u w:val="single"/>
        </w:rPr>
        <w:t>年</w:t>
      </w:r>
      <w:r>
        <w:rPr>
          <w:rFonts w:hint="eastAsia" w:ascii="宋体" w:hAnsi="宋体" w:cs="仿宋"/>
          <w:b/>
          <w:bCs/>
          <w:snapToGrid w:val="0"/>
          <w:kern w:val="0"/>
          <w:u w:val="single"/>
          <w:lang w:eastAsia="zh-CN"/>
        </w:rPr>
        <w:t>下半年</w:t>
      </w:r>
      <w:r>
        <w:rPr>
          <w:rFonts w:hint="eastAsia" w:ascii="宋体" w:hAnsi="宋体" w:cs="仿宋"/>
          <w:b/>
          <w:bCs/>
          <w:snapToGrid w:val="0"/>
          <w:kern w:val="0"/>
          <w:u w:val="single"/>
        </w:rPr>
        <w:t>任意</w:t>
      </w:r>
      <w:r>
        <w:rPr>
          <w:rFonts w:ascii="宋体" w:hAnsi="宋体" w:cs="仿宋"/>
          <w:b/>
          <w:bCs/>
          <w:snapToGrid w:val="0"/>
          <w:kern w:val="0"/>
          <w:u w:val="single"/>
        </w:rPr>
        <w:t>1</w:t>
      </w:r>
      <w:r>
        <w:rPr>
          <w:rFonts w:hint="eastAsia" w:ascii="宋体" w:hAnsi="宋体" w:cs="仿宋"/>
          <w:b/>
          <w:bCs/>
          <w:snapToGrid w:val="0"/>
          <w:kern w:val="0"/>
          <w:u w:val="single"/>
        </w:rPr>
        <w:t>个月的财务状况报告复印件，或提供银行出具的资信证明材料复印件</w:t>
      </w:r>
      <w:r>
        <w:rPr>
          <w:rFonts w:hint="eastAsia" w:ascii="宋体" w:hAnsi="宋体" w:cs="仿宋"/>
          <w:b/>
          <w:snapToGrid w:val="0"/>
          <w:kern w:val="0"/>
          <w:u w:val="single"/>
        </w:rPr>
        <w:t>）</w:t>
      </w:r>
      <w:r>
        <w:rPr>
          <w:rFonts w:hint="eastAsia" w:ascii="宋体" w:hAnsi="宋体" w:cs="仿宋"/>
          <w:snapToGrid w:val="0"/>
          <w:kern w:val="0"/>
        </w:rPr>
        <w:t>。</w:t>
      </w:r>
    </w:p>
    <w:p>
      <w:pPr>
        <w:spacing w:line="360" w:lineRule="auto"/>
        <w:ind w:firstLine="480"/>
        <w:rPr>
          <w:rFonts w:ascii="宋体" w:hAnsi="宋体" w:cs="仿宋"/>
          <w:snapToGrid w:val="0"/>
          <w:kern w:val="0"/>
        </w:rPr>
      </w:pPr>
      <w:r>
        <w:rPr>
          <w:rFonts w:hint="eastAsia" w:ascii="宋体" w:hAnsi="宋体" w:cs="仿宋"/>
          <w:snapToGrid w:val="0"/>
          <w:kern w:val="0"/>
        </w:rPr>
        <w:t>3</w:t>
      </w:r>
      <w:r>
        <w:rPr>
          <w:rFonts w:ascii="宋体" w:hAnsi="宋体" w:cs="仿宋"/>
          <w:snapToGrid w:val="0"/>
          <w:kern w:val="0"/>
        </w:rPr>
        <w:t>.</w:t>
      </w:r>
      <w:r>
        <w:rPr>
          <w:rFonts w:hint="eastAsia" w:ascii="宋体" w:hAnsi="宋体" w:cs="仿宋"/>
          <w:snapToGrid w:val="0"/>
          <w:kern w:val="0"/>
        </w:rPr>
        <w:t>有依法缴纳税收和社会保障资金的良好记录</w:t>
      </w:r>
      <w:r>
        <w:rPr>
          <w:rFonts w:hint="eastAsia" w:ascii="宋体" w:hAnsi="宋体" w:cs="仿宋"/>
          <w:b/>
          <w:snapToGrid w:val="0"/>
          <w:kern w:val="0"/>
          <w:u w:val="single"/>
        </w:rPr>
        <w:t>（</w:t>
      </w:r>
      <w:r>
        <w:rPr>
          <w:rFonts w:hint="eastAsia" w:ascii="宋体" w:hAnsi="宋体" w:cs="仿宋"/>
          <w:b/>
          <w:bCs/>
          <w:snapToGrid w:val="0"/>
          <w:kern w:val="0"/>
          <w:u w:val="single"/>
        </w:rPr>
        <w:t>提供20</w:t>
      </w:r>
      <w:r>
        <w:rPr>
          <w:rFonts w:ascii="宋体" w:hAnsi="宋体" w:cs="仿宋"/>
          <w:b/>
          <w:bCs/>
          <w:snapToGrid w:val="0"/>
          <w:kern w:val="0"/>
          <w:u w:val="single"/>
        </w:rPr>
        <w:t>22</w:t>
      </w:r>
      <w:r>
        <w:rPr>
          <w:rFonts w:hint="eastAsia" w:ascii="宋体" w:hAnsi="宋体" w:cs="仿宋"/>
          <w:b/>
          <w:bCs/>
          <w:snapToGrid w:val="0"/>
          <w:kern w:val="0"/>
          <w:u w:val="single"/>
        </w:rPr>
        <w:t>年</w:t>
      </w:r>
      <w:r>
        <w:rPr>
          <w:rFonts w:hint="eastAsia" w:ascii="宋体" w:hAnsi="宋体" w:cs="仿宋"/>
          <w:b/>
          <w:bCs/>
          <w:snapToGrid w:val="0"/>
          <w:kern w:val="0"/>
          <w:u w:val="single"/>
          <w:lang w:eastAsia="zh-CN"/>
        </w:rPr>
        <w:t>下半年</w:t>
      </w:r>
      <w:r>
        <w:rPr>
          <w:rFonts w:hint="eastAsia" w:ascii="宋体" w:hAnsi="宋体" w:cs="仿宋"/>
          <w:b/>
          <w:bCs/>
          <w:snapToGrid w:val="0"/>
          <w:kern w:val="0"/>
          <w:u w:val="single"/>
        </w:rPr>
        <w:t>任意1个月缴纳税收和社会保险的凭据证明材料复印件；如依法免税或不需要缴纳社会保障资金的，应提供相应文件证明</w:t>
      </w:r>
      <w:r>
        <w:rPr>
          <w:rFonts w:hint="eastAsia" w:ascii="宋体" w:hAnsi="宋体" w:cs="仿宋"/>
          <w:b/>
          <w:snapToGrid w:val="0"/>
          <w:kern w:val="0"/>
          <w:u w:val="single"/>
        </w:rPr>
        <w:t>）</w:t>
      </w:r>
      <w:r>
        <w:rPr>
          <w:rFonts w:hint="eastAsia" w:ascii="宋体" w:hAnsi="宋体" w:cs="仿宋"/>
          <w:snapToGrid w:val="0"/>
          <w:kern w:val="0"/>
        </w:rPr>
        <w:t>。</w:t>
      </w:r>
    </w:p>
    <w:p>
      <w:pPr>
        <w:spacing w:line="360" w:lineRule="auto"/>
        <w:ind w:firstLine="480"/>
        <w:rPr>
          <w:rFonts w:ascii="宋体" w:hAnsi="宋体" w:cs="仿宋"/>
          <w:snapToGrid w:val="0"/>
          <w:kern w:val="0"/>
        </w:rPr>
      </w:pPr>
      <w:r>
        <w:rPr>
          <w:rFonts w:hint="eastAsia" w:ascii="宋体" w:hAnsi="宋体" w:cs="仿宋"/>
          <w:snapToGrid w:val="0"/>
          <w:kern w:val="0"/>
        </w:rPr>
        <w:t>4</w:t>
      </w:r>
      <w:r>
        <w:rPr>
          <w:rFonts w:ascii="宋体" w:hAnsi="宋体" w:cs="仿宋"/>
          <w:snapToGrid w:val="0"/>
          <w:kern w:val="0"/>
        </w:rPr>
        <w:t>.</w:t>
      </w:r>
      <w:r>
        <w:rPr>
          <w:rFonts w:hint="eastAsia" w:ascii="宋体" w:hAnsi="宋体" w:cs="仿宋"/>
          <w:snapToGrid w:val="0"/>
          <w:kern w:val="0"/>
        </w:rPr>
        <w:t>具有履行合同所必需的设备和专业技术能力</w:t>
      </w:r>
      <w:r>
        <w:rPr>
          <w:rFonts w:hint="eastAsia" w:ascii="宋体" w:hAnsi="宋体" w:cs="仿宋"/>
          <w:b/>
          <w:snapToGrid w:val="0"/>
          <w:kern w:val="0"/>
          <w:u w:val="single"/>
        </w:rPr>
        <w:t>（提供声明函，格式自拟）</w:t>
      </w:r>
      <w:r>
        <w:rPr>
          <w:rFonts w:hint="eastAsia" w:ascii="宋体" w:hAnsi="宋体" w:cs="仿宋"/>
          <w:bCs/>
          <w:snapToGrid w:val="0"/>
          <w:kern w:val="0"/>
        </w:rPr>
        <w:t>。</w:t>
      </w:r>
    </w:p>
    <w:p>
      <w:pPr>
        <w:spacing w:line="360" w:lineRule="auto"/>
        <w:ind w:firstLine="480"/>
        <w:rPr>
          <w:rFonts w:ascii="宋体" w:hAnsi="宋体" w:cs="仿宋"/>
          <w:snapToGrid w:val="0"/>
          <w:kern w:val="0"/>
        </w:rPr>
      </w:pPr>
      <w:r>
        <w:rPr>
          <w:rFonts w:hint="eastAsia" w:ascii="宋体" w:hAnsi="宋体" w:cs="仿宋"/>
          <w:snapToGrid w:val="0"/>
          <w:kern w:val="0"/>
        </w:rPr>
        <w:t>5</w:t>
      </w:r>
      <w:r>
        <w:rPr>
          <w:rFonts w:ascii="宋体" w:hAnsi="宋体" w:cs="仿宋"/>
          <w:snapToGrid w:val="0"/>
          <w:kern w:val="0"/>
        </w:rPr>
        <w:t>.</w:t>
      </w:r>
      <w:r>
        <w:rPr>
          <w:rFonts w:hint="eastAsia" w:ascii="宋体" w:hAnsi="宋体" w:cs="仿宋"/>
          <w:snapToGrid w:val="0"/>
          <w:kern w:val="0"/>
        </w:rPr>
        <w:t>参加政府采购活动前三年内，在经营活动中没有重大违法记录</w:t>
      </w:r>
      <w:r>
        <w:rPr>
          <w:rFonts w:hint="eastAsia" w:ascii="宋体" w:hAnsi="宋体" w:cs="仿宋"/>
          <w:b/>
          <w:snapToGrid w:val="0"/>
          <w:kern w:val="0"/>
          <w:u w:val="single"/>
        </w:rPr>
        <w:t>（提供声明函，格式自拟）</w:t>
      </w:r>
      <w:r>
        <w:rPr>
          <w:rFonts w:hint="eastAsia" w:ascii="宋体" w:hAnsi="宋体" w:cs="仿宋"/>
          <w:b/>
          <w:snapToGrid w:val="0"/>
          <w:kern w:val="0"/>
        </w:rPr>
        <w:t>。</w:t>
      </w:r>
    </w:p>
    <w:p>
      <w:pPr>
        <w:spacing w:line="360" w:lineRule="auto"/>
        <w:ind w:firstLine="480"/>
        <w:rPr>
          <w:rFonts w:ascii="宋体" w:hAnsi="宋体" w:cs="仿宋"/>
          <w:snapToGrid w:val="0"/>
          <w:kern w:val="0"/>
        </w:rPr>
      </w:pPr>
      <w:r>
        <w:rPr>
          <w:rFonts w:hint="eastAsia" w:ascii="宋体" w:hAnsi="宋体" w:cs="仿宋"/>
          <w:snapToGrid w:val="0"/>
          <w:kern w:val="0"/>
          <w:lang w:val="en-US" w:eastAsia="zh-CN"/>
        </w:rPr>
        <w:t>6</w:t>
      </w:r>
      <w:r>
        <w:rPr>
          <w:rFonts w:ascii="宋体" w:hAnsi="宋体" w:cs="仿宋"/>
          <w:snapToGrid w:val="0"/>
          <w:kern w:val="0"/>
        </w:rPr>
        <w:t>.</w:t>
      </w:r>
      <w:r>
        <w:rPr>
          <w:rFonts w:hint="eastAsia" w:ascii="宋体" w:hAnsi="宋体" w:cs="仿宋"/>
          <w:snapToGrid w:val="0"/>
          <w:kern w:val="0"/>
        </w:rPr>
        <w:t>供应商于投标截止日前未被列入“信用中国”网站(www.creditchina.gov.cn)“记录失信被执行人或重大税收违法案件当事人名单或政府采购严重违法失信行为”记录名单。</w:t>
      </w:r>
    </w:p>
    <w:p>
      <w:pPr>
        <w:spacing w:line="360" w:lineRule="auto"/>
        <w:ind w:firstLine="480"/>
        <w:rPr>
          <w:rFonts w:ascii="宋体" w:hAnsi="宋体" w:cs="仿宋"/>
          <w:lang w:val="hr-HR"/>
        </w:rPr>
      </w:pPr>
      <w:r>
        <w:rPr>
          <w:rFonts w:hint="eastAsia" w:ascii="宋体" w:hAnsi="宋体" w:cs="仿宋"/>
          <w:snapToGrid w:val="0"/>
          <w:kern w:val="0"/>
          <w:lang w:val="en-US" w:eastAsia="zh-CN"/>
        </w:rPr>
        <w:t>7</w:t>
      </w:r>
      <w:r>
        <w:rPr>
          <w:rFonts w:ascii="宋体" w:hAnsi="宋体" w:cs="仿宋"/>
          <w:snapToGrid w:val="0"/>
          <w:kern w:val="0"/>
        </w:rPr>
        <w:t>.</w:t>
      </w:r>
      <w:r>
        <w:rPr>
          <w:rFonts w:hint="eastAsia" w:ascii="宋体" w:hAnsi="宋体" w:cs="仿宋"/>
          <w:snapToGrid w:val="0"/>
          <w:kern w:val="0"/>
        </w:rPr>
        <w:t>本项目不接受联合体，不允许对本项目进行分包和转包</w:t>
      </w:r>
      <w:r>
        <w:rPr>
          <w:rFonts w:hint="eastAsia" w:ascii="宋体" w:hAnsi="宋体" w:cs="仿宋"/>
          <w:b/>
          <w:snapToGrid w:val="0"/>
          <w:kern w:val="0"/>
        </w:rPr>
        <w:t>（提供书面声明函）</w:t>
      </w:r>
      <w:r>
        <w:rPr>
          <w:rFonts w:hint="eastAsia" w:ascii="宋体" w:hAnsi="宋体" w:cs="仿宋"/>
          <w:snapToGrid w:val="0"/>
          <w:kern w:val="0"/>
        </w:rPr>
        <w:t>。</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21" w:name="_Toc4426"/>
      <w:bookmarkStart w:id="22" w:name="_Toc202816998"/>
      <w:bookmarkStart w:id="23" w:name="_Toc202251702"/>
      <w:bookmarkStart w:id="24" w:name="_Toc202252036"/>
      <w:bookmarkStart w:id="25" w:name="_Toc202819880"/>
      <w:bookmarkStart w:id="26" w:name="_Toc202820353"/>
      <w:bookmarkStart w:id="27" w:name="_Toc202251077"/>
      <w:bookmarkStart w:id="28" w:name="_Toc202254107"/>
      <w:bookmarkStart w:id="29" w:name="_Toc395800950"/>
      <w:bookmarkStart w:id="30" w:name="_Toc29676"/>
      <w:r>
        <w:rPr>
          <w:rFonts w:hint="eastAsia" w:ascii="宋体" w:hAnsi="宋体" w:cs="仿宋"/>
          <w:b/>
        </w:rPr>
        <w:t>二、服务部分</w:t>
      </w:r>
      <w:bookmarkEnd w:id="21"/>
      <w:bookmarkEnd w:id="22"/>
      <w:bookmarkEnd w:id="23"/>
      <w:bookmarkEnd w:id="24"/>
      <w:bookmarkEnd w:id="25"/>
      <w:bookmarkEnd w:id="26"/>
      <w:bookmarkEnd w:id="27"/>
      <w:bookmarkEnd w:id="28"/>
      <w:bookmarkEnd w:id="29"/>
      <w:bookmarkEnd w:id="30"/>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1" w:name="_Toc202820354"/>
      <w:bookmarkStart w:id="32" w:name="_Toc202819881"/>
      <w:bookmarkStart w:id="33" w:name="_Toc202816999"/>
    </w:p>
    <w:bookmarkEnd w:id="31"/>
    <w:bookmarkEnd w:id="32"/>
    <w:bookmarkEnd w:id="33"/>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2"/>
    <w:bookmarkEnd w:id="13"/>
    <w:bookmarkEnd w:id="14"/>
    <w:bookmarkEnd w:id="15"/>
    <w:bookmarkEnd w:id="16"/>
    <w:bookmarkEnd w:id="17"/>
    <w:bookmarkEnd w:id="18"/>
    <w:bookmarkEnd w:id="19"/>
    <w:bookmarkEnd w:id="20"/>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5"/>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5"/>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4"/>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5"/>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3"/>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5"/>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5"/>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5"/>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5"/>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5"/>
        <w:ind w:firstLine="600"/>
        <w:rPr>
          <w:rFonts w:ascii="宋体" w:hAnsi="宋体" w:cs="仿宋"/>
          <w:sz w:val="28"/>
          <w:szCs w:val="28"/>
        </w:rPr>
      </w:pPr>
    </w:p>
    <w:p>
      <w:pPr>
        <w:pStyle w:val="35"/>
        <w:ind w:firstLine="600"/>
        <w:rPr>
          <w:rFonts w:ascii="宋体" w:hAnsi="宋体" w:cs="仿宋"/>
          <w:sz w:val="28"/>
          <w:szCs w:val="28"/>
        </w:rPr>
      </w:pPr>
    </w:p>
    <w:p>
      <w:pPr>
        <w:pStyle w:val="35"/>
        <w:ind w:firstLine="600"/>
        <w:rPr>
          <w:rFonts w:ascii="宋体" w:hAnsi="宋体" w:cs="仿宋"/>
          <w:sz w:val="28"/>
          <w:szCs w:val="28"/>
        </w:rPr>
      </w:pPr>
    </w:p>
    <w:p>
      <w:pPr>
        <w:pStyle w:val="35"/>
        <w:ind w:firstLine="600"/>
        <w:rPr>
          <w:rFonts w:ascii="宋体" w:hAnsi="宋体" w:cs="仿宋"/>
          <w:sz w:val="28"/>
          <w:szCs w:val="28"/>
        </w:rPr>
      </w:pPr>
    </w:p>
    <w:p>
      <w:pPr>
        <w:pStyle w:val="35"/>
        <w:ind w:firstLine="600"/>
        <w:rPr>
          <w:rFonts w:ascii="宋体" w:hAnsi="宋体" w:cs="仿宋"/>
          <w:sz w:val="28"/>
          <w:szCs w:val="28"/>
        </w:rPr>
      </w:pPr>
    </w:p>
    <w:p>
      <w:pPr>
        <w:pStyle w:val="35"/>
        <w:ind w:firstLine="600"/>
        <w:rPr>
          <w:rFonts w:ascii="宋体" w:hAnsi="宋体" w:cs="仿宋"/>
          <w:sz w:val="28"/>
          <w:szCs w:val="28"/>
        </w:rPr>
      </w:pPr>
    </w:p>
    <w:p>
      <w:pPr>
        <w:pStyle w:val="35"/>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4" w:name="_Toc6273"/>
      <w:r>
        <w:rPr>
          <w:rFonts w:hint="eastAsia" w:ascii="宋体" w:hAnsi="宋体" w:cs="仿宋"/>
          <w:b/>
        </w:rPr>
        <w:t>四、价格部分</w:t>
      </w:r>
      <w:bookmarkEnd w:id="34"/>
    </w:p>
    <w:p>
      <w:pPr>
        <w:jc w:val="center"/>
        <w:rPr>
          <w:rFonts w:ascii="宋体" w:hAnsi="宋体" w:cs="仿宋"/>
          <w:b/>
          <w:bCs/>
        </w:rPr>
      </w:pPr>
      <w:r>
        <w:rPr>
          <w:rFonts w:hint="eastAsia" w:ascii="宋体" w:hAnsi="宋体" w:cs="仿宋"/>
          <w:b/>
          <w:bCs/>
        </w:rPr>
        <w:t>报价一览表</w:t>
      </w:r>
    </w:p>
    <w:tbl>
      <w:tblPr>
        <w:tblStyle w:val="15"/>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5"/>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Lucida Console">
    <w:panose1 w:val="020B0609040504020204"/>
    <w:charset w:val="00"/>
    <w:family w:val="modern"/>
    <w:pitch w:val="default"/>
    <w:sig w:usb0="8000028F" w:usb1="00001800" w:usb2="00000000" w:usb3="00000000" w:csb0="0000001F" w:csb1="D7D70000"/>
  </w:font>
  <w:font w:name="微软雅黑 Bold">
    <w:altName w:val="黑体"/>
    <w:panose1 w:val="020B07030202040202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8434E1"/>
    <w:multiLevelType w:val="multilevel"/>
    <w:tmpl w:val="578434E1"/>
    <w:lvl w:ilvl="0" w:tentative="0">
      <w:start w:val="1"/>
      <w:numFmt w:val="bullet"/>
      <w:lvlText w:val=""/>
      <w:lvlJc w:val="left"/>
      <w:pPr>
        <w:ind w:left="2937" w:hanging="420"/>
      </w:pPr>
      <w:rPr>
        <w:rFonts w:hint="default" w:ascii="Wingdings" w:hAnsi="Wingdings"/>
      </w:rPr>
    </w:lvl>
    <w:lvl w:ilvl="1" w:tentative="0">
      <w:start w:val="1"/>
      <w:numFmt w:val="bullet"/>
      <w:lvlText w:val=""/>
      <w:lvlJc w:val="left"/>
      <w:pPr>
        <w:ind w:left="3357" w:hanging="420"/>
      </w:pPr>
      <w:rPr>
        <w:rFonts w:hint="default" w:ascii="Wingdings" w:hAnsi="Wingdings"/>
      </w:rPr>
    </w:lvl>
    <w:lvl w:ilvl="2" w:tentative="0">
      <w:start w:val="1"/>
      <w:numFmt w:val="bullet"/>
      <w:lvlText w:val=""/>
      <w:lvlJc w:val="left"/>
      <w:pPr>
        <w:ind w:left="3777" w:hanging="420"/>
      </w:pPr>
      <w:rPr>
        <w:rFonts w:hint="default" w:ascii="Wingdings" w:hAnsi="Wingdings"/>
      </w:rPr>
    </w:lvl>
    <w:lvl w:ilvl="3" w:tentative="0">
      <w:start w:val="1"/>
      <w:numFmt w:val="bullet"/>
      <w:lvlText w:val=""/>
      <w:lvlJc w:val="left"/>
      <w:pPr>
        <w:ind w:left="4197" w:hanging="420"/>
      </w:pPr>
      <w:rPr>
        <w:rFonts w:hint="default" w:ascii="Wingdings" w:hAnsi="Wingdings"/>
      </w:rPr>
    </w:lvl>
    <w:lvl w:ilvl="4" w:tentative="0">
      <w:start w:val="1"/>
      <w:numFmt w:val="bullet"/>
      <w:lvlText w:val=""/>
      <w:lvlJc w:val="left"/>
      <w:pPr>
        <w:ind w:left="4617" w:hanging="420"/>
      </w:pPr>
      <w:rPr>
        <w:rFonts w:hint="default" w:ascii="Wingdings" w:hAnsi="Wingdings"/>
      </w:rPr>
    </w:lvl>
    <w:lvl w:ilvl="5" w:tentative="0">
      <w:start w:val="1"/>
      <w:numFmt w:val="bullet"/>
      <w:lvlText w:val=""/>
      <w:lvlJc w:val="left"/>
      <w:pPr>
        <w:ind w:left="5037" w:hanging="420"/>
      </w:pPr>
      <w:rPr>
        <w:rFonts w:hint="default" w:ascii="Wingdings" w:hAnsi="Wingdings"/>
      </w:rPr>
    </w:lvl>
    <w:lvl w:ilvl="6" w:tentative="0">
      <w:start w:val="1"/>
      <w:numFmt w:val="bullet"/>
      <w:lvlText w:val=""/>
      <w:lvlJc w:val="left"/>
      <w:pPr>
        <w:ind w:left="5457" w:hanging="420"/>
      </w:pPr>
      <w:rPr>
        <w:rFonts w:hint="default" w:ascii="Wingdings" w:hAnsi="Wingdings"/>
      </w:rPr>
    </w:lvl>
    <w:lvl w:ilvl="7" w:tentative="0">
      <w:start w:val="1"/>
      <w:numFmt w:val="bullet"/>
      <w:lvlText w:val=""/>
      <w:lvlJc w:val="left"/>
      <w:pPr>
        <w:ind w:left="5877" w:hanging="420"/>
      </w:pPr>
      <w:rPr>
        <w:rFonts w:hint="default" w:ascii="Wingdings" w:hAnsi="Wingdings"/>
      </w:rPr>
    </w:lvl>
    <w:lvl w:ilvl="8" w:tentative="0">
      <w:start w:val="1"/>
      <w:numFmt w:val="bullet"/>
      <w:lvlText w:val=""/>
      <w:lvlJc w:val="left"/>
      <w:pPr>
        <w:ind w:left="6297" w:hanging="420"/>
      </w:pPr>
      <w:rPr>
        <w:rFonts w:hint="default" w:ascii="Wingdings" w:hAnsi="Wingdings"/>
      </w:rPr>
    </w:lvl>
  </w:abstractNum>
  <w:abstractNum w:abstractNumId="1">
    <w:nsid w:val="60C1C135"/>
    <w:multiLevelType w:val="singleLevel"/>
    <w:tmpl w:val="60C1C135"/>
    <w:lvl w:ilvl="0" w:tentative="0">
      <w:start w:val="1"/>
      <w:numFmt w:val="bullet"/>
      <w:pStyle w:val="8"/>
      <w:lvlText w:val=""/>
      <w:lvlJc w:val="left"/>
      <w:pPr>
        <w:tabs>
          <w:tab w:val="left" w:pos="360"/>
        </w:tabs>
        <w:ind w:left="360" w:hanging="360"/>
      </w:pPr>
      <w:rPr>
        <w:rFonts w:hint="default" w:ascii="Wingdings" w:hAnsi="Wingdings"/>
      </w:rPr>
    </w:lvl>
  </w:abstractNum>
  <w:abstractNum w:abstractNumId="2">
    <w:nsid w:val="66CA0DCA"/>
    <w:multiLevelType w:val="multilevel"/>
    <w:tmpl w:val="66CA0DCA"/>
    <w:lvl w:ilvl="0" w:tentative="0">
      <w:start w:val="1"/>
      <w:numFmt w:val="bullet"/>
      <w:pStyle w:val="37"/>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iMDhmY2ZmYzhkMmJmYjcwNDA5YzZiYTBkZmY1OTAifQ=="/>
  </w:docVars>
  <w:rsids>
    <w:rsidRoot w:val="00172A27"/>
    <w:rsid w:val="00053470"/>
    <w:rsid w:val="00062E18"/>
    <w:rsid w:val="000632CD"/>
    <w:rsid w:val="000633CC"/>
    <w:rsid w:val="000753DB"/>
    <w:rsid w:val="0007589E"/>
    <w:rsid w:val="00076F93"/>
    <w:rsid w:val="00077E14"/>
    <w:rsid w:val="00077EEB"/>
    <w:rsid w:val="00084D1C"/>
    <w:rsid w:val="0009715C"/>
    <w:rsid w:val="000C60DC"/>
    <w:rsid w:val="000D683B"/>
    <w:rsid w:val="00105B19"/>
    <w:rsid w:val="001105DE"/>
    <w:rsid w:val="00112002"/>
    <w:rsid w:val="00151430"/>
    <w:rsid w:val="001544F2"/>
    <w:rsid w:val="00163EB3"/>
    <w:rsid w:val="00172260"/>
    <w:rsid w:val="00180FB3"/>
    <w:rsid w:val="00191DAD"/>
    <w:rsid w:val="001A0AFE"/>
    <w:rsid w:val="001B0BD5"/>
    <w:rsid w:val="001B0D71"/>
    <w:rsid w:val="001B70A3"/>
    <w:rsid w:val="001E01D9"/>
    <w:rsid w:val="001E5484"/>
    <w:rsid w:val="001F040A"/>
    <w:rsid w:val="00212990"/>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64A6"/>
    <w:rsid w:val="00320573"/>
    <w:rsid w:val="00381D22"/>
    <w:rsid w:val="003B1888"/>
    <w:rsid w:val="003C6E44"/>
    <w:rsid w:val="004117A8"/>
    <w:rsid w:val="00416CA6"/>
    <w:rsid w:val="00440EE3"/>
    <w:rsid w:val="00446FB1"/>
    <w:rsid w:val="0044784D"/>
    <w:rsid w:val="004638DF"/>
    <w:rsid w:val="00463EB9"/>
    <w:rsid w:val="0049576E"/>
    <w:rsid w:val="004A4303"/>
    <w:rsid w:val="004A6F93"/>
    <w:rsid w:val="004B7064"/>
    <w:rsid w:val="004B7E5A"/>
    <w:rsid w:val="004C0AE1"/>
    <w:rsid w:val="004C68E3"/>
    <w:rsid w:val="004D1423"/>
    <w:rsid w:val="004D1526"/>
    <w:rsid w:val="004E18C6"/>
    <w:rsid w:val="004E2A94"/>
    <w:rsid w:val="004E42D3"/>
    <w:rsid w:val="004E732A"/>
    <w:rsid w:val="005038C1"/>
    <w:rsid w:val="00510AF4"/>
    <w:rsid w:val="00524145"/>
    <w:rsid w:val="00533E87"/>
    <w:rsid w:val="00535504"/>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B1DE0"/>
    <w:rsid w:val="006C1EEE"/>
    <w:rsid w:val="006C24B2"/>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D6C76"/>
    <w:rsid w:val="007F0058"/>
    <w:rsid w:val="00802F90"/>
    <w:rsid w:val="00812005"/>
    <w:rsid w:val="00817F91"/>
    <w:rsid w:val="00821F77"/>
    <w:rsid w:val="00825C90"/>
    <w:rsid w:val="0083222A"/>
    <w:rsid w:val="00833810"/>
    <w:rsid w:val="008417AB"/>
    <w:rsid w:val="00854A26"/>
    <w:rsid w:val="00861919"/>
    <w:rsid w:val="008813ED"/>
    <w:rsid w:val="00881D6D"/>
    <w:rsid w:val="00884545"/>
    <w:rsid w:val="00884E2F"/>
    <w:rsid w:val="008A45C0"/>
    <w:rsid w:val="008B2CA9"/>
    <w:rsid w:val="008E01E6"/>
    <w:rsid w:val="008F7826"/>
    <w:rsid w:val="008F7DD3"/>
    <w:rsid w:val="009064B1"/>
    <w:rsid w:val="00906F34"/>
    <w:rsid w:val="009129DB"/>
    <w:rsid w:val="00917060"/>
    <w:rsid w:val="00917579"/>
    <w:rsid w:val="00933F48"/>
    <w:rsid w:val="009352AF"/>
    <w:rsid w:val="00950907"/>
    <w:rsid w:val="0095514D"/>
    <w:rsid w:val="00975C64"/>
    <w:rsid w:val="009862BB"/>
    <w:rsid w:val="00993BBD"/>
    <w:rsid w:val="009973B1"/>
    <w:rsid w:val="009A2021"/>
    <w:rsid w:val="009A75CD"/>
    <w:rsid w:val="009B302D"/>
    <w:rsid w:val="009B4BE7"/>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7C9B"/>
    <w:rsid w:val="00B85125"/>
    <w:rsid w:val="00B924BB"/>
    <w:rsid w:val="00BA0DA4"/>
    <w:rsid w:val="00BB5EE7"/>
    <w:rsid w:val="00BC1779"/>
    <w:rsid w:val="00BC1A33"/>
    <w:rsid w:val="00BC49C6"/>
    <w:rsid w:val="00BC643B"/>
    <w:rsid w:val="00BD520A"/>
    <w:rsid w:val="00BE71A6"/>
    <w:rsid w:val="00C008C8"/>
    <w:rsid w:val="00C073D6"/>
    <w:rsid w:val="00C11D51"/>
    <w:rsid w:val="00C1362A"/>
    <w:rsid w:val="00C3110F"/>
    <w:rsid w:val="00C3676F"/>
    <w:rsid w:val="00C47F61"/>
    <w:rsid w:val="00C64B97"/>
    <w:rsid w:val="00C739C1"/>
    <w:rsid w:val="00C85034"/>
    <w:rsid w:val="00CA6C27"/>
    <w:rsid w:val="00CC2319"/>
    <w:rsid w:val="00CD3A79"/>
    <w:rsid w:val="00CE2A6A"/>
    <w:rsid w:val="00CE515C"/>
    <w:rsid w:val="00D36C71"/>
    <w:rsid w:val="00D438EF"/>
    <w:rsid w:val="00D51CDD"/>
    <w:rsid w:val="00D528DB"/>
    <w:rsid w:val="00D834C4"/>
    <w:rsid w:val="00D84066"/>
    <w:rsid w:val="00D866EE"/>
    <w:rsid w:val="00D929B8"/>
    <w:rsid w:val="00D97AE3"/>
    <w:rsid w:val="00DA18F8"/>
    <w:rsid w:val="00DA1DEB"/>
    <w:rsid w:val="00DA5CE9"/>
    <w:rsid w:val="00DC0638"/>
    <w:rsid w:val="00DC72B8"/>
    <w:rsid w:val="00DE0C23"/>
    <w:rsid w:val="00DF3414"/>
    <w:rsid w:val="00DF5C95"/>
    <w:rsid w:val="00E03657"/>
    <w:rsid w:val="00E21563"/>
    <w:rsid w:val="00E36B65"/>
    <w:rsid w:val="00E77B27"/>
    <w:rsid w:val="00E918AB"/>
    <w:rsid w:val="00EA7393"/>
    <w:rsid w:val="00EC5079"/>
    <w:rsid w:val="00ED2A78"/>
    <w:rsid w:val="00EE2F05"/>
    <w:rsid w:val="00F07E81"/>
    <w:rsid w:val="00F22DEA"/>
    <w:rsid w:val="00F306D5"/>
    <w:rsid w:val="00F41B13"/>
    <w:rsid w:val="00F51A1C"/>
    <w:rsid w:val="00F67162"/>
    <w:rsid w:val="00F7494F"/>
    <w:rsid w:val="00F83C84"/>
    <w:rsid w:val="00F854FB"/>
    <w:rsid w:val="00F87420"/>
    <w:rsid w:val="00F94494"/>
    <w:rsid w:val="00FA2EEC"/>
    <w:rsid w:val="00FC0A72"/>
    <w:rsid w:val="00FC0D9E"/>
    <w:rsid w:val="00FC41EF"/>
    <w:rsid w:val="00FD73D5"/>
    <w:rsid w:val="00FF1334"/>
    <w:rsid w:val="00FF4C44"/>
    <w:rsid w:val="120B23D3"/>
    <w:rsid w:val="168C59ED"/>
    <w:rsid w:val="191D3739"/>
    <w:rsid w:val="23D87429"/>
    <w:rsid w:val="2EF763BF"/>
    <w:rsid w:val="31017980"/>
    <w:rsid w:val="313E3616"/>
    <w:rsid w:val="4FD5609B"/>
    <w:rsid w:val="548802B9"/>
    <w:rsid w:val="553F0D7B"/>
    <w:rsid w:val="59F578D8"/>
    <w:rsid w:val="5E953DC0"/>
    <w:rsid w:val="5EF64929"/>
    <w:rsid w:val="6089290A"/>
    <w:rsid w:val="6F141022"/>
    <w:rsid w:val="6F1550AC"/>
    <w:rsid w:val="70BE71A8"/>
    <w:rsid w:val="766931BF"/>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lang w:val="zh-CN" w:eastAsia="zh-CN"/>
    </w:rPr>
  </w:style>
  <w:style w:type="paragraph" w:styleId="4">
    <w:name w:val="heading 2"/>
    <w:basedOn w:val="1"/>
    <w:next w:val="1"/>
    <w:link w:val="41"/>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32"/>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6">
    <w:name w:val="Normal Indent"/>
    <w:basedOn w:val="1"/>
    <w:unhideWhenUsed/>
    <w:qFormat/>
    <w:uiPriority w:val="99"/>
    <w:pPr>
      <w:ind w:firstLine="420"/>
    </w:pPr>
    <w:rPr>
      <w:rFonts w:asciiTheme="minorHAnsi" w:hAnsiTheme="minorHAnsi" w:cstheme="minorBidi"/>
      <w:szCs w:val="22"/>
    </w:rPr>
  </w:style>
  <w:style w:type="paragraph" w:styleId="7">
    <w:name w:val="caption"/>
    <w:basedOn w:val="1"/>
    <w:next w:val="1"/>
    <w:qFormat/>
    <w:uiPriority w:val="35"/>
    <w:rPr>
      <w:rFonts w:ascii="Cambria" w:hAnsi="Cambria" w:eastAsia="黑体"/>
      <w:sz w:val="20"/>
      <w:szCs w:val="20"/>
    </w:rPr>
  </w:style>
  <w:style w:type="paragraph" w:styleId="8">
    <w:name w:val="List Bullet"/>
    <w:basedOn w:val="1"/>
    <w:unhideWhenUsed/>
    <w:qFormat/>
    <w:uiPriority w:val="99"/>
    <w:pPr>
      <w:numPr>
        <w:ilvl w:val="0"/>
        <w:numId w:val="1"/>
      </w:numPr>
    </w:pPr>
  </w:style>
  <w:style w:type="paragraph" w:styleId="9">
    <w:name w:val="Body Text Indent"/>
    <w:basedOn w:val="1"/>
    <w:link w:val="24"/>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10">
    <w:name w:val="Plain Text"/>
    <w:basedOn w:val="1"/>
    <w:link w:val="21"/>
    <w:unhideWhenUsed/>
    <w:qFormat/>
    <w:uiPriority w:val="99"/>
    <w:pPr>
      <w:spacing w:line="440" w:lineRule="exact"/>
      <w:ind w:firstLine="880" w:firstLineChars="200"/>
    </w:pPr>
    <w:rPr>
      <w:rFonts w:ascii="宋体" w:hAnsi="Courier New"/>
      <w:kern w:val="0"/>
      <w:sz w:val="24"/>
      <w:szCs w:val="21"/>
      <w:lang w:val="zh-CN" w:eastAsia="zh-CN"/>
    </w:rPr>
  </w:style>
  <w:style w:type="paragraph" w:styleId="11">
    <w:name w:val="Balloon Text"/>
    <w:basedOn w:val="1"/>
    <w:link w:val="29"/>
    <w:unhideWhenUsed/>
    <w:qFormat/>
    <w:uiPriority w:val="99"/>
    <w:rPr>
      <w:kern w:val="0"/>
      <w:sz w:val="18"/>
      <w:szCs w:val="18"/>
      <w:lang w:val="zh-CN" w:eastAsia="zh-CN"/>
    </w:rPr>
  </w:style>
  <w:style w:type="paragraph" w:styleId="12">
    <w:name w:val="footer"/>
    <w:basedOn w:val="1"/>
    <w:link w:val="31"/>
    <w:unhideWhenUsed/>
    <w:qFormat/>
    <w:uiPriority w:val="99"/>
    <w:pPr>
      <w:tabs>
        <w:tab w:val="center" w:pos="4153"/>
        <w:tab w:val="right" w:pos="8306"/>
      </w:tabs>
      <w:snapToGrid w:val="0"/>
      <w:jc w:val="left"/>
    </w:pPr>
    <w:rPr>
      <w:kern w:val="0"/>
      <w:sz w:val="18"/>
      <w:szCs w:val="18"/>
      <w:lang w:val="zh-CN" w:eastAsia="zh-CN"/>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table" w:styleId="16">
    <w:name w:val="Table Grid"/>
    <w:basedOn w:val="1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Hyperlink"/>
    <w:unhideWhenUsed/>
    <w:qFormat/>
    <w:uiPriority w:val="99"/>
    <w:rPr>
      <w:color w:val="0563C1"/>
      <w:u w:val="single"/>
    </w:rPr>
  </w:style>
  <w:style w:type="character" w:customStyle="1" w:styleId="19">
    <w:name w:val="页脚 Char"/>
    <w:qFormat/>
    <w:uiPriority w:val="0"/>
    <w:rPr>
      <w:rFonts w:eastAsia="宋体"/>
      <w:kern w:val="2"/>
      <w:sz w:val="18"/>
      <w:szCs w:val="18"/>
      <w:lang w:val="en-US" w:eastAsia="zh-CN" w:bidi="ar-SA"/>
    </w:rPr>
  </w:style>
  <w:style w:type="character" w:customStyle="1" w:styleId="20">
    <w:name w:val="fontstyle01"/>
    <w:qFormat/>
    <w:uiPriority w:val="0"/>
    <w:rPr>
      <w:rFonts w:hint="eastAsia" w:ascii="宋体" w:hAnsi="宋体" w:eastAsia="宋体"/>
      <w:color w:val="000000"/>
      <w:sz w:val="28"/>
      <w:szCs w:val="28"/>
    </w:rPr>
  </w:style>
  <w:style w:type="character" w:customStyle="1" w:styleId="21">
    <w:name w:val="纯文本 字符"/>
    <w:link w:val="10"/>
    <w:qFormat/>
    <w:uiPriority w:val="99"/>
    <w:rPr>
      <w:rFonts w:ascii="宋体" w:hAnsi="Courier New" w:eastAsia="宋体" w:cs="Courier New"/>
      <w:sz w:val="24"/>
      <w:szCs w:val="21"/>
    </w:rPr>
  </w:style>
  <w:style w:type="character" w:customStyle="1" w:styleId="22">
    <w:name w:val="列表段落 字符"/>
    <w:link w:val="23"/>
    <w:qFormat/>
    <w:locked/>
    <w:uiPriority w:val="34"/>
    <w:rPr>
      <w:rFonts w:ascii="Calibri" w:hAnsi="Calibri" w:eastAsia="宋体" w:cs="Times New Roman"/>
    </w:rPr>
  </w:style>
  <w:style w:type="paragraph" w:customStyle="1" w:styleId="23">
    <w:name w:val="List Paragraph"/>
    <w:basedOn w:val="1"/>
    <w:link w:val="22"/>
    <w:qFormat/>
    <w:uiPriority w:val="34"/>
    <w:pPr>
      <w:ind w:firstLine="420" w:firstLineChars="200"/>
    </w:pPr>
    <w:rPr>
      <w:kern w:val="0"/>
      <w:sz w:val="20"/>
      <w:szCs w:val="20"/>
      <w:lang w:val="zh-CN" w:eastAsia="zh-CN"/>
    </w:rPr>
  </w:style>
  <w:style w:type="character" w:customStyle="1" w:styleId="24">
    <w:name w:val="正文文本缩进 字符"/>
    <w:link w:val="9"/>
    <w:qFormat/>
    <w:uiPriority w:val="99"/>
    <w:rPr>
      <w:rFonts w:ascii="仿宋_GB2312" w:hAnsi="Times New Roman" w:eastAsia="仿宋_GB2312" w:cs="Times New Roman"/>
      <w:sz w:val="32"/>
      <w:szCs w:val="20"/>
    </w:rPr>
  </w:style>
  <w:style w:type="character" w:customStyle="1" w:styleId="25">
    <w:name w:val="页眉 字符"/>
    <w:link w:val="13"/>
    <w:qFormat/>
    <w:uiPriority w:val="99"/>
    <w:rPr>
      <w:sz w:val="18"/>
      <w:szCs w:val="18"/>
    </w:rPr>
  </w:style>
  <w:style w:type="character" w:customStyle="1" w:styleId="26">
    <w:name w:val="1J Char"/>
    <w:link w:val="27"/>
    <w:qFormat/>
    <w:uiPriority w:val="0"/>
    <w:rPr>
      <w:rFonts w:eastAsia="宋体"/>
      <w:b/>
      <w:sz w:val="24"/>
      <w:szCs w:val="24"/>
    </w:rPr>
  </w:style>
  <w:style w:type="paragraph" w:customStyle="1" w:styleId="27">
    <w:name w:val="1J"/>
    <w:basedOn w:val="1"/>
    <w:link w:val="26"/>
    <w:qFormat/>
    <w:uiPriority w:val="0"/>
    <w:pPr>
      <w:jc w:val="center"/>
    </w:pPr>
    <w:rPr>
      <w:b/>
      <w:kern w:val="0"/>
      <w:sz w:val="24"/>
      <w:szCs w:val="24"/>
      <w:lang w:val="zh-CN" w:eastAsia="zh-CN"/>
    </w:rPr>
  </w:style>
  <w:style w:type="character" w:customStyle="1" w:styleId="28">
    <w:name w:val="fontstyle31"/>
    <w:qFormat/>
    <w:uiPriority w:val="0"/>
    <w:rPr>
      <w:rFonts w:hint="default" w:ascii="Calibri" w:hAnsi="Calibri"/>
      <w:color w:val="000000"/>
      <w:sz w:val="22"/>
      <w:szCs w:val="22"/>
    </w:rPr>
  </w:style>
  <w:style w:type="character" w:customStyle="1" w:styleId="29">
    <w:name w:val="批注框文本 字符"/>
    <w:link w:val="11"/>
    <w:semiHidden/>
    <w:qFormat/>
    <w:uiPriority w:val="99"/>
    <w:rPr>
      <w:sz w:val="18"/>
      <w:szCs w:val="18"/>
    </w:rPr>
  </w:style>
  <w:style w:type="character" w:customStyle="1" w:styleId="30">
    <w:name w:val="fontstyle21"/>
    <w:qFormat/>
    <w:uiPriority w:val="0"/>
    <w:rPr>
      <w:rFonts w:hint="default" w:ascii="TimesNewRomanPSMT" w:hAnsi="TimesNewRomanPSMT"/>
      <w:color w:val="000000"/>
      <w:sz w:val="18"/>
      <w:szCs w:val="18"/>
    </w:rPr>
  </w:style>
  <w:style w:type="character" w:customStyle="1" w:styleId="31">
    <w:name w:val="页脚 字符"/>
    <w:link w:val="12"/>
    <w:qFormat/>
    <w:uiPriority w:val="99"/>
    <w:rPr>
      <w:sz w:val="18"/>
      <w:szCs w:val="18"/>
    </w:rPr>
  </w:style>
  <w:style w:type="character" w:customStyle="1" w:styleId="32">
    <w:name w:val="标题 3 字符"/>
    <w:link w:val="5"/>
    <w:qFormat/>
    <w:uiPriority w:val="9"/>
    <w:rPr>
      <w:rFonts w:ascii="Times New Roman" w:hAnsi="Times New Roman" w:eastAsia="宋体" w:cs="Times New Roman"/>
      <w:b/>
      <w:kern w:val="0"/>
      <w:sz w:val="28"/>
      <w:szCs w:val="20"/>
    </w:rPr>
  </w:style>
  <w:style w:type="paragraph" w:customStyle="1" w:styleId="33">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4">
    <w:name w:val="题注4"/>
    <w:basedOn w:val="1"/>
    <w:next w:val="7"/>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5">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6">
    <w:name w:val="列表段落1"/>
    <w:basedOn w:val="1"/>
    <w:qFormat/>
    <w:uiPriority w:val="0"/>
    <w:pPr>
      <w:ind w:firstLine="420" w:firstLineChars="200"/>
    </w:pPr>
    <w:rPr>
      <w:rFonts w:ascii="Times New Roman" w:hAnsi="Times New Roman"/>
      <w:sz w:val="28"/>
      <w:szCs w:val="24"/>
    </w:rPr>
  </w:style>
  <w:style w:type="paragraph" w:customStyle="1" w:styleId="37">
    <w:name w:val="编号1"/>
    <w:basedOn w:val="1"/>
    <w:qFormat/>
    <w:uiPriority w:val="0"/>
    <w:pPr>
      <w:numPr>
        <w:ilvl w:val="0"/>
        <w:numId w:val="2"/>
      </w:numPr>
    </w:pPr>
    <w:rPr>
      <w:rFonts w:ascii="Times New Roman" w:hAnsi="Times New Roman"/>
      <w:szCs w:val="24"/>
    </w:rPr>
  </w:style>
  <w:style w:type="character" w:customStyle="1" w:styleId="38">
    <w:name w:val="标题 1 字符"/>
    <w:link w:val="3"/>
    <w:qFormat/>
    <w:uiPriority w:val="9"/>
    <w:rPr>
      <w:b/>
      <w:bCs/>
      <w:kern w:val="44"/>
      <w:sz w:val="44"/>
      <w:szCs w:val="44"/>
    </w:rPr>
  </w:style>
  <w:style w:type="character" w:customStyle="1" w:styleId="39">
    <w:name w:val="Unresolved Mention"/>
    <w:unhideWhenUsed/>
    <w:qFormat/>
    <w:uiPriority w:val="99"/>
    <w:rPr>
      <w:color w:val="605E5C"/>
      <w:shd w:val="clear" w:color="auto" w:fill="E1DFDD"/>
    </w:rPr>
  </w:style>
  <w:style w:type="paragraph" w:customStyle="1" w:styleId="40">
    <w:name w:val="列出段落1"/>
    <w:basedOn w:val="1"/>
    <w:qFormat/>
    <w:uiPriority w:val="34"/>
    <w:pPr>
      <w:ind w:firstLine="420" w:firstLineChars="200"/>
    </w:pPr>
  </w:style>
  <w:style w:type="character" w:customStyle="1" w:styleId="41">
    <w:name w:val="标题 2 字符"/>
    <w:link w:val="4"/>
    <w:semiHidden/>
    <w:qFormat/>
    <w:uiPriority w:val="9"/>
    <w:rPr>
      <w:rFonts w:ascii="等线 Light" w:hAnsi="等线 Light" w:eastAsia="等线 Light" w:cs="Times New Roman"/>
      <w:b/>
      <w:bCs/>
      <w:kern w:val="2"/>
      <w:sz w:val="32"/>
      <w:szCs w:val="32"/>
    </w:rPr>
  </w:style>
  <w:style w:type="table" w:customStyle="1" w:styleId="42">
    <w:name w:val="网格型1"/>
    <w:basedOn w:val="1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3">
    <w:name w:val="List Paragraph1"/>
    <w:basedOn w:val="1"/>
    <w:next w:val="23"/>
    <w:qFormat/>
    <w:uiPriority w:val="34"/>
    <w:pPr>
      <w:ind w:firstLine="420" w:firstLineChars="200"/>
    </w:pPr>
  </w:style>
  <w:style w:type="paragraph" w:customStyle="1" w:styleId="44">
    <w:name w:val="样式 首行缩进:  2 字符"/>
    <w:basedOn w:val="1"/>
    <w:qFormat/>
    <w:uiPriority w:val="0"/>
    <w:pPr>
      <w:spacing w:before="120" w:after="120"/>
      <w:ind w:firstLine="582"/>
    </w:pPr>
    <w:rPr>
      <w:rFonts w:eastAsia="仿宋_GB2312" w:cs="宋体"/>
      <w:kern w:val="1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21</Pages>
  <Words>7033</Words>
  <Characters>7464</Characters>
  <Lines>51</Lines>
  <Paragraphs>14</Paragraphs>
  <TotalTime>1</TotalTime>
  <ScaleCrop>false</ScaleCrop>
  <LinksUpToDate>false</LinksUpToDate>
  <CharactersWithSpaces>8741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Yu.</cp:lastModifiedBy>
  <cp:lastPrinted>2019-05-06T07:16:00Z</cp:lastPrinted>
  <dcterms:modified xsi:type="dcterms:W3CDTF">2023-04-24T00:07:47Z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495CEF2DBBA84A6CA8D00EE09AE1A0A0</vt:lpwstr>
  </property>
</Properties>
</file>