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科研设备采购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w:t>
      </w:r>
      <w:r>
        <w:rPr>
          <w:rFonts w:hint="eastAsia" w:ascii="仿宋_GB2312" w:hAnsi="宋体" w:eastAsia="仿宋_GB2312"/>
          <w:b/>
          <w:bCs/>
          <w:kern w:val="0"/>
          <w:sz w:val="32"/>
          <w:szCs w:val="32"/>
          <w:lang w:val="en-US" w:eastAsia="zh-CN"/>
        </w:rPr>
        <w:t>KY</w:t>
      </w:r>
      <w:r>
        <w:rPr>
          <w:rFonts w:hint="eastAsia" w:ascii="仿宋_GB2312" w:hAnsi="宋体" w:eastAsia="仿宋_GB2312"/>
          <w:b/>
          <w:bCs/>
          <w:kern w:val="0"/>
          <w:sz w:val="32"/>
          <w:szCs w:val="32"/>
        </w:rPr>
        <w:t>BCG202</w:t>
      </w:r>
      <w:r>
        <w:rPr>
          <w:rFonts w:hint="eastAsia" w:ascii="仿宋_GB2312" w:hAnsi="宋体" w:eastAsia="仿宋_GB2312"/>
          <w:b/>
          <w:bCs/>
          <w:kern w:val="0"/>
          <w:sz w:val="32"/>
          <w:szCs w:val="32"/>
          <w:lang w:val="en-US" w:eastAsia="zh-CN"/>
        </w:rPr>
        <w:t>2</w:t>
      </w:r>
      <w:r>
        <w:rPr>
          <w:rFonts w:hint="eastAsia" w:ascii="仿宋_GB2312" w:hAnsi="宋体" w:eastAsia="仿宋_GB2312"/>
          <w:b/>
          <w:bCs/>
          <w:kern w:val="0"/>
          <w:sz w:val="32"/>
          <w:szCs w:val="32"/>
        </w:rPr>
        <w:t>0</w:t>
      </w:r>
      <w:r>
        <w:rPr>
          <w:rFonts w:hint="eastAsia" w:ascii="仿宋_GB2312" w:hAnsi="宋体" w:eastAsia="仿宋_GB2312"/>
          <w:b/>
          <w:bCs/>
          <w:kern w:val="0"/>
          <w:sz w:val="32"/>
          <w:szCs w:val="32"/>
          <w:lang w:val="en-US" w:eastAsia="zh-CN"/>
        </w:rPr>
        <w:t>01</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2</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1</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科研设备采购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科研设备采购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hint="eastAsia" w:ascii="宋体" w:hAnsi="宋体" w:cs="宋体"/>
          <w:color w:val="000000"/>
          <w:kern w:val="0"/>
          <w:sz w:val="22"/>
          <w:lang w:eastAsia="zh-CN"/>
        </w:rPr>
        <w:t>可</w:t>
      </w:r>
      <w:r>
        <w:rPr>
          <w:rFonts w:ascii="宋体" w:hAnsi="宋体" w:cs="宋体"/>
          <w:color w:val="000000"/>
          <w:kern w:val="0"/>
          <w:sz w:val="22"/>
        </w:rPr>
        <w:t>对</w:t>
      </w:r>
      <w:r>
        <w:rPr>
          <w:rFonts w:hint="eastAsia" w:ascii="宋体" w:hAnsi="宋体" w:cs="宋体"/>
          <w:color w:val="000000"/>
          <w:kern w:val="0"/>
          <w:sz w:val="22"/>
          <w:lang w:eastAsia="zh-CN"/>
        </w:rPr>
        <w:t>本项目中其中一个</w:t>
      </w:r>
      <w:r>
        <w:rPr>
          <w:rFonts w:ascii="宋体" w:hAnsi="宋体" w:cs="宋体"/>
          <w:color w:val="000000"/>
          <w:kern w:val="0"/>
          <w:sz w:val="22"/>
        </w:rPr>
        <w:t>包组内所有的内容进行</w:t>
      </w:r>
      <w:r>
        <w:rPr>
          <w:rFonts w:hint="eastAsia" w:ascii="宋体" w:hAnsi="宋体" w:cs="宋体"/>
          <w:color w:val="000000"/>
          <w:kern w:val="0"/>
          <w:sz w:val="22"/>
        </w:rPr>
        <w:t>响应</w:t>
      </w:r>
      <w:r>
        <w:rPr>
          <w:rFonts w:hint="eastAsia" w:ascii="宋体" w:hAnsi="宋体" w:cs="宋体"/>
          <w:color w:val="000000"/>
          <w:kern w:val="0"/>
          <w:sz w:val="22"/>
          <w:lang w:eastAsia="zh-CN"/>
        </w:rPr>
        <w:t>，也可以同时相应两个包组。但</w:t>
      </w:r>
      <w:r>
        <w:rPr>
          <w:rFonts w:ascii="宋体" w:hAnsi="宋体" w:cs="宋体"/>
          <w:color w:val="000000"/>
          <w:kern w:val="0"/>
          <w:sz w:val="22"/>
        </w:rPr>
        <w:t>不允许只对</w:t>
      </w:r>
      <w:r>
        <w:rPr>
          <w:rFonts w:hint="eastAsia" w:ascii="宋体" w:hAnsi="宋体" w:cs="宋体"/>
          <w:color w:val="000000"/>
          <w:kern w:val="0"/>
          <w:sz w:val="22"/>
          <w:lang w:eastAsia="zh-CN"/>
        </w:rPr>
        <w:t>一个</w:t>
      </w:r>
      <w:r>
        <w:rPr>
          <w:rFonts w:ascii="宋体" w:hAnsi="宋体" w:cs="宋体"/>
          <w:color w:val="000000"/>
          <w:kern w:val="0"/>
          <w:sz w:val="22"/>
        </w:rPr>
        <w:t>包组内其中部分内容进行</w:t>
      </w:r>
      <w:r>
        <w:rPr>
          <w:rFonts w:hint="eastAsia" w:ascii="宋体" w:hAnsi="宋体" w:cs="宋体"/>
          <w:color w:val="000000"/>
          <w:kern w:val="0"/>
          <w:sz w:val="22"/>
        </w:rPr>
        <w:t>响应，不允许对本项目进行</w:t>
      </w:r>
      <w:r>
        <w:rPr>
          <w:rFonts w:hint="eastAsia" w:ascii="宋体" w:hAnsi="宋体" w:cs="宋体"/>
          <w:color w:val="000000"/>
          <w:kern w:val="0"/>
          <w:sz w:val="22"/>
          <w:lang w:eastAsia="zh-CN"/>
        </w:rPr>
        <w:t>再次</w:t>
      </w:r>
      <w:r>
        <w:rPr>
          <w:rFonts w:hint="eastAsia" w:ascii="宋体" w:hAnsi="宋体" w:cs="宋体"/>
          <w:color w:val="000000"/>
          <w:kern w:val="0"/>
          <w:sz w:val="22"/>
        </w:rPr>
        <w:t>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1</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2</w:t>
      </w:r>
      <w:r>
        <w:rPr>
          <w:rFonts w:hint="eastAsia" w:ascii="宋体" w:hAnsi="宋体" w:cs="宋体"/>
          <w:color w:val="000000"/>
          <w:kern w:val="0"/>
          <w:sz w:val="22"/>
        </w:rPr>
        <w:t>年</w:t>
      </w:r>
      <w:r>
        <w:rPr>
          <w:rFonts w:hint="eastAsia" w:ascii="宋体" w:hAnsi="宋体" w:cs="宋体"/>
          <w:color w:val="000000"/>
          <w:kern w:val="0"/>
          <w:sz w:val="22"/>
          <w:lang w:eastAsia="zh-CN"/>
        </w:rPr>
        <w:t>下半年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22</w:t>
      </w:r>
      <w:r>
        <w:rPr>
          <w:rFonts w:hint="eastAsia" w:ascii="宋体" w:hAnsi="宋体" w:cs="宋体"/>
          <w:color w:val="000000"/>
          <w:kern w:val="0"/>
          <w:sz w:val="22"/>
        </w:rPr>
        <w:t>年</w:t>
      </w:r>
      <w:r>
        <w:rPr>
          <w:rFonts w:hint="eastAsia" w:ascii="宋体" w:hAnsi="宋体" w:cs="宋体"/>
          <w:color w:val="000000"/>
          <w:kern w:val="0"/>
          <w:sz w:val="22"/>
          <w:lang w:eastAsia="zh-CN"/>
        </w:rPr>
        <w:t>下半年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7</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4.需提交资料：响应文件（详见询价文件）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1</w:t>
      </w:r>
      <w:r>
        <w:rPr>
          <w:rFonts w:hint="eastAsia" w:hAnsi="宋体"/>
        </w:rPr>
        <w:t>月</w:t>
      </w:r>
      <w:r>
        <w:rPr>
          <w:rFonts w:hint="eastAsia" w:hAnsi="宋体"/>
          <w:lang w:val="en-US" w:eastAsia="zh-CN"/>
        </w:rPr>
        <w:t>31</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2"/>
        <w:gridCol w:w="2894"/>
        <w:gridCol w:w="992"/>
        <w:gridCol w:w="1701"/>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042" w:type="dxa"/>
          </w:tcPr>
          <w:p>
            <w:pPr>
              <w:pStyle w:val="33"/>
              <w:spacing w:line="420" w:lineRule="exact"/>
              <w:ind w:firstLine="0" w:firstLineChars="0"/>
              <w:jc w:val="center"/>
              <w:rPr>
                <w:rFonts w:ascii="宋体" w:hAnsi="宋体"/>
                <w:b/>
              </w:rPr>
            </w:pPr>
            <w:r>
              <w:rPr>
                <w:rFonts w:hint="eastAsia" w:ascii="宋体" w:hAnsi="宋体"/>
                <w:b/>
                <w:lang w:eastAsia="zh-CN"/>
              </w:rPr>
              <w:t>包组</w:t>
            </w:r>
            <w:r>
              <w:rPr>
                <w:rFonts w:hint="eastAsia" w:ascii="宋体" w:hAnsi="宋体"/>
                <w:b/>
              </w:rPr>
              <w:t>号</w:t>
            </w:r>
          </w:p>
        </w:tc>
        <w:tc>
          <w:tcPr>
            <w:tcW w:w="2894"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992" w:type="dxa"/>
          </w:tcPr>
          <w:p>
            <w:pPr>
              <w:pStyle w:val="33"/>
              <w:spacing w:line="420" w:lineRule="exact"/>
              <w:ind w:firstLine="0" w:firstLineChars="0"/>
              <w:jc w:val="center"/>
              <w:rPr>
                <w:rFonts w:ascii="宋体" w:hAnsi="宋体"/>
                <w:b/>
              </w:rPr>
            </w:pPr>
            <w:r>
              <w:rPr>
                <w:rFonts w:ascii="宋体" w:hAnsi="宋体"/>
                <w:b/>
              </w:rPr>
              <w:t>数量</w:t>
            </w:r>
          </w:p>
        </w:tc>
        <w:tc>
          <w:tcPr>
            <w:tcW w:w="1701" w:type="dxa"/>
          </w:tcPr>
          <w:p>
            <w:pPr>
              <w:pStyle w:val="33"/>
              <w:spacing w:line="420" w:lineRule="exact"/>
              <w:ind w:firstLine="0" w:firstLineChars="0"/>
              <w:jc w:val="center"/>
              <w:rPr>
                <w:rFonts w:ascii="宋体" w:hAnsi="宋体"/>
                <w:b/>
              </w:rPr>
            </w:pPr>
            <w:r>
              <w:rPr>
                <w:rFonts w:ascii="宋体" w:hAnsi="宋体"/>
                <w:b/>
              </w:rPr>
              <w:t>预算</w:t>
            </w:r>
            <w:r>
              <w:rPr>
                <w:rFonts w:hint="eastAsia" w:ascii="宋体" w:hAnsi="宋体"/>
                <w:b/>
              </w:rPr>
              <w:t>（</w:t>
            </w:r>
            <w:r>
              <w:rPr>
                <w:rFonts w:hint="eastAsia" w:ascii="宋体" w:hAnsi="宋体"/>
                <w:b/>
                <w:lang w:eastAsia="zh-CN"/>
              </w:rPr>
              <w:t>万</w:t>
            </w:r>
            <w:r>
              <w:rPr>
                <w:rFonts w:hint="eastAsia" w:ascii="宋体" w:hAnsi="宋体"/>
                <w:b/>
              </w:rPr>
              <w:t>元）</w:t>
            </w:r>
          </w:p>
        </w:tc>
        <w:tc>
          <w:tcPr>
            <w:tcW w:w="1276"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042" w:type="dxa"/>
            <w:vAlign w:val="center"/>
          </w:tcPr>
          <w:p>
            <w:pPr>
              <w:pStyle w:val="33"/>
              <w:spacing w:line="420" w:lineRule="exact"/>
              <w:ind w:firstLine="0" w:firstLineChars="0"/>
              <w:jc w:val="center"/>
              <w:rPr>
                <w:rFonts w:ascii="宋体" w:hAnsi="宋体"/>
              </w:rPr>
            </w:pPr>
            <w:r>
              <w:rPr>
                <w:rFonts w:hint="eastAsia" w:ascii="宋体" w:hAnsi="宋体"/>
                <w:lang w:eastAsia="zh-CN"/>
              </w:rPr>
              <w:t>包组</w:t>
            </w:r>
            <w:r>
              <w:rPr>
                <w:rFonts w:hint="eastAsia" w:ascii="宋体" w:hAnsi="宋体"/>
              </w:rPr>
              <w:t>1</w:t>
            </w:r>
          </w:p>
        </w:tc>
        <w:tc>
          <w:tcPr>
            <w:tcW w:w="2894" w:type="dxa"/>
            <w:vAlign w:val="center"/>
          </w:tcPr>
          <w:p>
            <w:pPr>
              <w:pStyle w:val="33"/>
              <w:spacing w:line="420" w:lineRule="exact"/>
              <w:ind w:firstLine="0" w:firstLineChars="0"/>
              <w:jc w:val="center"/>
              <w:rPr>
                <w:rFonts w:ascii="宋体" w:hAnsi="宋体"/>
              </w:rPr>
            </w:pPr>
            <w:r>
              <w:rPr>
                <w:rFonts w:hint="eastAsia" w:ascii="宋体" w:hAnsi="宋体"/>
              </w:rPr>
              <w:t>垂直电泳系统</w:t>
            </w:r>
          </w:p>
        </w:tc>
        <w:tc>
          <w:tcPr>
            <w:tcW w:w="992"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w:t>
            </w:r>
          </w:p>
        </w:tc>
        <w:tc>
          <w:tcPr>
            <w:tcW w:w="1701"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4</w:t>
            </w:r>
          </w:p>
        </w:tc>
        <w:tc>
          <w:tcPr>
            <w:tcW w:w="1276" w:type="dxa"/>
            <w:vAlign w:val="center"/>
          </w:tcPr>
          <w:p>
            <w:pPr>
              <w:pStyle w:val="33"/>
              <w:spacing w:line="420" w:lineRule="exact"/>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042" w:type="dxa"/>
            <w:vAlign w:val="center"/>
          </w:tcPr>
          <w:p>
            <w:pPr>
              <w:pStyle w:val="33"/>
              <w:spacing w:line="420" w:lineRule="exact"/>
              <w:ind w:firstLine="0" w:firstLineChars="0"/>
              <w:jc w:val="center"/>
              <w:rPr>
                <w:rFonts w:hint="eastAsia" w:ascii="宋体" w:hAnsi="宋体" w:eastAsia="宋体"/>
                <w:lang w:val="en-US" w:eastAsia="zh-CN"/>
              </w:rPr>
            </w:pPr>
            <w:r>
              <w:rPr>
                <w:rFonts w:hint="eastAsia" w:ascii="宋体" w:hAnsi="宋体"/>
                <w:lang w:val="en-US" w:eastAsia="zh-CN"/>
              </w:rPr>
              <w:t>包组2</w:t>
            </w:r>
          </w:p>
        </w:tc>
        <w:tc>
          <w:tcPr>
            <w:tcW w:w="2894" w:type="dxa"/>
            <w:vAlign w:val="center"/>
          </w:tcPr>
          <w:p>
            <w:pPr>
              <w:pStyle w:val="33"/>
              <w:spacing w:line="420" w:lineRule="exact"/>
              <w:ind w:firstLine="0" w:firstLineChars="0"/>
              <w:jc w:val="center"/>
              <w:rPr>
                <w:rFonts w:hint="eastAsia" w:ascii="宋体" w:hAnsi="宋体" w:eastAsia="宋体" w:cs="Times New Roman"/>
              </w:rPr>
            </w:pPr>
            <w:r>
              <w:rPr>
                <w:rFonts w:hint="eastAsia" w:ascii="宋体" w:hAnsi="宋体" w:eastAsia="宋体" w:cs="Times New Roman"/>
                <w:lang w:val="en-US" w:eastAsia="zh-CN"/>
              </w:rPr>
              <w:t>液氮罐</w:t>
            </w:r>
          </w:p>
        </w:tc>
        <w:tc>
          <w:tcPr>
            <w:tcW w:w="992" w:type="dxa"/>
            <w:vAlign w:val="center"/>
          </w:tcPr>
          <w:p>
            <w:pPr>
              <w:pStyle w:val="33"/>
              <w:spacing w:line="420" w:lineRule="exact"/>
              <w:ind w:firstLine="0" w:firstLineChars="0"/>
              <w:jc w:val="center"/>
              <w:rPr>
                <w:rFonts w:hint="default" w:ascii="宋体" w:hAnsi="宋体" w:eastAsia="宋体" w:cs="Times New Roman"/>
                <w:lang w:val="en-US" w:eastAsia="zh-CN"/>
              </w:rPr>
            </w:pPr>
            <w:r>
              <w:rPr>
                <w:rFonts w:hint="eastAsia" w:ascii="宋体" w:hAnsi="宋体" w:eastAsia="宋体" w:cs="Times New Roman"/>
                <w:lang w:val="en-US" w:eastAsia="zh-CN"/>
              </w:rPr>
              <w:t>3</w:t>
            </w:r>
          </w:p>
        </w:tc>
        <w:tc>
          <w:tcPr>
            <w:tcW w:w="1701" w:type="dxa"/>
            <w:vAlign w:val="center"/>
          </w:tcPr>
          <w:p>
            <w:pPr>
              <w:pStyle w:val="33"/>
              <w:spacing w:line="420" w:lineRule="exact"/>
              <w:ind w:firstLine="0" w:firstLineChars="0"/>
              <w:jc w:val="center"/>
              <w:rPr>
                <w:rFonts w:hint="default" w:ascii="宋体" w:hAnsi="宋体" w:eastAsia="宋体" w:cs="Times New Roman"/>
                <w:lang w:val="en-US" w:eastAsia="zh-CN"/>
              </w:rPr>
            </w:pPr>
            <w:r>
              <w:rPr>
                <w:rFonts w:hint="eastAsia" w:ascii="宋体" w:hAnsi="宋体" w:eastAsia="宋体" w:cs="Times New Roman"/>
                <w:lang w:val="en-US" w:eastAsia="zh-CN"/>
              </w:rPr>
              <w:t>3.9</w:t>
            </w:r>
          </w:p>
        </w:tc>
        <w:tc>
          <w:tcPr>
            <w:tcW w:w="1276"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360" w:lineRule="auto"/>
        <w:jc w:val="left"/>
        <w:rPr>
          <w:rFonts w:hint="eastAsia" w:ascii="宋体" w:hAnsi="宋体"/>
          <w:b/>
          <w:sz w:val="24"/>
        </w:rPr>
      </w:pPr>
      <w:r>
        <w:rPr>
          <w:rFonts w:hint="eastAsia" w:ascii="宋体" w:hAnsi="宋体"/>
          <w:b/>
          <w:sz w:val="24"/>
        </w:rPr>
        <w:t>技术参数</w:t>
      </w:r>
    </w:p>
    <w:p>
      <w:pPr>
        <w:pStyle w:val="2"/>
        <w:ind w:left="0" w:leftChars="0" w:firstLine="0" w:firstLineChars="0"/>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（一）垂直电泳系统</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1.</w:t>
      </w:r>
      <w:r>
        <w:rPr>
          <w:rFonts w:hint="default" w:ascii="宋体" w:hAnsi="宋体" w:eastAsia="宋体" w:cs="Times New Roman"/>
          <w:bCs w:val="0"/>
          <w:spacing w:val="0"/>
          <w:kern w:val="0"/>
          <w:sz w:val="21"/>
          <w:szCs w:val="21"/>
          <w:lang w:val="en-US" w:eastAsia="zh-CN" w:bidi="ar-SA"/>
        </w:rPr>
        <w:t>基础电源</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（1）</w:t>
      </w:r>
      <w:r>
        <w:rPr>
          <w:rFonts w:hint="default" w:ascii="宋体" w:hAnsi="宋体" w:eastAsia="宋体" w:cs="Times New Roman"/>
          <w:bCs w:val="0"/>
          <w:spacing w:val="0"/>
          <w:kern w:val="0"/>
          <w:sz w:val="21"/>
          <w:szCs w:val="21"/>
          <w:lang w:val="en-US" w:eastAsia="zh-CN" w:bidi="ar-SA"/>
        </w:rPr>
        <w:t>能设定电泳的时间</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（2）</w:t>
      </w:r>
      <w:r>
        <w:rPr>
          <w:rFonts w:hint="default" w:ascii="宋体" w:hAnsi="宋体" w:eastAsia="宋体" w:cs="Times New Roman"/>
          <w:bCs w:val="0"/>
          <w:spacing w:val="0"/>
          <w:kern w:val="0"/>
          <w:sz w:val="21"/>
          <w:szCs w:val="21"/>
          <w:lang w:val="en-US" w:eastAsia="zh-CN" w:bidi="ar-SA"/>
        </w:rPr>
        <w:t>功率：1-75W，</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（3）</w:t>
      </w:r>
      <w:r>
        <w:rPr>
          <w:rFonts w:hint="default" w:ascii="宋体" w:hAnsi="宋体" w:eastAsia="宋体" w:cs="Times New Roman"/>
          <w:bCs w:val="0"/>
          <w:spacing w:val="0"/>
          <w:kern w:val="0"/>
          <w:sz w:val="21"/>
          <w:szCs w:val="21"/>
          <w:lang w:val="en-US" w:eastAsia="zh-CN" w:bidi="ar-SA"/>
        </w:rPr>
        <w:t>电压：10-300伏，</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（4）</w:t>
      </w:r>
      <w:r>
        <w:rPr>
          <w:rFonts w:hint="default" w:ascii="宋体" w:hAnsi="宋体" w:eastAsia="宋体" w:cs="Times New Roman"/>
          <w:bCs w:val="0"/>
          <w:spacing w:val="0"/>
          <w:kern w:val="0"/>
          <w:sz w:val="21"/>
          <w:szCs w:val="21"/>
          <w:lang w:val="en-US" w:eastAsia="zh-CN" w:bidi="ar-SA"/>
        </w:rPr>
        <w:t>电流：4-400mA，使用于水平电泳，小型的SDS-PAGE，印迹电泳等。</w:t>
      </w:r>
    </w:p>
    <w:p>
      <w:pPr>
        <w:widowControl/>
        <w:numPr>
          <w:ilvl w:val="0"/>
          <w:numId w:val="0"/>
        </w:numPr>
        <w:spacing w:line="360" w:lineRule="auto"/>
        <w:jc w:val="left"/>
        <w:rPr>
          <w:rFonts w:hint="eastAsia"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2.小型垂直电泳槽</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（1）</w:t>
      </w:r>
      <w:r>
        <w:rPr>
          <w:rFonts w:hint="default" w:ascii="宋体" w:hAnsi="宋体" w:eastAsia="宋体" w:cs="Times New Roman"/>
          <w:bCs w:val="0"/>
          <w:spacing w:val="0"/>
          <w:kern w:val="0"/>
          <w:sz w:val="21"/>
          <w:szCs w:val="21"/>
          <w:lang w:val="en-US" w:eastAsia="zh-CN" w:bidi="ar-SA"/>
        </w:rPr>
        <w:t>凝胶数：1-4</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（2）</w:t>
      </w:r>
      <w:r>
        <w:rPr>
          <w:rFonts w:hint="default" w:ascii="宋体" w:hAnsi="宋体" w:eastAsia="宋体" w:cs="Times New Roman"/>
          <w:bCs w:val="0"/>
          <w:spacing w:val="0"/>
          <w:kern w:val="0"/>
          <w:sz w:val="21"/>
          <w:szCs w:val="21"/>
          <w:lang w:val="en-US" w:eastAsia="zh-CN" w:bidi="ar-SA"/>
        </w:rPr>
        <w:t>玻璃尺寸：短玻板（10.1x7.3cm）;长玻板（10.1x8.2cm）</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（3）</w:t>
      </w:r>
      <w:r>
        <w:rPr>
          <w:rFonts w:hint="default" w:ascii="宋体" w:hAnsi="宋体" w:eastAsia="宋体" w:cs="Times New Roman"/>
          <w:bCs w:val="0"/>
          <w:spacing w:val="0"/>
          <w:kern w:val="0"/>
          <w:sz w:val="21"/>
          <w:szCs w:val="21"/>
          <w:lang w:val="en-US" w:eastAsia="zh-CN" w:bidi="ar-SA"/>
        </w:rPr>
        <w:t>凝胶大小：手灌胶（8.3x7.3cm）;预制胶（8.6x6.8cm）</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（4）</w:t>
      </w:r>
      <w:r>
        <w:rPr>
          <w:rFonts w:hint="default" w:ascii="宋体" w:hAnsi="宋体" w:eastAsia="宋体" w:cs="Times New Roman"/>
          <w:bCs w:val="0"/>
          <w:spacing w:val="0"/>
          <w:kern w:val="0"/>
          <w:sz w:val="21"/>
          <w:szCs w:val="21"/>
          <w:lang w:val="en-US" w:eastAsia="zh-CN" w:bidi="ar-SA"/>
        </w:rPr>
        <w:t>典型上层缓冲液体积：120ml</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（5）</w:t>
      </w:r>
      <w:r>
        <w:rPr>
          <w:rFonts w:hint="default" w:ascii="宋体" w:hAnsi="宋体" w:eastAsia="宋体" w:cs="Times New Roman"/>
          <w:bCs w:val="0"/>
          <w:spacing w:val="0"/>
          <w:kern w:val="0"/>
          <w:sz w:val="21"/>
          <w:szCs w:val="21"/>
          <w:lang w:val="en-US" w:eastAsia="zh-CN" w:bidi="ar-SA"/>
        </w:rPr>
        <w:t>典型下层缓冲液体积：180ml</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★（6）</w:t>
      </w:r>
      <w:r>
        <w:rPr>
          <w:rFonts w:hint="default" w:ascii="宋体" w:hAnsi="宋体" w:eastAsia="宋体" w:cs="Times New Roman"/>
          <w:bCs w:val="0"/>
          <w:spacing w:val="0"/>
          <w:kern w:val="0"/>
          <w:sz w:val="21"/>
          <w:szCs w:val="21"/>
          <w:lang w:val="en-US" w:eastAsia="zh-CN" w:bidi="ar-SA"/>
        </w:rPr>
        <w:t>典型SDS-PAGE电泳时间：45分钟（200V恒压）</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（7）</w:t>
      </w:r>
      <w:r>
        <w:rPr>
          <w:rFonts w:hint="default" w:ascii="宋体" w:hAnsi="宋体" w:eastAsia="宋体" w:cs="Times New Roman"/>
          <w:bCs w:val="0"/>
          <w:spacing w:val="0"/>
          <w:kern w:val="0"/>
          <w:sz w:val="21"/>
          <w:szCs w:val="21"/>
          <w:lang w:val="en-US" w:eastAsia="zh-CN" w:bidi="ar-SA"/>
        </w:rPr>
        <w:t>体积(W x L x H)：12 x 16 x 18cm</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（8)</w:t>
      </w:r>
      <w:r>
        <w:rPr>
          <w:rFonts w:hint="default" w:ascii="宋体" w:hAnsi="宋体" w:eastAsia="宋体" w:cs="Times New Roman"/>
          <w:bCs w:val="0"/>
          <w:spacing w:val="0"/>
          <w:kern w:val="0"/>
          <w:sz w:val="21"/>
          <w:szCs w:val="21"/>
          <w:lang w:val="en-US" w:eastAsia="zh-CN" w:bidi="ar-SA"/>
        </w:rPr>
        <w:t>重量：2.0Kg</w:t>
      </w:r>
    </w:p>
    <w:p>
      <w:pPr>
        <w:widowControl/>
        <w:numPr>
          <w:ilvl w:val="0"/>
          <w:numId w:val="0"/>
        </w:numPr>
        <w:spacing w:line="360" w:lineRule="auto"/>
        <w:jc w:val="left"/>
        <w:rPr>
          <w:rFonts w:hint="eastAsia"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3.转印模块</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（1）</w:t>
      </w:r>
      <w:r>
        <w:rPr>
          <w:rFonts w:hint="default" w:ascii="宋体" w:hAnsi="宋体" w:eastAsia="宋体" w:cs="Times New Roman"/>
          <w:bCs w:val="0"/>
          <w:spacing w:val="0"/>
          <w:kern w:val="0"/>
          <w:sz w:val="21"/>
          <w:szCs w:val="21"/>
          <w:lang w:val="en-US" w:eastAsia="zh-CN" w:bidi="ar-SA"/>
        </w:rPr>
        <w:t>最大凝胶尺寸(W x L) 10 x 7.5 cm，凝胶容量2 块</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（2）</w:t>
      </w:r>
      <w:r>
        <w:rPr>
          <w:rFonts w:hint="default" w:ascii="宋体" w:hAnsi="宋体" w:eastAsia="宋体" w:cs="Times New Roman"/>
          <w:bCs w:val="0"/>
          <w:spacing w:val="0"/>
          <w:kern w:val="0"/>
          <w:sz w:val="21"/>
          <w:szCs w:val="21"/>
          <w:lang w:val="en-US" w:eastAsia="zh-CN" w:bidi="ar-SA"/>
        </w:rPr>
        <w:t>缓冲液要求</w:t>
      </w:r>
      <w:r>
        <w:rPr>
          <w:rFonts w:hint="eastAsia" w:ascii="宋体" w:hAnsi="宋体" w:eastAsia="宋体" w:cs="Times New Roman"/>
          <w:bCs w:val="0"/>
          <w:spacing w:val="0"/>
          <w:kern w:val="0"/>
          <w:sz w:val="21"/>
          <w:szCs w:val="21"/>
          <w:lang w:val="en-US" w:eastAsia="zh-CN" w:bidi="ar-SA"/>
        </w:rPr>
        <w:t>≥</w:t>
      </w:r>
      <w:r>
        <w:rPr>
          <w:rFonts w:hint="default" w:ascii="宋体" w:hAnsi="宋体" w:eastAsia="宋体" w:cs="Times New Roman"/>
          <w:bCs w:val="0"/>
          <w:spacing w:val="0"/>
          <w:kern w:val="0"/>
          <w:sz w:val="21"/>
          <w:szCs w:val="21"/>
          <w:lang w:val="en-US" w:eastAsia="zh-CN" w:bidi="ar-SA"/>
        </w:rPr>
        <w:t>450 ml</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★（3）</w:t>
      </w:r>
      <w:r>
        <w:rPr>
          <w:rFonts w:hint="default" w:ascii="宋体" w:hAnsi="宋体" w:eastAsia="宋体" w:cs="Times New Roman"/>
          <w:bCs w:val="0"/>
          <w:spacing w:val="0"/>
          <w:kern w:val="0"/>
          <w:sz w:val="21"/>
          <w:szCs w:val="21"/>
          <w:lang w:val="en-US" w:eastAsia="zh-CN" w:bidi="ar-SA"/>
        </w:rPr>
        <w:t>1小时内可同时转印2 块10 x 7.5 cm 凝胶；也可进行低强度的过夜转印</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（4）</w:t>
      </w:r>
      <w:r>
        <w:rPr>
          <w:rFonts w:hint="default" w:ascii="宋体" w:hAnsi="宋体" w:eastAsia="宋体" w:cs="Times New Roman"/>
          <w:bCs w:val="0"/>
          <w:spacing w:val="0"/>
          <w:kern w:val="0"/>
          <w:sz w:val="21"/>
          <w:szCs w:val="21"/>
          <w:lang w:val="en-US" w:eastAsia="zh-CN" w:bidi="ar-SA"/>
        </w:rPr>
        <w:t>电极丝相距4cm，以产生强电场保证有效的蛋白转印</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（5）</w:t>
      </w:r>
      <w:r>
        <w:rPr>
          <w:rFonts w:hint="default" w:ascii="宋体" w:hAnsi="宋体" w:eastAsia="宋体" w:cs="Times New Roman"/>
          <w:bCs w:val="0"/>
          <w:spacing w:val="0"/>
          <w:kern w:val="0"/>
          <w:sz w:val="21"/>
          <w:szCs w:val="21"/>
          <w:lang w:val="en-US" w:eastAsia="zh-CN" w:bidi="ar-SA"/>
        </w:rPr>
        <w:t>颜色标记的转印夹和电极，确保转印过程中凝胶的正确定向</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（6）</w:t>
      </w:r>
      <w:r>
        <w:rPr>
          <w:rFonts w:hint="default" w:ascii="宋体" w:hAnsi="宋体" w:eastAsia="宋体" w:cs="Times New Roman"/>
          <w:bCs w:val="0"/>
          <w:spacing w:val="0"/>
          <w:kern w:val="0"/>
          <w:sz w:val="21"/>
          <w:szCs w:val="21"/>
          <w:lang w:val="en-US" w:eastAsia="zh-CN" w:bidi="ar-SA"/>
        </w:rPr>
        <w:t>内置冷却装置，可作为一个模块与电泳槽的缓冲液槽和盖兼容</w:t>
      </w:r>
    </w:p>
    <w:p>
      <w:pPr>
        <w:widowControl/>
        <w:numPr>
          <w:ilvl w:val="0"/>
          <w:numId w:val="0"/>
        </w:numPr>
        <w:spacing w:line="360" w:lineRule="auto"/>
        <w:jc w:val="left"/>
        <w:rPr>
          <w:rFonts w:hint="eastAsia" w:ascii="宋体" w:hAnsi="宋体" w:eastAsia="宋体" w:cs="Times New Roman"/>
          <w:bCs w:val="0"/>
          <w:spacing w:val="0"/>
          <w:kern w:val="0"/>
          <w:sz w:val="21"/>
          <w:szCs w:val="21"/>
          <w:lang w:val="en-US" w:eastAsia="zh-CN" w:bidi="ar-SA"/>
        </w:rPr>
      </w:pP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（二）液氮干式运输罐</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★1. 静态保持天数≥22天</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★2. 工作时间(天)≥17天</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3. 蒸发率(升/天) ：0.19</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4. 液氮吸附量(升) ：4.1</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5. 1.2和2.0ml冻存管数量(5/条):85</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6. 1.2和2.0ml冻存管数量(6/条):102</w:t>
      </w:r>
    </w:p>
    <w:p>
      <w:pPr>
        <w:widowControl/>
        <w:numPr>
          <w:ilvl w:val="0"/>
          <w:numId w:val="0"/>
        </w:numPr>
        <w:spacing w:line="360" w:lineRule="auto"/>
        <w:jc w:val="left"/>
        <w:rPr>
          <w:rFonts w:hint="default"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7. 0.5ml麦管存放量(10/条):280</w:t>
      </w:r>
    </w:p>
    <w:p>
      <w:pPr>
        <w:widowControl/>
        <w:numPr>
          <w:ilvl w:val="0"/>
          <w:numId w:val="0"/>
        </w:numPr>
        <w:spacing w:line="360" w:lineRule="auto"/>
        <w:jc w:val="left"/>
        <w:rPr>
          <w:rFonts w:hint="eastAsia"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 xml:space="preserve">8. </w:t>
      </w:r>
      <w:r>
        <w:rPr>
          <w:rFonts w:hint="default" w:ascii="宋体" w:hAnsi="宋体" w:eastAsia="宋体" w:cs="Times New Roman"/>
          <w:bCs w:val="0"/>
          <w:spacing w:val="0"/>
          <w:kern w:val="0"/>
          <w:sz w:val="21"/>
          <w:szCs w:val="21"/>
          <w:lang w:val="en-US" w:eastAsia="zh-CN" w:bidi="ar-SA"/>
        </w:rPr>
        <w:t>0.5ml麦管存放量(两层)</w:t>
      </w:r>
      <w:r>
        <w:rPr>
          <w:rFonts w:hint="eastAsia" w:ascii="宋体" w:hAnsi="宋体" w:eastAsia="宋体" w:cs="Times New Roman"/>
          <w:bCs w:val="0"/>
          <w:spacing w:val="0"/>
          <w:kern w:val="0"/>
          <w:sz w:val="21"/>
          <w:szCs w:val="21"/>
          <w:lang w:val="en-US" w:eastAsia="zh-CN" w:bidi="ar-SA"/>
        </w:rPr>
        <w:t>:980</w:t>
      </w:r>
    </w:p>
    <w:p>
      <w:pPr>
        <w:widowControl/>
        <w:numPr>
          <w:ilvl w:val="0"/>
          <w:numId w:val="0"/>
        </w:numPr>
        <w:spacing w:line="360" w:lineRule="auto"/>
        <w:jc w:val="left"/>
        <w:rPr>
          <w:rFonts w:hint="eastAsia" w:ascii="宋体" w:hAnsi="宋体" w:eastAsia="宋体" w:cs="Times New Roman"/>
          <w:bCs w:val="0"/>
          <w:spacing w:val="0"/>
          <w:kern w:val="0"/>
          <w:sz w:val="21"/>
          <w:szCs w:val="21"/>
          <w:lang w:val="en-US" w:eastAsia="zh-CN" w:bidi="ar-SA"/>
        </w:rPr>
      </w:pPr>
      <w:r>
        <w:rPr>
          <w:rFonts w:hint="eastAsia" w:ascii="宋体" w:hAnsi="宋体" w:eastAsia="宋体" w:cs="Times New Roman"/>
          <w:bCs w:val="0"/>
          <w:spacing w:val="0"/>
          <w:kern w:val="0"/>
          <w:sz w:val="21"/>
          <w:szCs w:val="21"/>
          <w:lang w:val="en-US" w:eastAsia="zh-CN" w:bidi="ar-SA"/>
        </w:rPr>
        <w:t>★9. 盖子可以上锁。</w:t>
      </w:r>
    </w:p>
    <w:p>
      <w:pPr>
        <w:widowControl/>
        <w:numPr>
          <w:ilvl w:val="0"/>
          <w:numId w:val="0"/>
        </w:numPr>
        <w:spacing w:line="360" w:lineRule="auto"/>
        <w:jc w:val="left"/>
        <w:rPr>
          <w:rFonts w:hint="default" w:ascii="宋体" w:hAnsi="宋体"/>
          <w:b w:val="0"/>
          <w:bCs/>
          <w:sz w:val="24"/>
          <w:lang w:val="en-US" w:eastAsia="zh-CN"/>
        </w:rPr>
      </w:pPr>
      <w:r>
        <w:rPr>
          <w:rFonts w:hint="eastAsia" w:ascii="宋体" w:hAnsi="宋体" w:eastAsia="宋体" w:cs="Times New Roman"/>
          <w:bCs w:val="0"/>
          <w:spacing w:val="0"/>
          <w:kern w:val="0"/>
          <w:sz w:val="21"/>
          <w:szCs w:val="21"/>
          <w:lang w:val="en-US" w:eastAsia="zh-CN" w:bidi="ar-SA"/>
        </w:rPr>
        <w:t>10. 选配配件：5层冻存架和配温度记录仪</w:t>
      </w:r>
    </w:p>
    <w:p>
      <w:pPr>
        <w:tabs>
          <w:tab w:val="left" w:pos="1890"/>
        </w:tabs>
        <w:spacing w:line="360" w:lineRule="auto"/>
        <w:rPr>
          <w:rFonts w:ascii="宋体" w:hAnsi="宋体"/>
          <w:b/>
          <w:kern w:val="0"/>
          <w:szCs w:val="21"/>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left="0" w:leftChars="0" w:firstLine="1687" w:firstLineChars="700"/>
        <w:rPr>
          <w:rFonts w:hint="eastAsia" w:hAnsi="宋体" w:eastAsia="宋体" w:cs="仿宋"/>
          <w:b/>
          <w:szCs w:val="24"/>
          <w:lang w:eastAsia="zh-CN"/>
        </w:rPr>
      </w:pPr>
      <w:bookmarkStart w:id="35" w:name="_GoBack"/>
      <w:bookmarkEnd w:id="35"/>
      <w:r>
        <w:rPr>
          <w:rFonts w:hint="eastAsia" w:hAnsi="宋体" w:cs="仿宋"/>
          <w:b/>
          <w:szCs w:val="24"/>
          <w:lang w:eastAsia="zh-CN"/>
        </w:rPr>
        <w:t>项目编号：</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4105"/>
      <w:bookmarkStart w:id="1" w:name="_Toc202820351"/>
      <w:bookmarkStart w:id="2" w:name="_Toc202819878"/>
      <w:bookmarkStart w:id="3" w:name="_Toc202251700"/>
      <w:bookmarkStart w:id="4" w:name="_Toc202252034"/>
      <w:bookmarkStart w:id="5" w:name="_Toc202251075"/>
      <w:bookmarkStart w:id="6" w:name="_Toc28330"/>
      <w:bookmarkStart w:id="7" w:name="_Toc202816996"/>
      <w:bookmarkStart w:id="8" w:name="_Toc395800947"/>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395800949"/>
      <w:bookmarkStart w:id="13" w:name="_Toc202252035"/>
      <w:bookmarkStart w:id="14" w:name="_Toc202820352"/>
      <w:bookmarkStart w:id="15" w:name="_Toc202816997"/>
      <w:bookmarkStart w:id="16" w:name="_Toc202251076"/>
      <w:bookmarkStart w:id="17" w:name="_Toc31980"/>
      <w:bookmarkStart w:id="18" w:name="_Toc202251701"/>
      <w:bookmarkStart w:id="19" w:name="_Toc202819879"/>
      <w:bookmarkStart w:id="20"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819880"/>
      <w:bookmarkStart w:id="22" w:name="_Toc202251077"/>
      <w:bookmarkStart w:id="23" w:name="_Toc202251702"/>
      <w:bookmarkStart w:id="24" w:name="_Toc202820353"/>
      <w:bookmarkStart w:id="25" w:name="_Toc202252036"/>
      <w:bookmarkStart w:id="26" w:name="_Toc395800950"/>
      <w:bookmarkStart w:id="27" w:name="_Toc202816998"/>
      <w:bookmarkStart w:id="28" w:name="_Toc4426"/>
      <w:bookmarkStart w:id="29" w:name="_Toc29676"/>
      <w:bookmarkStart w:id="30" w:name="_Toc202254107"/>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9881"/>
      <w:bookmarkStart w:id="32" w:name="_Toc202820354"/>
      <w:bookmarkStart w:id="33" w:name="_Toc202816999"/>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E19F3"/>
    <w:multiLevelType w:val="singleLevel"/>
    <w:tmpl w:val="0A7E19F3"/>
    <w:lvl w:ilvl="0" w:tentative="0">
      <w:start w:val="2"/>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131C20FB"/>
    <w:rsid w:val="1FA15E62"/>
    <w:rsid w:val="23D87429"/>
    <w:rsid w:val="35305866"/>
    <w:rsid w:val="366C3F18"/>
    <w:rsid w:val="3EAD0A3C"/>
    <w:rsid w:val="3F3E3276"/>
    <w:rsid w:val="4DC01C5F"/>
    <w:rsid w:val="4EC26C97"/>
    <w:rsid w:val="54212AF2"/>
    <w:rsid w:val="5C0A7A98"/>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9717</Words>
  <Characters>10182</Characters>
  <Lines>83</Lines>
  <Paragraphs>23</Paragraphs>
  <TotalTime>1</TotalTime>
  <ScaleCrop>false</ScaleCrop>
  <LinksUpToDate>false</LinksUpToDate>
  <CharactersWithSpaces>11528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2023-01-31T07:30:11Z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026E3B0D22A04287B2CBB4B8D3AFE41E</vt:lpwstr>
  </property>
</Properties>
</file>