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3号楼首层核磁共振增加用房改造工程和直加机房改造项目工程监理服务采购项目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我院对茂名市人民医院3号楼首层核磁共振增加用房改造工程和直加机房改造项目工程监理服务采购信息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茂名市人民医院3号楼首层核磁共振增加用房改造工程和直加机房改造项目工程监理服务采购项目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提供2020年度或2021年度财务状况报告或2021年下半年任意3个月的财务状况报告复印件，或提供银行出具的资信证明材料复印件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提供2021年下半年或2022年任意1个月缴纳税收和社会保险的凭据证明材料复印件；如依法免税或不需要缴纳社会保障资金的，应提供相应文件证明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具有工程监理乙级或以上资质证书。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 有意向参与的供应商可在以下规定的截止时间前</w:t>
      </w:r>
      <w:r>
        <w:rPr>
          <w:rFonts w:hint="eastAsia" w:ascii="宋体" w:hAnsi="宋体"/>
          <w:lang w:eastAsia="zh-CN"/>
        </w:rPr>
        <w:t>提交响应文件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接收响应文件</w:t>
      </w:r>
      <w:r>
        <w:rPr>
          <w:rFonts w:hint="eastAsia" w:ascii="宋体" w:hAnsi="宋体"/>
        </w:rPr>
        <w:t>时间：</w:t>
      </w:r>
      <w:r>
        <w:rPr>
          <w:rFonts w:hint="eastAsia" w:ascii="宋体" w:hAnsi="宋体"/>
          <w:shd w:val="clear" w:color="auto" w:fill="FFFF00"/>
          <w:lang w:val="en-US" w:eastAsia="zh-CN"/>
        </w:rPr>
        <w:t>2022</w:t>
      </w:r>
      <w:r>
        <w:rPr>
          <w:rFonts w:hint="eastAsia" w:ascii="宋体" w:hAnsi="宋体"/>
          <w:shd w:val="clear" w:color="auto" w:fill="FFFF00"/>
        </w:rPr>
        <w:t>年</w:t>
      </w:r>
      <w:r>
        <w:rPr>
          <w:rFonts w:hint="eastAsia" w:ascii="宋体" w:hAnsi="宋体"/>
          <w:shd w:val="clear" w:color="auto" w:fill="FFFF00"/>
          <w:lang w:val="en-US" w:eastAsia="zh-CN"/>
        </w:rPr>
        <w:t>4</w:t>
      </w:r>
      <w:r>
        <w:rPr>
          <w:rFonts w:hint="eastAsia" w:ascii="宋体" w:hAnsi="宋体"/>
          <w:shd w:val="clear" w:color="auto" w:fill="FFFF00"/>
        </w:rPr>
        <w:t>月</w:t>
      </w:r>
      <w:r>
        <w:rPr>
          <w:rFonts w:hint="eastAsia" w:ascii="宋体" w:hAnsi="宋体"/>
          <w:shd w:val="clear" w:color="auto" w:fill="FFFF00"/>
          <w:lang w:val="en-US" w:eastAsia="zh-CN"/>
        </w:rPr>
        <w:t>25</w:t>
      </w:r>
      <w:r>
        <w:rPr>
          <w:rFonts w:hint="eastAsia" w:ascii="宋体" w:hAnsi="宋体"/>
          <w:shd w:val="clear" w:color="auto" w:fill="FFFF00"/>
        </w:rPr>
        <w:t>日起至</w:t>
      </w:r>
      <w:r>
        <w:rPr>
          <w:rFonts w:hint="eastAsia" w:ascii="宋体" w:hAnsi="宋体"/>
          <w:shd w:val="clear" w:color="auto" w:fill="FFFF00"/>
          <w:lang w:val="en-US" w:eastAsia="zh-CN"/>
        </w:rPr>
        <w:t>2022</w:t>
      </w:r>
      <w:r>
        <w:rPr>
          <w:rFonts w:hint="eastAsia" w:ascii="宋体" w:hAnsi="宋体"/>
          <w:shd w:val="clear" w:color="auto" w:fill="FFFF00"/>
        </w:rPr>
        <w:t>年</w:t>
      </w:r>
      <w:r>
        <w:rPr>
          <w:rFonts w:hint="eastAsia" w:ascii="宋体" w:hAnsi="宋体"/>
          <w:shd w:val="clear" w:color="auto" w:fill="FFFF00"/>
          <w:lang w:val="en-US" w:eastAsia="zh-CN"/>
        </w:rPr>
        <w:t>4</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w:t>
      </w:r>
      <w:r>
        <w:rPr>
          <w:rFonts w:hint="eastAsia" w:ascii="宋体" w:hAnsi="宋体"/>
        </w:rPr>
        <w:t>，节假日除外。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六</w:t>
      </w:r>
      <w:r>
        <w:rPr>
          <w:rFonts w:hint="eastAsia" w:ascii="宋体" w:hAnsi="宋体" w:eastAsia="宋体" w:cs="Times New Roman"/>
          <w:kern w:val="2"/>
          <w:sz w:val="21"/>
          <w:szCs w:val="22"/>
          <w:lang w:val="en-US" w:eastAsia="zh-CN" w:bidi="ar-SA"/>
        </w:rPr>
        <w:t>、注意事项：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1.各供应商必须严格按照要求进行报价，杜绝弄虚作假，胡乱报价，各供应商报价一经确认禁止更改。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4</w:t>
      </w:r>
      <w:r>
        <w:rPr>
          <w:rFonts w:hint="eastAsia" w:hAnsi="宋体"/>
        </w:rPr>
        <w:t>月</w:t>
      </w:r>
      <w:r>
        <w:rPr>
          <w:rFonts w:hint="eastAsia" w:hAnsi="宋体"/>
          <w:lang w:val="en-US" w:eastAsia="zh-CN"/>
        </w:rPr>
        <w:t>2</w:t>
      </w:r>
      <w:bookmarkStart w:id="33" w:name="_GoBack"/>
      <w:bookmarkEnd w:id="33"/>
      <w:r>
        <w:rPr>
          <w:rFonts w:hint="eastAsia" w:hAnsi="宋体"/>
          <w:lang w:val="en-US" w:eastAsia="zh-CN"/>
        </w:rPr>
        <w:t>4</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1、项目名称：茂名市人民医院3号楼首层核磁共振增加用房改造工程和直加机房改造项目工程监理服务采购项目。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3"/>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73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default" w:ascii="宋体" w:hAnsi="宋体" w:eastAsia="宋体"/>
                <w:kern w:val="0"/>
                <w:szCs w:val="21"/>
                <w:vertAlign w:val="baseline"/>
                <w:lang w:val="en-US" w:eastAsia="zh-CN"/>
              </w:rPr>
            </w:pPr>
            <w:r>
              <w:rPr>
                <w:rFonts w:hint="eastAsia"/>
              </w:rPr>
              <w:t>3号楼首层核磁共振增加用房改造工程</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711,221.99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eastAsia"/>
              </w:rPr>
            </w:pPr>
            <w:r>
              <w:rPr>
                <w:rFonts w:hint="eastAsia"/>
              </w:rPr>
              <w:t>直加机房改造项目工程</w:t>
            </w:r>
          </w:p>
        </w:tc>
        <w:tc>
          <w:tcPr>
            <w:tcW w:w="2687"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1,276,257.89</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8330"/>
      <w:bookmarkStart w:id="1" w:name="_Toc202816996"/>
      <w:bookmarkStart w:id="2" w:name="_Toc202252034"/>
      <w:bookmarkStart w:id="3" w:name="_Toc202819878"/>
      <w:bookmarkStart w:id="4" w:name="_Toc395800947"/>
      <w:bookmarkStart w:id="5" w:name="_Toc202251700"/>
      <w:bookmarkStart w:id="6" w:name="_Toc202254105"/>
      <w:bookmarkStart w:id="7" w:name="_Toc202820351"/>
      <w:bookmarkStart w:id="8" w:name="_Toc202251075"/>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1701"/>
      <w:bookmarkStart w:id="11" w:name="_Toc202819879"/>
      <w:bookmarkStart w:id="12" w:name="_Toc31980"/>
      <w:bookmarkStart w:id="13" w:name="_Toc202252035"/>
      <w:bookmarkStart w:id="14" w:name="_Toc202816997"/>
      <w:bookmarkStart w:id="15" w:name="_Toc202251076"/>
      <w:bookmarkStart w:id="16" w:name="_Toc202254106"/>
      <w:bookmarkStart w:id="17" w:name="_Toc202820352"/>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816998"/>
      <w:bookmarkStart w:id="20" w:name="_Toc202251077"/>
      <w:bookmarkStart w:id="21" w:name="_Toc202820353"/>
      <w:bookmarkStart w:id="22" w:name="_Toc202819880"/>
      <w:bookmarkStart w:id="23" w:name="_Toc4426"/>
      <w:bookmarkStart w:id="24" w:name="_Toc395800950"/>
      <w:bookmarkStart w:id="25" w:name="_Toc202254107"/>
      <w:bookmarkStart w:id="26" w:name="_Toc202251702"/>
      <w:bookmarkStart w:id="27" w:name="_Toc29676"/>
      <w:bookmarkStart w:id="28" w:name="_Toc20225203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20354"/>
      <w:bookmarkStart w:id="31" w:name="_Toc202816999"/>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lang w:eastAsia="zh-CN"/>
              </w:rPr>
              <w:t>完</w:t>
            </w:r>
            <w:r>
              <w:rPr>
                <w:rFonts w:hint="eastAsia" w:ascii="宋体" w:hAnsi="宋体" w:cs="仿宋"/>
                <w:b/>
                <w:bCs/>
                <w:szCs w:val="21"/>
              </w:rPr>
              <w:t>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val="en-US" w:eastAsia="zh-CN"/>
        </w:rPr>
        <w:t xml:space="preserve">           </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u w:val="single"/>
        </w:rPr>
        <w:t xml:space="preserve"> </w:t>
      </w:r>
      <w:r>
        <w:rPr>
          <w:rFonts w:hint="eastAsia"/>
          <w:u w:val="single"/>
          <w:lang w:val="en-US" w:eastAsia="zh-CN"/>
        </w:rPr>
        <w:t xml:space="preserve">         </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3172306"/>
    <w:rsid w:val="1798259A"/>
    <w:rsid w:val="19DA4995"/>
    <w:rsid w:val="211C29BF"/>
    <w:rsid w:val="23D87429"/>
    <w:rsid w:val="2D313951"/>
    <w:rsid w:val="301D1C82"/>
    <w:rsid w:val="3DCB7B4A"/>
    <w:rsid w:val="41960124"/>
    <w:rsid w:val="42AB1804"/>
    <w:rsid w:val="42CE4C86"/>
    <w:rsid w:val="45010631"/>
    <w:rsid w:val="458A1E66"/>
    <w:rsid w:val="49A359F0"/>
    <w:rsid w:val="515F1B63"/>
    <w:rsid w:val="57851CC5"/>
    <w:rsid w:val="630B5B4F"/>
    <w:rsid w:val="674B6F6A"/>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6"/>
    <w:unhideWhenUsed/>
    <w:qFormat/>
    <w:uiPriority w:val="99"/>
    <w:rPr>
      <w:kern w:val="0"/>
      <w:sz w:val="18"/>
      <w:szCs w:val="18"/>
      <w:lang w:val="zh-CN" w:eastAsia="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0"/>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5434</Words>
  <Characters>5701</Characters>
  <Lines>60</Lines>
  <Paragraphs>17</Paragraphs>
  <TotalTime>0</TotalTime>
  <ScaleCrop>false</ScaleCrop>
  <LinksUpToDate>false</LinksUpToDate>
  <CharactersWithSpaces>7011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2022-04-24T10:31:41Z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AFF6048C758E4425AD3B2F4FEFC093AA</vt:lpwstr>
  </property>
  <property fmtid="{D5CDD505-2E9C-101B-9397-08002B2CF9AE}" pid="4" name="commondata">
    <vt:lpwstr>eyJoZGlkIjoiNDU4OTFhM2YwNmQ5Y2YzZmFmOGRjYTVhYTM5MDU0ZjUifQ==</vt:lpwstr>
  </property>
</Properties>
</file>