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80"/>
          <w:szCs w:val="80"/>
          <w:lang w:val="en-US" w:eastAsia="zh-CN"/>
        </w:rPr>
      </w:pPr>
      <w:r>
        <w:rPr>
          <w:rFonts w:hint="eastAsia" w:ascii="黑体" w:hAnsi="黑体" w:eastAsia="黑体" w:cs="黑体"/>
          <w:sz w:val="80"/>
          <w:szCs w:val="80"/>
          <w:lang w:val="en-US" w:eastAsia="zh-CN"/>
        </w:rPr>
        <w:t>茂名市人民医院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建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筑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外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立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面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巡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查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方</w:t>
      </w:r>
    </w:p>
    <w:p>
      <w:pPr>
        <w:jc w:val="center"/>
        <w:rPr>
          <w:rFonts w:hint="eastAsia" w:ascii="仿宋" w:hAnsi="仿宋" w:eastAsia="仿宋" w:cs="仿宋"/>
          <w:sz w:val="60"/>
          <w:szCs w:val="60"/>
          <w:lang w:val="en-US" w:eastAsia="zh-CN"/>
        </w:rPr>
      </w:pPr>
      <w:r>
        <w:rPr>
          <w:rFonts w:hint="eastAsia" w:ascii="仿宋" w:hAnsi="仿宋" w:eastAsia="仿宋" w:cs="仿宋"/>
          <w:sz w:val="60"/>
          <w:szCs w:val="60"/>
          <w:lang w:val="en-US" w:eastAsia="zh-CN"/>
        </w:rPr>
        <w:t>案</w:t>
      </w:r>
    </w:p>
    <w:p>
      <w:pPr>
        <w:jc w:val="center"/>
        <w:rPr>
          <w:rFonts w:ascii="Arial" w:hAnsi="Arial" w:eastAsia="宋体" w:cs="Arial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>
      <w:pPr>
        <w:jc w:val="both"/>
        <w:rPr>
          <w:rFonts w:hint="default" w:ascii="Arial" w:hAnsi="Arial" w:eastAsia="宋体" w:cs="Arial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</w:rPr>
      </w:pPr>
      <w:bookmarkStart w:id="0" w:name="_Toc512537242"/>
      <w:bookmarkStart w:id="1" w:name="_Toc1143"/>
      <w:bookmarkStart w:id="2" w:name="_Toc8261"/>
      <w:bookmarkStart w:id="3" w:name="_Toc25051"/>
      <w:bookmarkStart w:id="4" w:name="_Toc3014"/>
      <w:r>
        <w:rPr>
          <w:rFonts w:hint="eastAsia" w:ascii="黑体" w:hAnsi="黑体" w:eastAsia="黑体" w:cs="黑体"/>
          <w:sz w:val="28"/>
          <w:szCs w:val="28"/>
        </w:rPr>
        <w:t>方案概况</w:t>
      </w:r>
      <w:bookmarkEnd w:id="0"/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本方案利用多旋翼无人机搭载红外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检测仪</w:t>
      </w:r>
      <w:r>
        <w:rPr>
          <w:rFonts w:hint="eastAsia" w:ascii="仿宋" w:hAnsi="仿宋" w:eastAsia="仿宋" w:cs="仿宋"/>
          <w:sz w:val="24"/>
          <w:szCs w:val="24"/>
        </w:rPr>
        <w:t>及可见光相机进行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建筑外立面、墙体外挂含但不限于空调外机、电路、管道的安全隐患排查</w:t>
      </w:r>
      <w:r>
        <w:rPr>
          <w:rFonts w:hint="eastAsia" w:ascii="仿宋" w:hAnsi="仿宋" w:eastAsia="仿宋" w:cs="仿宋"/>
          <w:sz w:val="24"/>
          <w:szCs w:val="24"/>
        </w:rPr>
        <w:t>巡检，通过巡检可获取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墙体等</w:t>
      </w:r>
      <w:r>
        <w:rPr>
          <w:rFonts w:hint="eastAsia" w:ascii="仿宋" w:hAnsi="仿宋" w:eastAsia="仿宋" w:cs="仿宋"/>
          <w:sz w:val="24"/>
          <w:szCs w:val="24"/>
        </w:rPr>
        <w:t>数据以及可见光照片。获得的数据和照片为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墙体安全、空调外机腐蚀度等，为下一步维保</w:t>
      </w:r>
      <w:r>
        <w:rPr>
          <w:rFonts w:hint="eastAsia" w:ascii="仿宋" w:hAnsi="仿宋" w:eastAsia="仿宋" w:cs="仿宋"/>
          <w:sz w:val="24"/>
          <w:szCs w:val="24"/>
        </w:rPr>
        <w:t>提供依据。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执行方案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通过一次全面的排查得到所需数据，并利用数据进行分析，进行全面清除安全隐患，从而对出现安全隐患的点进行全面维保。并利用数据进行分析，从而对出现安全隐患的点进行按轻急缓重进行维保任务划分，逐步清除安全隐患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使用设备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无人机</w:t>
      </w:r>
    </w:p>
    <w:p>
      <w:pPr>
        <w:pStyle w:val="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无人机采用大疆经纬M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0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4958080" cy="3298190"/>
            <wp:effectExtent l="0" t="0" r="1397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参数</w:t>
      </w:r>
    </w:p>
    <w:tbl>
      <w:tblPr>
        <w:tblStyle w:val="4"/>
        <w:tblpPr w:leftFromText="180" w:rightFromText="180" w:vertAnchor="text" w:horzAnchor="page" w:tblpX="1806" w:tblpY="593"/>
        <w:tblOverlap w:val="never"/>
        <w:tblW w:w="8498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15"/>
        <w:gridCol w:w="5143"/>
        <w:gridCol w:w="757"/>
        <w:gridCol w:w="77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飞行器*1 电池充电箱*1 DJI带屏遥控器行业版*1 TB60智能飞行电池*2 WB37遥控器智能电池*1 （USB充电器、USB-c数据线）桨叶*2 双a数据接口USB数据线 飞机外包装箱*1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云台相机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 万像素变焦相机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万像素广角相机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 米激光测距 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高亮屏遥控器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工作频率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2.4000-2.4835 GHz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5.725-5.850 GHz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最大信号有效距离（无干扰、无遮挡）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NCC/FCC：15 km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CE/MIC：8 km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SRRC：8 km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等效全向辐射功率（EIRP）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2.4000-2.4835 GHz：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 dBm（FCC）；18.5dBm（CE）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 dBm（SRRC）；18.5dBm（MIC）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5.725-5.850 GHz：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 dBm（FCC）；12.5dBm（CE）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 dBm（SRRC）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红外云台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1629410" cy="1344295"/>
                  <wp:effectExtent l="0" t="0" r="8890" b="825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drawing>
                <wp:inline distT="0" distB="0" distL="114300" distR="114300">
                  <wp:extent cx="1567815" cy="1254125"/>
                  <wp:effectExtent l="0" t="0" r="13335" b="3175"/>
                  <wp:docPr id="3" name="图片 3" descr="微信图片_20220112230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1122302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mm 镜头款: 123.7×112.6×127.1 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其他镜头款: 118.02×111.6×125.5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角度抖动量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±0.01°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可控转动范围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俯仰：+30° 至 -90°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平移：±320°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结构设计范围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俯仰：+45° 至 -130°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平移：±330°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横滚：-90° 至+60°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最大控制转速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俯仰：90°/s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平移： 90°/s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热成像器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非制冷氧化钒(VOx)微测热辐射计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FPA/数字视频显示格式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640×512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336×256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数字变焦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640×512: 1x, 2x, 4x, 8x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336×256: 1x, 2x, 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像元间距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波长范围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7.5-13.5 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场景范围(高增益)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640×512: -25° 至 135℃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336×256: -25° 至100℃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场景范围(低增益)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-40°至550℃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MicroSD卡*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照片格式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JPEG, TIFF, R-JPEG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视频格式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8 bit: MOV, MP4 14 bit: TIFF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, SEQ**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执行方法</w:t>
      </w:r>
    </w:p>
    <w:p>
      <w:pPr>
        <w:numPr>
          <w:ilvl w:val="0"/>
          <w:numId w:val="3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精细化拍摄</w:t>
      </w:r>
    </w:p>
    <w:p>
      <w:pPr>
        <w:numPr>
          <w:ilvl w:val="0"/>
          <w:numId w:val="4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设备要求：相机像素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大于或等</w:t>
      </w:r>
      <w:r>
        <w:rPr>
          <w:rFonts w:hint="eastAsia" w:ascii="仿宋" w:hAnsi="仿宋" w:eastAsia="仿宋" w:cs="仿宋"/>
          <w:sz w:val="24"/>
          <w:szCs w:val="24"/>
        </w:rPr>
        <w:t>于2000万像素。</w:t>
      </w:r>
    </w:p>
    <w:p>
      <w:pPr>
        <w:numPr>
          <w:ilvl w:val="0"/>
          <w:numId w:val="4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相机设置要求：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云台无上仰角度拍摄时，建议设置自动拍照模式，ISO固定100不能变，EV曝光补偿量等可根据现场 实际情况进行适量调整。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云台有上仰角度拍摄时，建议设置手动拍照模式，ISO固定100不能变，光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</w:rPr>
        <w:t>圈大小设置范围应在 F4-F6.3，快门速度设置范围应在1/160s-1/1000s之间。光圈、曝光量应根据现场实际情况进行调节。户外作业如因光照导致监视设备屏幕背光，导致影响作业人员正常判断照片质量，应及时采取遮光措施。拍摄照片格式设置为.JPG或.JPEG，图幅比例设置为4:3。</w:t>
      </w:r>
    </w:p>
    <w:p>
      <w:pPr>
        <w:numPr>
          <w:ilvl w:val="0"/>
          <w:numId w:val="4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人员要求：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人员要求：持证上岗且熟悉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建筑结构</w:t>
      </w:r>
      <w:r>
        <w:rPr>
          <w:rFonts w:hint="eastAsia" w:ascii="仿宋" w:hAnsi="仿宋" w:eastAsia="仿宋" w:cs="仿宋"/>
          <w:sz w:val="24"/>
          <w:szCs w:val="24"/>
        </w:rPr>
        <w:t>及拍摄部位名称。</w:t>
      </w:r>
    </w:p>
    <w:p>
      <w:pPr>
        <w:numPr>
          <w:ilvl w:val="0"/>
          <w:numId w:val="4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数据整理要求：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拍摄相片按规定存储路径保存，每张图片按拍摄部件及相片序号命名，例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左地线+序号、上相+序号。详细见附件特种旋翼精细化可见光、红外测温数据移交内容及格式。</w:t>
      </w:r>
    </w:p>
    <w:p>
      <w:pPr>
        <w:numPr>
          <w:ilvl w:val="0"/>
          <w:numId w:val="3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作业流程</w:t>
      </w:r>
    </w:p>
    <w:p>
      <w:pPr>
        <w:numPr>
          <w:ilvl w:val="0"/>
          <w:numId w:val="5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按业主方要求顺利入场后，配合业主方对院内工作规划做出工作计划；</w:t>
      </w:r>
    </w:p>
    <w:p>
      <w:pPr>
        <w:numPr>
          <w:ilvl w:val="0"/>
          <w:numId w:val="5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执行期间做好地面防护，区域净空，邀请安保部门协助完成；</w:t>
      </w:r>
    </w:p>
    <w:p>
      <w:pPr>
        <w:numPr>
          <w:ilvl w:val="0"/>
          <w:numId w:val="5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作业前一天下午12：00至14：00发送作业计划到业主方指定邮箱进行执行申请，作业当天起飞前30分钟向负责人微信申请起飞；</w:t>
      </w:r>
    </w:p>
    <w:p>
      <w:pPr>
        <w:numPr>
          <w:ilvl w:val="0"/>
          <w:numId w:val="5"/>
        </w:numPr>
        <w:spacing w:line="360" w:lineRule="auto"/>
        <w:ind w:firstLine="420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作业后汇报当天作业情况，需要对业主方及时汇报飞行器起飞和降落的时间，并将当天作业量进行统计发至负责人微信报备。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费用构成</w:t>
      </w:r>
    </w:p>
    <w:tbl>
      <w:tblPr>
        <w:tblStyle w:val="4"/>
        <w:tblW w:w="8097" w:type="dxa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16"/>
        <w:gridCol w:w="1916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5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单位及数量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行业无人机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2台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执行任务载具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技术工程师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现场操作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红外摄像仪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2套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具体按公司情况报价</w:t>
            </w:r>
          </w:p>
        </w:tc>
      </w:tr>
      <w:bookmarkEnd w:id="5"/>
    </w:tbl>
    <w:p>
      <w:pPr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行业资质及执行标准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508625" cy="3417570"/>
            <wp:effectExtent l="0" t="0" r="15875" b="11430"/>
            <wp:docPr id="5" name="图片 5" descr="b2ad8d4dcc79217d45f194fe364c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2ad8d4dcc79217d45f194fe364c2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484495" cy="4189095"/>
            <wp:effectExtent l="0" t="0" r="1905" b="1905"/>
            <wp:docPr id="6" name="图片 6" descr="164206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20677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CFC26"/>
    <w:multiLevelType w:val="singleLevel"/>
    <w:tmpl w:val="932CFC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E29DE49"/>
    <w:multiLevelType w:val="singleLevel"/>
    <w:tmpl w:val="AE29DE49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2">
    <w:nsid w:val="10F9855B"/>
    <w:multiLevelType w:val="singleLevel"/>
    <w:tmpl w:val="10F9855B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355F9AB8"/>
    <w:multiLevelType w:val="singleLevel"/>
    <w:tmpl w:val="355F9A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D5BC759"/>
    <w:multiLevelType w:val="singleLevel"/>
    <w:tmpl w:val="5D5BC75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2568"/>
    <w:rsid w:val="04BC4FB9"/>
    <w:rsid w:val="085A5FF7"/>
    <w:rsid w:val="22AD00CF"/>
    <w:rsid w:val="22F369D5"/>
    <w:rsid w:val="2C7A3CC3"/>
    <w:rsid w:val="2DC701B7"/>
    <w:rsid w:val="33A8787A"/>
    <w:rsid w:val="424566C9"/>
    <w:rsid w:val="440938F0"/>
    <w:rsid w:val="476F0470"/>
    <w:rsid w:val="4EDB475C"/>
    <w:rsid w:val="4F934F18"/>
    <w:rsid w:val="532A7941"/>
    <w:rsid w:val="613B0F6B"/>
    <w:rsid w:val="632F740D"/>
    <w:rsid w:val="645B3DFE"/>
    <w:rsid w:val="66032566"/>
    <w:rsid w:val="686C2DF7"/>
    <w:rsid w:val="73B0192A"/>
    <w:rsid w:val="796E70F4"/>
    <w:rsid w:val="7FD0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2022-01-12T16:20:00Z</dcterms:created>
  <dc:creator>Administrator</dc:creator>
  <cp:lastModifiedBy>Administrator</cp:lastModifiedBy>
  <cp:lastPrinted>2022-01-13T00:48:00Z</cp:lastPrinted>
  <dcterms:modified xsi:type="dcterms:W3CDTF">2022-01-28T01:02:52Z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830D214419D54B1EAA0AB47879FD35D7</vt:lpwstr>
  </property>
</Properties>
</file>